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 (Amendment No. __)</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57055L 107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Juan Vera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3200 Southwest Freeway, Suite 2240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 400-6400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October 17,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240.13d-7(b)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456565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960" w:type="dxa"/>
            <w:vAlign w:val="bottom"/>
          </w:tcPr>
          <w:p>
            <w:pPr>
              <w:ind w:left="1580"/>
              <w:spacing w:after="0"/>
              <w:rPr>
                <w:sz w:val="20"/>
                <w:szCs w:val="20"/>
                <w:color w:val="auto"/>
              </w:rPr>
            </w:pPr>
            <w:r>
              <w:rPr>
                <w:rFonts w:ascii="Arial" w:cs="Arial" w:eastAsia="Arial" w:hAnsi="Arial"/>
                <w:sz w:val="18"/>
                <w:szCs w:val="18"/>
                <w:b w:val="1"/>
                <w:bCs w:val="1"/>
                <w:color w:val="auto"/>
              </w:rPr>
              <w:t>SCHEDULE 13D</w:t>
            </w:r>
          </w:p>
        </w:tc>
        <w:tc>
          <w:tcPr>
            <w:tcW w:w="0" w:type="dxa"/>
            <w:vAlign w:val="bottom"/>
          </w:tcPr>
          <w:p>
            <w:pPr>
              <w:spacing w:after="0"/>
              <w:rPr>
                <w:sz w:val="1"/>
                <w:szCs w:val="1"/>
                <w:color w:val="auto"/>
              </w:rPr>
            </w:pPr>
          </w:p>
        </w:tc>
      </w:tr>
      <w:tr>
        <w:trPr>
          <w:trHeight w:val="216"/>
        </w:trPr>
        <w:tc>
          <w:tcPr>
            <w:tcW w:w="1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tcBorders>
          </w:tcPr>
          <w:p>
            <w:pPr>
              <w:ind w:left="20"/>
              <w:spacing w:after="0" w:line="237" w:lineRule="exact"/>
              <w:rPr>
                <w:sz w:val="20"/>
                <w:szCs w:val="20"/>
                <w:color w:val="auto"/>
              </w:rPr>
            </w:pPr>
            <w:r>
              <w:rPr>
                <w:rFonts w:ascii="Arial" w:cs="Arial" w:eastAsia="Arial" w:hAnsi="Arial"/>
                <w:sz w:val="22"/>
                <w:szCs w:val="22"/>
                <w:b w:val="1"/>
                <w:bCs w:val="1"/>
                <w:color w:val="auto"/>
              </w:rPr>
              <w:t>CUSIP No.</w:t>
            </w:r>
          </w:p>
        </w:tc>
        <w:tc>
          <w:tcPr>
            <w:tcW w:w="1680" w:type="dxa"/>
            <w:vAlign w:val="bottom"/>
            <w:tcBorders>
              <w:bottom w:val="single" w:sz="8" w:color="auto"/>
              <w:right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57055L 107</w:t>
            </w:r>
          </w:p>
        </w:tc>
        <w:tc>
          <w:tcPr>
            <w:tcW w:w="60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tcBorders>
          </w:tcPr>
          <w:p>
            <w:pPr>
              <w:spacing w:after="0"/>
              <w:rPr>
                <w:sz w:val="18"/>
                <w:szCs w:val="18"/>
                <w:color w:val="auto"/>
              </w:rPr>
            </w:pPr>
          </w:p>
        </w:tc>
        <w:tc>
          <w:tcPr>
            <w:tcW w:w="1024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80" w:type="dxa"/>
            <w:vAlign w:val="bottom"/>
            <w:tcBorders>
              <w:left w:val="single" w:sz="8" w:color="auto"/>
              <w:right w:val="single" w:sz="8" w:color="auto"/>
            </w:tcBorders>
          </w:tcPr>
          <w:p>
            <w:pPr>
              <w:ind w:left="80"/>
              <w:spacing w:after="0" w:line="249" w:lineRule="exact"/>
              <w:rPr>
                <w:sz w:val="20"/>
                <w:szCs w:val="20"/>
                <w:color w:val="auto"/>
              </w:rPr>
            </w:pPr>
            <w:r>
              <w:rPr>
                <w:rFonts w:ascii="Arial" w:cs="Arial" w:eastAsia="Arial" w:hAnsi="Arial"/>
                <w:sz w:val="22"/>
                <w:szCs w:val="22"/>
                <w:b w:val="1"/>
                <w:bCs w:val="1"/>
                <w:color w:val="auto"/>
              </w:rPr>
              <w:t>1</w:t>
            </w:r>
          </w:p>
        </w:tc>
        <w:tc>
          <w:tcPr>
            <w:tcW w:w="102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102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324"/>
        </w:trPr>
        <w:tc>
          <w:tcPr>
            <w:tcW w:w="1180" w:type="dxa"/>
            <w:vAlign w:val="bottom"/>
            <w:tcBorders>
              <w:left w:val="single" w:sz="8" w:color="auto"/>
              <w:right w:val="single" w:sz="8" w:color="auto"/>
            </w:tcBorders>
          </w:tcPr>
          <w:p>
            <w:pPr>
              <w:spacing w:after="0"/>
              <w:rPr>
                <w:sz w:val="24"/>
                <w:szCs w:val="24"/>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Juan Vera</w:t>
            </w:r>
          </w:p>
        </w:tc>
        <w:tc>
          <w:tcPr>
            <w:tcW w:w="600" w:type="dxa"/>
            <w:vAlign w:val="bottom"/>
          </w:tcPr>
          <w:p>
            <w:pPr>
              <w:spacing w:after="0"/>
              <w:rPr>
                <w:sz w:val="24"/>
                <w:szCs w:val="24"/>
                <w:color w:val="auto"/>
              </w:rPr>
            </w:pP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10240" w:type="dxa"/>
            <w:vAlign w:val="bottom"/>
            <w:tcBorders>
              <w:bottom w:val="single" w:sz="8" w:color="auto"/>
              <w:right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2</w:t>
            </w:r>
          </w:p>
        </w:tc>
        <w:tc>
          <w:tcPr>
            <w:tcW w:w="102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0"/>
        </w:trPr>
        <w:tc>
          <w:tcPr>
            <w:tcW w:w="1180" w:type="dxa"/>
            <w:vAlign w:val="bottom"/>
            <w:tcBorders>
              <w:left w:val="single" w:sz="8" w:color="auto"/>
              <w:right w:val="single" w:sz="8" w:color="auto"/>
            </w:tcBorders>
          </w:tcPr>
          <w:p>
            <w:pPr>
              <w:spacing w:after="0"/>
              <w:rPr>
                <w:sz w:val="20"/>
                <w:szCs w:val="20"/>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(a)</w:t>
            </w:r>
          </w:p>
        </w:tc>
        <w:tc>
          <w:tcPr>
            <w:tcW w:w="10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spacing w:after="0"/>
              <w:rPr>
                <w:sz w:val="20"/>
                <w:szCs w:val="20"/>
                <w:color w:val="auto"/>
              </w:rPr>
            </w:pPr>
          </w:p>
        </w:tc>
        <w:tc>
          <w:tcPr>
            <w:tcW w:w="7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8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(b)</w:t>
            </w:r>
          </w:p>
        </w:tc>
        <w:tc>
          <w:tcPr>
            <w:tcW w:w="104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spacing w:after="0"/>
              <w:rPr>
                <w:sz w:val="24"/>
                <w:szCs w:val="24"/>
                <w:color w:val="auto"/>
              </w:rPr>
            </w:pP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3</w:t>
            </w: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600" w:type="dxa"/>
            <w:vAlign w:val="bottom"/>
          </w:tcPr>
          <w:p>
            <w:pPr>
              <w:spacing w:after="0"/>
              <w:rPr>
                <w:sz w:val="24"/>
                <w:szCs w:val="24"/>
                <w:color w:val="auto"/>
              </w:rPr>
            </w:pP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1024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4</w:t>
            </w:r>
          </w:p>
        </w:tc>
        <w:tc>
          <w:tcPr>
            <w:tcW w:w="102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87"/>
        </w:trPr>
        <w:tc>
          <w:tcPr>
            <w:tcW w:w="118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OO</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10240" w:type="dxa"/>
            <w:vAlign w:val="bottom"/>
            <w:tcBorders>
              <w:bottom w:val="single" w:sz="8" w:color="auto"/>
              <w:right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5</w:t>
            </w:r>
          </w:p>
        </w:tc>
        <w:tc>
          <w:tcPr>
            <w:tcW w:w="102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307"/>
        </w:trPr>
        <w:tc>
          <w:tcPr>
            <w:tcW w:w="1180" w:type="dxa"/>
            <w:vAlign w:val="bottom"/>
            <w:tcBorders>
              <w:left w:val="single" w:sz="8" w:color="auto"/>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960" w:type="dxa"/>
            <w:vAlign w:val="bottom"/>
            <w:tcBorders>
              <w:right w:val="single" w:sz="8" w:color="auto"/>
            </w:tcBorders>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10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6</w:t>
            </w:r>
          </w:p>
        </w:tc>
        <w:tc>
          <w:tcPr>
            <w:tcW w:w="102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87"/>
        </w:trPr>
        <w:tc>
          <w:tcPr>
            <w:tcW w:w="1180" w:type="dxa"/>
            <w:vAlign w:val="bottom"/>
            <w:tcBorders>
              <w:left w:val="single" w:sz="8" w:color="auto"/>
              <w:right w:val="single" w:sz="8" w:color="auto"/>
            </w:tcBorders>
          </w:tcPr>
          <w:p>
            <w:pPr>
              <w:spacing w:after="0"/>
              <w:rPr>
                <w:sz w:val="24"/>
                <w:szCs w:val="24"/>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Columbia</w:t>
            </w:r>
          </w:p>
        </w:tc>
        <w:tc>
          <w:tcPr>
            <w:tcW w:w="600" w:type="dxa"/>
            <w:vAlign w:val="bottom"/>
          </w:tcPr>
          <w:p>
            <w:pPr>
              <w:spacing w:after="0"/>
              <w:rPr>
                <w:sz w:val="24"/>
                <w:szCs w:val="24"/>
                <w:color w:val="auto"/>
              </w:rPr>
            </w:pP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1180" w:type="dxa"/>
            <w:vAlign w:val="bottom"/>
            <w:tcBorders>
              <w:lef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22"/>
                <w:szCs w:val="22"/>
                <w:b w:val="1"/>
                <w:bCs w:val="1"/>
                <w:color w:val="auto"/>
              </w:rPr>
              <w:t>7</w:t>
            </w:r>
          </w:p>
        </w:tc>
        <w:tc>
          <w:tcPr>
            <w:tcW w:w="60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7"/>
        </w:trPr>
        <w:tc>
          <w:tcPr>
            <w:tcW w:w="1820" w:type="dxa"/>
            <w:vAlign w:val="bottom"/>
            <w:tcBorders>
              <w:left w:val="single" w:sz="8" w:color="auto"/>
            </w:tcBorders>
            <w:gridSpan w:val="2"/>
            <w:vMerge w:val="restart"/>
          </w:tcPr>
          <w:p>
            <w:pPr>
              <w:jc w:val="center"/>
              <w:ind w:left="400"/>
              <w:spacing w:after="0"/>
              <w:rPr>
                <w:sz w:val="20"/>
                <w:szCs w:val="20"/>
                <w:color w:val="auto"/>
              </w:rPr>
            </w:pPr>
            <w:r>
              <w:rPr>
                <w:rFonts w:ascii="Arial" w:cs="Arial" w:eastAsia="Arial" w:hAnsi="Arial"/>
                <w:sz w:val="18"/>
                <w:szCs w:val="18"/>
                <w:color w:val="auto"/>
                <w:w w:val="96"/>
              </w:rPr>
              <w:t>NUMBER OF</w:t>
            </w:r>
          </w:p>
        </w:tc>
        <w:tc>
          <w:tcPr>
            <w:tcW w:w="50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2,715,842</w:t>
            </w:r>
          </w:p>
        </w:tc>
        <w:tc>
          <w:tcPr>
            <w:tcW w:w="0" w:type="dxa"/>
            <w:vAlign w:val="bottom"/>
          </w:tcPr>
          <w:p>
            <w:pPr>
              <w:spacing w:after="0"/>
              <w:rPr>
                <w:sz w:val="1"/>
                <w:szCs w:val="1"/>
                <w:color w:val="auto"/>
              </w:rPr>
            </w:pPr>
          </w:p>
        </w:tc>
      </w:tr>
      <w:tr>
        <w:trPr>
          <w:trHeight w:val="54"/>
        </w:trPr>
        <w:tc>
          <w:tcPr>
            <w:tcW w:w="1820" w:type="dxa"/>
            <w:vAlign w:val="bottom"/>
            <w:tcBorders>
              <w:left w:val="single" w:sz="8" w:color="auto"/>
            </w:tcBorders>
            <w:gridSpan w:val="2"/>
            <w:vMerge w:val="continue"/>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7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820" w:type="dxa"/>
            <w:vAlign w:val="bottom"/>
            <w:tcBorders>
              <w:left w:val="single" w:sz="8" w:color="auto"/>
            </w:tcBorders>
            <w:gridSpan w:val="2"/>
          </w:tcPr>
          <w:p>
            <w:pPr>
              <w:jc w:val="center"/>
              <w:ind w:left="400"/>
              <w:spacing w:after="0"/>
              <w:rPr>
                <w:sz w:val="20"/>
                <w:szCs w:val="20"/>
                <w:color w:val="auto"/>
              </w:rPr>
            </w:pPr>
            <w:r>
              <w:rPr>
                <w:rFonts w:ascii="Arial" w:cs="Arial" w:eastAsia="Arial" w:hAnsi="Arial"/>
                <w:sz w:val="18"/>
                <w:szCs w:val="18"/>
                <w:color w:val="auto"/>
                <w:w w:val="91"/>
              </w:rPr>
              <w:t>SHARES</w:t>
            </w:r>
          </w:p>
        </w:tc>
        <w:tc>
          <w:tcPr>
            <w:tcW w:w="500" w:type="dxa"/>
            <w:vAlign w:val="bottom"/>
            <w:tcBorders>
              <w:right w:val="single" w:sz="8" w:color="auto"/>
            </w:tcBorders>
          </w:tcPr>
          <w:p>
            <w:pPr>
              <w:spacing w:after="0"/>
              <w:rPr>
                <w:sz w:val="18"/>
                <w:szCs w:val="18"/>
                <w:color w:val="auto"/>
              </w:rPr>
            </w:pPr>
          </w:p>
        </w:tc>
        <w:tc>
          <w:tcPr>
            <w:tcW w:w="540" w:type="dxa"/>
            <w:vAlign w:val="bottom"/>
          </w:tcPr>
          <w:p>
            <w:pPr>
              <w:ind w:left="60"/>
              <w:spacing w:after="0" w:line="211" w:lineRule="exact"/>
              <w:rPr>
                <w:sz w:val="20"/>
                <w:szCs w:val="20"/>
                <w:color w:val="auto"/>
              </w:rPr>
            </w:pPr>
            <w:r>
              <w:rPr>
                <w:rFonts w:ascii="Arial" w:cs="Arial" w:eastAsia="Arial" w:hAnsi="Arial"/>
                <w:sz w:val="22"/>
                <w:szCs w:val="22"/>
                <w:b w:val="1"/>
                <w:bCs w:val="1"/>
                <w:color w:val="auto"/>
              </w:rPr>
              <w:t>8</w:t>
            </w:r>
          </w:p>
        </w:tc>
        <w:tc>
          <w:tcPr>
            <w:tcW w:w="60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0"/>
        </w:trPr>
        <w:tc>
          <w:tcPr>
            <w:tcW w:w="1820" w:type="dxa"/>
            <w:vAlign w:val="bottom"/>
            <w:tcBorders>
              <w:left w:val="single" w:sz="8" w:color="auto"/>
            </w:tcBorders>
            <w:gridSpan w:val="2"/>
          </w:tcPr>
          <w:p>
            <w:pPr>
              <w:jc w:val="center"/>
              <w:ind w:left="400"/>
              <w:spacing w:after="0" w:line="200" w:lineRule="exact"/>
              <w:rPr>
                <w:sz w:val="20"/>
                <w:szCs w:val="20"/>
                <w:color w:val="auto"/>
              </w:rPr>
            </w:pPr>
            <w:r>
              <w:rPr>
                <w:rFonts w:ascii="Arial" w:cs="Arial" w:eastAsia="Arial" w:hAnsi="Arial"/>
                <w:sz w:val="18"/>
                <w:szCs w:val="18"/>
                <w:color w:val="auto"/>
              </w:rPr>
              <w:t>BENEFICIALLY</w:t>
            </w:r>
          </w:p>
        </w:tc>
        <w:tc>
          <w:tcPr>
            <w:tcW w:w="50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tcBorders>
            <w:gridSpan w:val="2"/>
          </w:tcPr>
          <w:p>
            <w:pPr>
              <w:jc w:val="center"/>
              <w:ind w:left="400"/>
              <w:spacing w:after="0"/>
              <w:rPr>
                <w:sz w:val="20"/>
                <w:szCs w:val="20"/>
                <w:color w:val="auto"/>
              </w:rPr>
            </w:pPr>
            <w:r>
              <w:rPr>
                <w:rFonts w:ascii="Arial" w:cs="Arial" w:eastAsia="Arial" w:hAnsi="Arial"/>
                <w:sz w:val="18"/>
                <w:szCs w:val="18"/>
                <w:color w:val="auto"/>
                <w:w w:val="97"/>
              </w:rPr>
              <w:t>OWNED BY</w:t>
            </w:r>
          </w:p>
        </w:tc>
        <w:tc>
          <w:tcPr>
            <w:tcW w:w="500" w:type="dxa"/>
            <w:vAlign w:val="bottom"/>
            <w:tcBorders>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20" w:type="dxa"/>
            <w:vAlign w:val="bottom"/>
            <w:tcBorders>
              <w:left w:val="single" w:sz="8" w:color="auto"/>
            </w:tcBorders>
            <w:gridSpan w:val="2"/>
          </w:tcPr>
          <w:p>
            <w:pPr>
              <w:jc w:val="center"/>
              <w:ind w:left="400"/>
              <w:spacing w:after="0"/>
              <w:rPr>
                <w:sz w:val="20"/>
                <w:szCs w:val="20"/>
                <w:color w:val="auto"/>
              </w:rPr>
            </w:pPr>
            <w:r>
              <w:rPr>
                <w:rFonts w:ascii="Arial" w:cs="Arial" w:eastAsia="Arial" w:hAnsi="Arial"/>
                <w:sz w:val="18"/>
                <w:szCs w:val="18"/>
                <w:color w:val="auto"/>
                <w:w w:val="95"/>
              </w:rPr>
              <w:t>EACH</w:t>
            </w:r>
          </w:p>
        </w:tc>
        <w:tc>
          <w:tcPr>
            <w:tcW w:w="500" w:type="dxa"/>
            <w:vAlign w:val="bottom"/>
            <w:tcBorders>
              <w:right w:val="single" w:sz="8" w:color="auto"/>
            </w:tcBorders>
          </w:tcPr>
          <w:p>
            <w:pPr>
              <w:spacing w:after="0"/>
              <w:rPr>
                <w:sz w:val="18"/>
                <w:szCs w:val="18"/>
                <w:color w:val="auto"/>
              </w:rPr>
            </w:pPr>
          </w:p>
        </w:tc>
        <w:tc>
          <w:tcPr>
            <w:tcW w:w="540" w:type="dxa"/>
            <w:vAlign w:val="bottom"/>
          </w:tcPr>
          <w:p>
            <w:pPr>
              <w:ind w:left="60"/>
              <w:spacing w:after="0" w:line="209" w:lineRule="exact"/>
              <w:rPr>
                <w:sz w:val="20"/>
                <w:szCs w:val="20"/>
                <w:color w:val="auto"/>
              </w:rPr>
            </w:pPr>
            <w:r>
              <w:rPr>
                <w:rFonts w:ascii="Arial" w:cs="Arial" w:eastAsia="Arial" w:hAnsi="Arial"/>
                <w:sz w:val="22"/>
                <w:szCs w:val="22"/>
                <w:b w:val="1"/>
                <w:bCs w:val="1"/>
                <w:color w:val="auto"/>
              </w:rPr>
              <w:t>9</w:t>
            </w:r>
          </w:p>
        </w:tc>
        <w:tc>
          <w:tcPr>
            <w:tcW w:w="60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8"/>
        </w:trPr>
        <w:tc>
          <w:tcPr>
            <w:tcW w:w="1820" w:type="dxa"/>
            <w:vAlign w:val="bottom"/>
            <w:tcBorders>
              <w:left w:val="single" w:sz="8" w:color="auto"/>
            </w:tcBorders>
            <w:gridSpan w:val="2"/>
          </w:tcPr>
          <w:p>
            <w:pPr>
              <w:jc w:val="center"/>
              <w:ind w:left="400"/>
              <w:spacing w:after="0" w:line="189" w:lineRule="exact"/>
              <w:rPr>
                <w:sz w:val="20"/>
                <w:szCs w:val="20"/>
                <w:color w:val="auto"/>
              </w:rPr>
            </w:pPr>
            <w:r>
              <w:rPr>
                <w:rFonts w:ascii="Arial" w:cs="Arial" w:eastAsia="Arial" w:hAnsi="Arial"/>
                <w:sz w:val="18"/>
                <w:szCs w:val="18"/>
                <w:color w:val="auto"/>
                <w:w w:val="93"/>
              </w:rPr>
              <w:t>REPORTING</w:t>
            </w:r>
          </w:p>
        </w:tc>
        <w:tc>
          <w:tcPr>
            <w:tcW w:w="50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2,715,842</w:t>
            </w: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tcBorders>
            <w:gridSpan w:val="2"/>
          </w:tcPr>
          <w:p>
            <w:pPr>
              <w:jc w:val="center"/>
              <w:ind w:left="400"/>
              <w:spacing w:after="0"/>
              <w:rPr>
                <w:sz w:val="20"/>
                <w:szCs w:val="20"/>
                <w:color w:val="auto"/>
              </w:rPr>
            </w:pPr>
            <w:r>
              <w:rPr>
                <w:rFonts w:ascii="Arial" w:cs="Arial" w:eastAsia="Arial" w:hAnsi="Arial"/>
                <w:sz w:val="18"/>
                <w:szCs w:val="18"/>
                <w:color w:val="auto"/>
                <w:w w:val="89"/>
              </w:rPr>
              <w:t>PERSON</w:t>
            </w:r>
          </w:p>
        </w:tc>
        <w:tc>
          <w:tcPr>
            <w:tcW w:w="50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820" w:type="dxa"/>
            <w:vAlign w:val="bottom"/>
            <w:tcBorders>
              <w:left w:val="single" w:sz="8" w:color="auto"/>
            </w:tcBorders>
            <w:gridSpan w:val="2"/>
            <w:vMerge w:val="restart"/>
          </w:tcPr>
          <w:p>
            <w:pPr>
              <w:jc w:val="center"/>
              <w:ind w:left="400"/>
              <w:spacing w:after="0"/>
              <w:rPr>
                <w:sz w:val="20"/>
                <w:szCs w:val="20"/>
                <w:color w:val="auto"/>
              </w:rPr>
            </w:pPr>
            <w:r>
              <w:rPr>
                <w:rFonts w:ascii="Arial" w:cs="Arial" w:eastAsia="Arial" w:hAnsi="Arial"/>
                <w:sz w:val="18"/>
                <w:szCs w:val="18"/>
                <w:color w:val="auto"/>
              </w:rPr>
              <w:t>WITH</w:t>
            </w:r>
          </w:p>
        </w:tc>
        <w:tc>
          <w:tcPr>
            <w:tcW w:w="500" w:type="dxa"/>
            <w:vAlign w:val="bottom"/>
            <w:tcBorders>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tcBorders>
            <w:gridSpan w:val="2"/>
            <w:vMerge w:val="continue"/>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Arial" w:cs="Arial" w:eastAsia="Arial" w:hAnsi="Arial"/>
                <w:sz w:val="22"/>
                <w:szCs w:val="22"/>
                <w:b w:val="1"/>
                <w:bCs w:val="1"/>
                <w:color w:val="auto"/>
              </w:rPr>
              <w:t>10</w:t>
            </w:r>
          </w:p>
        </w:tc>
        <w:tc>
          <w:tcPr>
            <w:tcW w:w="600" w:type="dxa"/>
            <w:vAlign w:val="bottom"/>
            <w:tcBorders>
              <w:right w:val="single" w:sz="8" w:color="auto"/>
            </w:tcBorders>
          </w:tcPr>
          <w:p>
            <w:pPr>
              <w:spacing w:after="0"/>
              <w:rPr>
                <w:sz w:val="15"/>
                <w:szCs w:val="15"/>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18"/>
        </w:trPr>
        <w:tc>
          <w:tcPr>
            <w:tcW w:w="1180" w:type="dxa"/>
            <w:vAlign w:val="bottom"/>
            <w:tcBorders>
              <w:lef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540" w:type="dxa"/>
            <w:vAlign w:val="bottom"/>
            <w:vMerge w:val="continue"/>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7"/>
        </w:trPr>
        <w:tc>
          <w:tcPr>
            <w:tcW w:w="1180" w:type="dxa"/>
            <w:vAlign w:val="bottom"/>
            <w:tcBorders>
              <w:lef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80" w:type="dxa"/>
            <w:vAlign w:val="bottom"/>
            <w:tcBorders>
              <w:left w:val="single" w:sz="8" w:color="auto"/>
              <w:bottom w:val="single" w:sz="8" w:color="auto"/>
            </w:tcBorders>
          </w:tcPr>
          <w:p>
            <w:pPr>
              <w:spacing w:after="0"/>
              <w:rPr>
                <w:sz w:val="4"/>
                <w:szCs w:val="4"/>
                <w:color w:val="auto"/>
              </w:rPr>
            </w:pPr>
          </w:p>
        </w:tc>
        <w:tc>
          <w:tcPr>
            <w:tcW w:w="1140" w:type="dxa"/>
            <w:vAlign w:val="bottom"/>
            <w:tcBorders>
              <w:bottom w:val="single" w:sz="8" w:color="auto"/>
              <w:right w:val="single" w:sz="8" w:color="auto"/>
            </w:tcBorders>
            <w:gridSpan w:val="2"/>
          </w:tcPr>
          <w:p>
            <w:pPr>
              <w:spacing w:after="0"/>
              <w:rPr>
                <w:sz w:val="4"/>
                <w:szCs w:val="4"/>
                <w:color w:val="auto"/>
              </w:rPr>
            </w:pPr>
          </w:p>
        </w:tc>
        <w:tc>
          <w:tcPr>
            <w:tcW w:w="1140" w:type="dxa"/>
            <w:vAlign w:val="bottom"/>
            <w:tcBorders>
              <w:bottom w:val="single" w:sz="8" w:color="auto"/>
              <w:right w:val="single" w:sz="8" w:color="auto"/>
            </w:tcBorders>
            <w:gridSpan w:val="2"/>
          </w:tcPr>
          <w:p>
            <w:pPr>
              <w:spacing w:after="0"/>
              <w:rPr>
                <w:sz w:val="4"/>
                <w:szCs w:val="4"/>
                <w:color w:val="auto"/>
              </w:rPr>
            </w:pPr>
          </w:p>
        </w:tc>
        <w:tc>
          <w:tcPr>
            <w:tcW w:w="7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11</w:t>
            </w:r>
          </w:p>
        </w:tc>
        <w:tc>
          <w:tcPr>
            <w:tcW w:w="102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7"/>
        </w:trPr>
        <w:tc>
          <w:tcPr>
            <w:tcW w:w="1180" w:type="dxa"/>
            <w:vAlign w:val="bottom"/>
            <w:tcBorders>
              <w:left w:val="single" w:sz="8" w:color="auto"/>
              <w:right w:val="single" w:sz="8" w:color="auto"/>
            </w:tcBorders>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2,715,842</w:t>
            </w: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7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12</w:t>
            </w:r>
          </w:p>
        </w:tc>
        <w:tc>
          <w:tcPr>
            <w:tcW w:w="102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307"/>
        </w:trPr>
        <w:tc>
          <w:tcPr>
            <w:tcW w:w="1180" w:type="dxa"/>
            <w:vAlign w:val="bottom"/>
            <w:tcBorders>
              <w:left w:val="single" w:sz="8" w:color="auto"/>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960" w:type="dxa"/>
            <w:vAlign w:val="bottom"/>
            <w:tcBorders>
              <w:right w:val="single" w:sz="8" w:color="auto"/>
            </w:tcBorders>
          </w:tcPr>
          <w:p>
            <w:pPr>
              <w:ind w:left="774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34"/>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13</w:t>
            </w:r>
          </w:p>
        </w:tc>
        <w:tc>
          <w:tcPr>
            <w:tcW w:w="102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87"/>
        </w:trPr>
        <w:tc>
          <w:tcPr>
            <w:tcW w:w="118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5.9%</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7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14</w:t>
            </w:r>
          </w:p>
        </w:tc>
        <w:tc>
          <w:tcPr>
            <w:tcW w:w="102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7"/>
        </w:trPr>
        <w:tc>
          <w:tcPr>
            <w:tcW w:w="118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IN</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*Includes (i) 1,993,059 shares acquired in the merger with Marker Cell Therapy, Inc. (“Marker Cell”); and (ii) warrants to acquire 722,783 shares of common stock acquired in the merger.</w:t>
      </w:r>
    </w:p>
    <w:p>
      <w:pPr>
        <w:spacing w:after="0" w:line="170" w:lineRule="exact"/>
        <w:rPr>
          <w:sz w:val="20"/>
          <w:szCs w:val="20"/>
          <w:color w:val="auto"/>
        </w:rPr>
      </w:pPr>
    </w:p>
    <w:p>
      <w:pPr>
        <w:jc w:val="both"/>
        <w:ind w:left="20"/>
        <w:spacing w:after="0" w:line="312" w:lineRule="auto"/>
        <w:rPr>
          <w:sz w:val="20"/>
          <w:szCs w:val="20"/>
          <w:color w:val="auto"/>
        </w:rPr>
      </w:pPr>
      <w:r>
        <w:rPr>
          <w:rFonts w:ascii="Arial" w:cs="Arial" w:eastAsia="Arial" w:hAnsi="Arial"/>
          <w:sz w:val="16"/>
          <w:szCs w:val="16"/>
          <w:color w:val="auto"/>
        </w:rPr>
        <w:t>**Such percentage was calculated based upon an aggregate of 46,093,478 Issuer shares of common stock outstanding, consisting of (i) 45,370,695 Issuer shares of common stock outstanding as of November 8, 2018 as, represented by the Issuer’s Report on Form 10-Q filed with the Securities and Exchange Commission on November 13, 2018, and (ii) 722,783 shares of common stock able to be acquired by the Reporting Person upon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240" w:type="dxa"/>
            <w:vAlign w:val="bottom"/>
          </w:tcPr>
          <w:p>
            <w:pPr>
              <w:spacing w:after="0"/>
              <w:rPr>
                <w:sz w:val="20"/>
                <w:szCs w:val="20"/>
                <w:color w:val="auto"/>
              </w:rPr>
            </w:pPr>
            <w:r>
              <w:rPr>
                <w:rFonts w:ascii="Arial" w:cs="Arial" w:eastAsia="Arial" w:hAnsi="Arial"/>
                <w:sz w:val="22"/>
                <w:szCs w:val="22"/>
                <w:b w:val="1"/>
                <w:bCs w:val="1"/>
                <w:color w:val="auto"/>
              </w:rPr>
              <w:t>CUSIP No.</w:t>
            </w:r>
          </w:p>
        </w:tc>
        <w:tc>
          <w:tcPr>
            <w:tcW w:w="1080" w:type="dxa"/>
            <w:vAlign w:val="bottom"/>
          </w:tcPr>
          <w:p>
            <w:pPr>
              <w:ind w:left="200"/>
              <w:spacing w:after="0"/>
              <w:rPr>
                <w:sz w:val="20"/>
                <w:szCs w:val="20"/>
                <w:color w:val="auto"/>
              </w:rPr>
            </w:pPr>
            <w:r>
              <w:rPr>
                <w:rFonts w:ascii="Arial" w:cs="Arial" w:eastAsia="Arial" w:hAnsi="Arial"/>
                <w:sz w:val="18"/>
                <w:szCs w:val="18"/>
                <w:b w:val="1"/>
                <w:bCs w:val="1"/>
                <w:color w:val="auto"/>
                <w:w w:val="89"/>
              </w:rPr>
              <w:t>57055L 107</w:t>
            </w:r>
          </w:p>
        </w:tc>
      </w:tr>
    </w:tbl>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Statement on Schedule 13D (this “Schedule”) relates to the common stock, par value $0.001 per share (“Common Stock”), of Marker Therapeutics, Inc., a Delaware corporation (the “Issuer”). The principal executive offices of the Issuer are located at 3200 Southwest Freeway, Suite 2240, Houston, Texas.</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56" w:lineRule="exact"/>
        <w:rPr>
          <w:sz w:val="20"/>
          <w:szCs w:val="20"/>
          <w:color w:val="auto"/>
        </w:rPr>
      </w:pPr>
    </w:p>
    <w:p>
      <w:pPr>
        <w:ind w:left="980" w:hanging="648"/>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Schedule is being filed by Dr. Juan Vera, an individual.</w:t>
      </w:r>
    </w:p>
    <w:p>
      <w:pPr>
        <w:spacing w:after="0" w:line="252" w:lineRule="exact"/>
        <w:rPr>
          <w:rFonts w:ascii="Arial" w:cs="Arial" w:eastAsia="Arial" w:hAnsi="Arial"/>
          <w:sz w:val="18"/>
          <w:szCs w:val="18"/>
          <w:color w:val="auto"/>
        </w:rPr>
      </w:pPr>
    </w:p>
    <w:p>
      <w:pPr>
        <w:ind w:left="980" w:hanging="648"/>
        <w:spacing w:after="0"/>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Reporting Person’s business address is One Baylor Plaza BCM 210-600D Houston, Texas, 77030.</w:t>
      </w:r>
    </w:p>
    <w:p>
      <w:pPr>
        <w:spacing w:after="0" w:line="252" w:lineRule="exact"/>
        <w:rPr>
          <w:rFonts w:ascii="Arial" w:cs="Arial" w:eastAsia="Arial" w:hAnsi="Arial"/>
          <w:sz w:val="18"/>
          <w:szCs w:val="18"/>
          <w:b w:val="1"/>
          <w:bCs w:val="1"/>
          <w:color w:val="auto"/>
        </w:rPr>
      </w:pPr>
    </w:p>
    <w:p>
      <w:pPr>
        <w:ind w:left="980" w:hanging="648"/>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Reporting Person is employed by Baylor College of Medicine.</w:t>
      </w:r>
    </w:p>
    <w:p>
      <w:pPr>
        <w:spacing w:after="0" w:line="252"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Reporting Person has not been convicted in a criminal proceeding in the last five years (excluding traffic violations or similar misdemeanors).</w:t>
      </w:r>
    </w:p>
    <w:p>
      <w:pPr>
        <w:spacing w:after="0" w:line="170" w:lineRule="exact"/>
        <w:rPr>
          <w:rFonts w:ascii="Arial" w:cs="Arial" w:eastAsia="Arial" w:hAnsi="Arial"/>
          <w:sz w:val="18"/>
          <w:szCs w:val="18"/>
          <w:color w:val="auto"/>
        </w:rPr>
      </w:pPr>
    </w:p>
    <w:p>
      <w:pPr>
        <w:ind w:left="980" w:right="80" w:hanging="648"/>
        <w:spacing w:after="0" w:line="286"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Reporting Person has not,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92" w:lineRule="exact"/>
        <w:rPr>
          <w:rFonts w:ascii="Arial" w:cs="Arial" w:eastAsia="Arial" w:hAnsi="Arial"/>
          <w:sz w:val="17"/>
          <w:szCs w:val="17"/>
          <w:color w:val="auto"/>
        </w:rPr>
      </w:pPr>
    </w:p>
    <w:p>
      <w:pPr>
        <w:ind w:left="980" w:hanging="648"/>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Reporting Person is a citizen of Columbia.</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Reporting Person received 1,993,059 shares of Common Stock and 722,783 warrants to acquire shares of Common Stock of the Issuer aacquired pursuant to a merger with Marker Cell Therapy, Inc. (“Marker Cell”).</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Items 3 and 6 is hereby incorporated by reference.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the securities of the Issuer were acquired for investment purposes. The Reporting Person intends to review on a continuing basis the investment in the Issuer. Based on such review, the Reporting Person may acquire, or cause to be disposed, such securities at any time (subject to the Voting and Lock Up Agreement and any applicable Issuer policies) or formulate other purposes, plans or proposals regarding the Issuer or any of its securities, to the extent deemed advisable in light of general investment and trading policies of the Reporting Person, the Issuer’s business, financial condition and operating results, general market and industry conditions or other factors.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Except as otherwise described in this Schedule 13D, the Reporting Person currently has no plans or proposals that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any of its subsidiaries; (d) any change in the present Board of Directors or management of the Issuer, including any plans or proposals to change the number or term of directors or to fill any existing vacancies on the Board except as may be required for the Issuer to comply with exchange listing requirements with respect to the number of independent directors; (e) any material change in the present capitalization or dividend policy of the Issuer; (f) any other material change in the Issuer’s business or corporate structure; (g) any changes in the Issuer’s charter or by-laws or other actions which may impede the acquisition or control of the Issuer by any person; (h) causing a class of securities of the Issuer to be delisted from a national securities exchange or cease to be authorized to be quoted in an interdealer quotation system of a registered national securities association; (i) causing a class of equity securities of the Issuer to become eligible for termination of registration pursuant to Section 12(g)(4) of the Securities Exchange Act of 1934; or (j) any action similar to those enumerated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1240" w:type="dxa"/>
            <w:vAlign w:val="bottom"/>
          </w:tcPr>
          <w:p>
            <w:pPr>
              <w:spacing w:after="0"/>
              <w:rPr>
                <w:sz w:val="20"/>
                <w:szCs w:val="20"/>
                <w:color w:val="auto"/>
              </w:rPr>
            </w:pPr>
            <w:r>
              <w:rPr>
                <w:rFonts w:ascii="Arial" w:cs="Arial" w:eastAsia="Arial" w:hAnsi="Arial"/>
                <w:sz w:val="22"/>
                <w:szCs w:val="22"/>
                <w:b w:val="1"/>
                <w:bCs w:val="1"/>
                <w:color w:val="auto"/>
              </w:rPr>
              <w:t>CUSIP No.</w:t>
            </w:r>
          </w:p>
        </w:tc>
        <w:tc>
          <w:tcPr>
            <w:tcW w:w="1080" w:type="dxa"/>
            <w:vAlign w:val="bottom"/>
          </w:tcPr>
          <w:p>
            <w:pPr>
              <w:ind w:left="200"/>
              <w:spacing w:after="0"/>
              <w:rPr>
                <w:sz w:val="20"/>
                <w:szCs w:val="20"/>
                <w:color w:val="auto"/>
              </w:rPr>
            </w:pPr>
            <w:r>
              <w:rPr>
                <w:rFonts w:ascii="Arial" w:cs="Arial" w:eastAsia="Arial" w:hAnsi="Arial"/>
                <w:sz w:val="18"/>
                <w:szCs w:val="18"/>
                <w:b w:val="1"/>
                <w:bCs w:val="1"/>
                <w:color w:val="auto"/>
                <w:w w:val="89"/>
              </w:rPr>
              <w:t>57055L 107</w:t>
            </w:r>
          </w:p>
        </w:tc>
      </w:tr>
    </w:tbl>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56" w:lineRule="exact"/>
        <w:rPr>
          <w:sz w:val="20"/>
          <w:szCs w:val="20"/>
          <w:color w:val="auto"/>
        </w:rPr>
      </w:pPr>
    </w:p>
    <w:p>
      <w:pPr>
        <w:jc w:val="both"/>
        <w:ind w:left="660" w:hanging="652"/>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Reporting Person beneficially owns 2,715,842 shares of Common Stock (including 722,783 shares issuable upon the exercise of warrants), which comprises 5.9% of the Common Stock of the Issuer. As of, November 8, 2018, there were 45,370,695 shares of Common Stock of the Issuer issued and outstanding as represented by the Issuer’s Report on Form 10-Q filed with the Securities and Exchange Commission on November 13, 2018.</w:t>
      </w:r>
    </w:p>
    <w:p>
      <w:pPr>
        <w:spacing w:after="0" w:line="213"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Reporting Person has the sole power to vote the shares beneficially owned.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transactions have been effected during the past 60 days by the Reporting Person</w:t>
      </w:r>
    </w:p>
    <w:p>
      <w:pPr>
        <w:spacing w:after="0" w:line="25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Only the Reporting Person has the right to receive or the power to direct the receipt of dividends from, or proceeds from the sale of, the shares of Common Stock reported by this statement.</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Merger Agreement. </w:t>
      </w:r>
      <w:r>
        <w:rPr>
          <w:rFonts w:ascii="Arial" w:cs="Arial" w:eastAsia="Arial" w:hAnsi="Arial"/>
          <w:sz w:val="18"/>
          <w:szCs w:val="18"/>
          <w:color w:val="auto"/>
        </w:rPr>
        <w:t>On October 17, 2018, Issuer completed its business combination with Marker Cell Therapy, Inc., (formerly known as Marker</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Therapeutics, Inc., a privately-held Delaware corporation “Marker Cell”), in accordance with the terms of an Agreement and Plan of Merger and Reorganization dated as of May 15, 2018 (the “Merger Agreement”) by and among the Issuer, Timberwolf Merger Sub, Inc., a Delaware corporation and wholly-owned subsidiary of the Issuer (“Merger Sub”), and Marker Cell. On October 17, 2018, pursuant to the Merger Agreement, Merger Sub was merged with and into Marker Cell (the “Merger”), with Marker Cell being the surviving corporation and becoming a wholly-owned subsidiary of the Issuer. At the effective time of the Merger, the former Marker Cell stockholders (inclusive of the Reporting Person) received (i) an aggregate of 13,914,255 shares of the Issuer’s Common Stock which equaled the number of shares of the Issuer’s Common Stock issued and outstanding immediately prior to the effective time of the Merger, and (ii) an aggregate of 5,046,003 warrants which equaled the number of the Issuer’s warrants and stock options issued and outstanding immediately prior to the effective time of the Merger.</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Voting and Lock Up Agreement</w:t>
      </w:r>
      <w:r>
        <w:rPr>
          <w:rFonts w:ascii="Arial" w:cs="Arial" w:eastAsia="Arial" w:hAnsi="Arial"/>
          <w:sz w:val="18"/>
          <w:szCs w:val="18"/>
          <w:color w:val="auto"/>
        </w:rPr>
        <w:t>. On May 15, 2018, in connection with the execution of the Merger Agreement, the Reporting Person entered into a voting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lock up agreement which provided, the Reporting Person would vote in favor of the Merger and would be subject to a voting and lock-up agreement on the transfer of Issuer shares acquired by reason of the Merger for a 180-days after the consummation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1"/>
        </w:trPr>
        <w:tc>
          <w:tcPr>
            <w:tcW w:w="1240" w:type="dxa"/>
            <w:vAlign w:val="bottom"/>
          </w:tcPr>
          <w:p>
            <w:pPr>
              <w:spacing w:after="0"/>
              <w:rPr>
                <w:sz w:val="20"/>
                <w:szCs w:val="20"/>
                <w:color w:val="auto"/>
              </w:rPr>
            </w:pPr>
            <w:r>
              <w:rPr>
                <w:rFonts w:ascii="Arial" w:cs="Arial" w:eastAsia="Arial" w:hAnsi="Arial"/>
                <w:sz w:val="22"/>
                <w:szCs w:val="22"/>
                <w:b w:val="1"/>
                <w:bCs w:val="1"/>
                <w:color w:val="auto"/>
              </w:rPr>
              <w:t>CUSIP No.</w:t>
            </w:r>
          </w:p>
        </w:tc>
        <w:tc>
          <w:tcPr>
            <w:tcW w:w="1080" w:type="dxa"/>
            <w:vAlign w:val="bottom"/>
          </w:tcPr>
          <w:p>
            <w:pPr>
              <w:ind w:left="200"/>
              <w:spacing w:after="0"/>
              <w:rPr>
                <w:sz w:val="20"/>
                <w:szCs w:val="20"/>
                <w:color w:val="auto"/>
              </w:rPr>
            </w:pPr>
            <w:r>
              <w:rPr>
                <w:rFonts w:ascii="Arial" w:cs="Arial" w:eastAsia="Arial" w:hAnsi="Arial"/>
                <w:sz w:val="18"/>
                <w:szCs w:val="18"/>
                <w:b w:val="1"/>
                <w:bCs w:val="1"/>
                <w:color w:val="auto"/>
                <w:w w:val="89"/>
              </w:rPr>
              <w:t>57055L 107</w:t>
            </w:r>
          </w:p>
        </w:tc>
      </w:tr>
    </w:tbl>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Registration Rights Agreement</w:t>
      </w:r>
      <w:r>
        <w:rPr>
          <w:rFonts w:ascii="Arial" w:cs="Arial" w:eastAsia="Arial" w:hAnsi="Arial"/>
          <w:sz w:val="16"/>
          <w:szCs w:val="16"/>
          <w:color w:val="auto"/>
        </w:rPr>
        <w:t>. In connection with the Merger Agreement, the Issuer entered into a registration rights agreement with the former Marker Cell</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inclusive of the Reporting Person, (the “Registration Rights Agreement”). Pursuant to the Registration Rights Agreement, if the Issuer registered any shares of Issuer’s common stock for resale pursuant to the financing transaction which occurred concurrently with the Merger, the former Marker Cell stockholders had the right to include in the registration statement their common stock issued or issuable to such stockholders pursuant to the Merger. Such Registration Statement was field by the Issuer on October 30, 2018 pursuant to Form S-3 and declared effective on November 16, 2018.</w:t>
      </w:r>
    </w:p>
    <w:p>
      <w:pPr>
        <w:spacing w:after="0" w:line="15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56"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Merger Agreement (incorporated by reference to Exhibit 2.1 to Current Report on Form 8-K filed by Issuer with the Securities and Exchange Commission on May 15, 2018).</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Voting and Lock Up Agreement (incorporated by reference to Exhibit 2.1 to Current Report on Form 8-K filed by Issuer with the Securities and Exchange Commission on May 15, 2018).</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of Registration Rights Agreement (incorporated by reference to Exhibit 2.1 to Current Report on Form 8-K filed by Issuer with the Securities and Exchange Commission on May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1"/>
        </w:trPr>
        <w:tc>
          <w:tcPr>
            <w:tcW w:w="1240" w:type="dxa"/>
            <w:vAlign w:val="bottom"/>
          </w:tcPr>
          <w:p>
            <w:pPr>
              <w:spacing w:after="0"/>
              <w:rPr>
                <w:sz w:val="20"/>
                <w:szCs w:val="20"/>
                <w:color w:val="auto"/>
              </w:rPr>
            </w:pPr>
            <w:r>
              <w:rPr>
                <w:rFonts w:ascii="Arial" w:cs="Arial" w:eastAsia="Arial" w:hAnsi="Arial"/>
                <w:sz w:val="22"/>
                <w:szCs w:val="22"/>
                <w:b w:val="1"/>
                <w:bCs w:val="1"/>
                <w:color w:val="auto"/>
              </w:rPr>
              <w:t>CUSIP No.</w:t>
            </w:r>
          </w:p>
        </w:tc>
        <w:tc>
          <w:tcPr>
            <w:tcW w:w="1080" w:type="dxa"/>
            <w:vAlign w:val="bottom"/>
          </w:tcPr>
          <w:p>
            <w:pPr>
              <w:ind w:left="200"/>
              <w:spacing w:after="0"/>
              <w:rPr>
                <w:sz w:val="20"/>
                <w:szCs w:val="20"/>
                <w:color w:val="auto"/>
              </w:rPr>
            </w:pPr>
            <w:r>
              <w:rPr>
                <w:rFonts w:ascii="Arial" w:cs="Arial" w:eastAsia="Arial" w:hAnsi="Arial"/>
                <w:sz w:val="18"/>
                <w:szCs w:val="18"/>
                <w:b w:val="1"/>
                <w:bCs w:val="1"/>
                <w:color w:val="auto"/>
                <w:w w:val="89"/>
              </w:rPr>
              <w:t>57055L 107</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Juan Vera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2020-01-09T20:40:08Z</dcterms:created>
  <dcterms:modified xsi:type="dcterms:W3CDTF">2020-01-09T20:40:08Z</dcterms:modified>
</cp:coreProperties>
</file>