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May 18, 2018</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TAPIMMUNE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24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gridSpan w:val="3"/>
          </w:tcPr>
          <w:p>
            <w:pPr>
              <w:jc w:val="right"/>
              <w:ind w:right="1480"/>
              <w:spacing w:after="0"/>
              <w:rPr>
                <w:sz w:val="20"/>
                <w:szCs w:val="20"/>
                <w:color w:val="auto"/>
              </w:rPr>
            </w:pPr>
            <w:r>
              <w:rPr>
                <w:rFonts w:ascii="Arial" w:cs="Arial" w:eastAsia="Arial" w:hAnsi="Arial"/>
                <w:sz w:val="18"/>
                <w:szCs w:val="18"/>
                <w:b w:val="1"/>
                <w:bCs w:val="1"/>
                <w:color w:val="auto"/>
              </w:rPr>
              <w:t>001-37939</w:t>
            </w:r>
          </w:p>
        </w:tc>
        <w:tc>
          <w:tcPr>
            <w:tcW w:w="376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16"/>
        </w:trPr>
        <w:tc>
          <w:tcPr>
            <w:tcW w:w="1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91"/>
        </w:trPr>
        <w:tc>
          <w:tcPr>
            <w:tcW w:w="39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5 West Forsyth Street, Suite 200</w:t>
            </w: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32202</w:t>
            </w:r>
          </w:p>
        </w:tc>
        <w:tc>
          <w:tcPr>
            <w:tcW w:w="1440" w:type="dxa"/>
            <w:vAlign w:val="bottom"/>
            <w:tcBorders>
              <w:bottom w:val="single" w:sz="8" w:color="auto"/>
            </w:tcBorders>
          </w:tcPr>
          <w:p>
            <w:pPr>
              <w:spacing w:after="0"/>
              <w:rPr>
                <w:sz w:val="20"/>
                <w:szCs w:val="20"/>
                <w:color w:val="auto"/>
              </w:rPr>
            </w:pPr>
          </w:p>
        </w:tc>
      </w:tr>
      <w:tr>
        <w:trPr>
          <w:trHeight w:val="224"/>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20" w:type="dxa"/>
            <w:vAlign w:val="bottom"/>
            <w:gridSpan w:val="2"/>
          </w:tcPr>
          <w:p>
            <w:pPr>
              <w:jc w:val="center"/>
              <w:ind w:right="1440"/>
              <w:spacing w:after="0"/>
              <w:rPr>
                <w:sz w:val="20"/>
                <w:szCs w:val="20"/>
                <w:color w:val="auto"/>
              </w:rPr>
            </w:pPr>
            <w:r>
              <w:rPr>
                <w:rFonts w:ascii="Arial" w:cs="Arial" w:eastAsia="Arial" w:hAnsi="Arial"/>
                <w:sz w:val="18"/>
                <w:szCs w:val="18"/>
                <w:color w:val="auto"/>
                <w:w w:val="94"/>
              </w:rPr>
              <w:t>(Zip Code)</w:t>
            </w:r>
          </w:p>
        </w:tc>
      </w:tr>
      <w:tr>
        <w:trPr>
          <w:trHeight w:val="418"/>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4"/>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88"/>
              </w:rPr>
              <w:t>(Issuer's telephone number)</w:t>
            </w: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Purchase Agreement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May 18, 2018, TapImmune Inc. (the “Company”) closed on the previously announced sale of 1,300,000 shares of common stock for $2.40 per share pursuant to a Common Stock Purchase Agreement with an existing accredited investor in a private placement under Rule 506 of Regulation D pursuant to the terms of a Common Stock Purchase Agreement (the “Purchase Agreement”). Aggregate gross proceeds were approximately $3.1 million.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Purchase Agreement, a copy of which have been filed as an exhibit to the Form 10-Q filed with the SEC on May 15, 2018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Warrants Held by Existing Institutional Investors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Also on May 18, 2018, TapImmune and certain existing institutional investors, who are holders of various warrants to purchase shares of Company common stock, closed on the previously announced Warrant Exercise Agreements (collectively the “Warrant Exercise Agreements”) in which the Company agreed to reduce the exercise price for a portion of the investors’ previously purchased Series C, Series D, Series E and Series F warrants from $6.00, $9.00, $15.00 and $7.20, respectively per share to $2.50 per share, provided that the investors exercise such warrants for cash immediately, which they did, for 782,506 shares and aggregate proceeds of approximately $2.0 million. The shares of common stock underlying the exercised warrants are registered for resale under the Form S-3 Registration Statement (File no. 333-220538) declared effective by the SEC on December 29,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is a summary of the terms the Warrant Exercise Agreements and does not purport to be complete. The foregoing summary is qualified in its entirety by reference to the full text of the Warrant Exercise Agreements, copies of which were filed as exhibits to the Form 10-Q filed with the SEC on May 15, 2018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information provided in Item 1.01 under the caption </w:t>
      </w:r>
      <w:r>
        <w:rPr>
          <w:rFonts w:ascii="Arial" w:cs="Arial" w:eastAsia="Arial" w:hAnsi="Arial"/>
          <w:sz w:val="18"/>
          <w:szCs w:val="18"/>
          <w:i w:val="1"/>
          <w:iCs w:val="1"/>
          <w:color w:val="auto"/>
        </w:rPr>
        <w:t>Common Stock Purchase Agreement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Exercise of Warrants Held by Existing Institutional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Investors </w:t>
      </w:r>
      <w:r>
        <w:rPr>
          <w:rFonts w:ascii="Arial" w:cs="Arial" w:eastAsia="Arial" w:hAnsi="Arial"/>
          <w:sz w:val="18"/>
          <w:szCs w:val="18"/>
          <w:color w:val="auto"/>
        </w:rPr>
        <w:t>is incorporated by reference into this Item 3.02.</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securities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were accredited investors, as defined in Rule 501 of Regulation D promulgated under the Securities Act, (ii) the Company did not use any form of general solicitation or advertising to offer the Units; and (iii) the investment intent of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2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Description of Exhibits</w:t>
            </w:r>
          </w:p>
        </w:tc>
      </w:tr>
      <w:tr>
        <w:trPr>
          <w:trHeight w:val="169"/>
        </w:trPr>
        <w:tc>
          <w:tcPr>
            <w:tcW w:w="320" w:type="dxa"/>
            <w:vAlign w:val="bottom"/>
          </w:tcPr>
          <w:p>
            <w:pPr>
              <w:spacing w:after="0" w:line="170" w:lineRule="exact"/>
              <w:rPr>
                <w:rFonts w:ascii="Arial" w:cs="Arial" w:eastAsia="Arial" w:hAnsi="Arial"/>
                <w:sz w:val="18"/>
                <w:szCs w:val="18"/>
                <w:color w:val="0000EE"/>
                <w:w w:val="85"/>
              </w:rPr>
            </w:pPr>
            <w:hyperlink r:id="rId1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640" w:type="dxa"/>
            <w:vAlign w:val="bottom"/>
          </w:tcPr>
          <w:p>
            <w:pPr>
              <w:spacing w:after="0"/>
              <w:rPr>
                <w:sz w:val="14"/>
                <w:szCs w:val="14"/>
                <w:color w:val="auto"/>
              </w:rPr>
            </w:pPr>
          </w:p>
        </w:tc>
        <w:tc>
          <w:tcPr>
            <w:tcW w:w="9460" w:type="dxa"/>
            <w:vAlign w:val="bottom"/>
            <w:gridSpan w:val="3"/>
          </w:tcPr>
          <w:p>
            <w:pPr>
              <w:spacing w:after="0" w:line="170" w:lineRule="exact"/>
              <w:rPr>
                <w:rFonts w:ascii="Arial" w:cs="Arial" w:eastAsia="Arial" w:hAnsi="Arial"/>
                <w:sz w:val="18"/>
                <w:szCs w:val="18"/>
                <w:color w:val="0000EE"/>
              </w:rPr>
            </w:pPr>
            <w:hyperlink r:id="rId14">
              <w:r>
                <w:rPr>
                  <w:rFonts w:ascii="Arial" w:cs="Arial" w:eastAsia="Arial" w:hAnsi="Arial"/>
                  <w:sz w:val="18"/>
                  <w:szCs w:val="18"/>
                  <w:color w:val="0000EE"/>
                </w:rPr>
                <w:t>Common Stock Purchase Agreement*</w:t>
              </w:r>
            </w:hyperlink>
          </w:p>
        </w:tc>
      </w:tr>
      <w:tr>
        <w:trPr>
          <w:trHeight w:val="412"/>
        </w:trPr>
        <w:tc>
          <w:tcPr>
            <w:tcW w:w="320" w:type="dxa"/>
            <w:vAlign w:val="bottom"/>
            <w:tcBorders>
              <w:top w:val="single" w:sz="8" w:color="0000EE"/>
            </w:tcBorders>
          </w:tcPr>
          <w:p>
            <w:pPr>
              <w:spacing w:after="0"/>
              <w:rPr>
                <w:rFonts w:ascii="Arial" w:cs="Arial" w:eastAsia="Arial" w:hAnsi="Arial"/>
                <w:sz w:val="18"/>
                <w:szCs w:val="18"/>
                <w:color w:val="0000EE"/>
                <w:w w:val="85"/>
              </w:rPr>
            </w:pPr>
            <w:hyperlink r:id="rId1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640" w:type="dxa"/>
            <w:vAlign w:val="bottom"/>
          </w:tcPr>
          <w:p>
            <w:pPr>
              <w:spacing w:after="0"/>
              <w:rPr>
                <w:sz w:val="24"/>
                <w:szCs w:val="24"/>
                <w:color w:val="auto"/>
              </w:rPr>
            </w:pPr>
          </w:p>
        </w:tc>
        <w:tc>
          <w:tcPr>
            <w:tcW w:w="2740" w:type="dxa"/>
            <w:vAlign w:val="bottom"/>
            <w:tcBorders>
              <w:top w:val="single" w:sz="8" w:color="0000EE"/>
            </w:tcBorders>
            <w:gridSpan w:val="2"/>
          </w:tcPr>
          <w:p>
            <w:pPr>
              <w:spacing w:after="0"/>
              <w:rPr>
                <w:rFonts w:ascii="Arial" w:cs="Arial" w:eastAsia="Arial" w:hAnsi="Arial"/>
                <w:sz w:val="18"/>
                <w:szCs w:val="18"/>
                <w:color w:val="0000EE"/>
              </w:rPr>
            </w:pPr>
            <w:hyperlink r:id="rId15">
              <w:r>
                <w:rPr>
                  <w:rFonts w:ascii="Arial" w:cs="Arial" w:eastAsia="Arial" w:hAnsi="Arial"/>
                  <w:sz w:val="18"/>
                  <w:szCs w:val="18"/>
                  <w:color w:val="0000EE"/>
                </w:rPr>
                <w:t>Warrant Exercise Agreement*</w:t>
              </w:r>
            </w:hyperlink>
          </w:p>
        </w:tc>
        <w:tc>
          <w:tcPr>
            <w:tcW w:w="672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1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640" w:type="dxa"/>
            <w:vAlign w:val="bottom"/>
          </w:tcPr>
          <w:p>
            <w:pPr>
              <w:spacing w:after="0"/>
              <w:rPr>
                <w:sz w:val="24"/>
                <w:szCs w:val="24"/>
                <w:color w:val="auto"/>
              </w:rPr>
            </w:pPr>
          </w:p>
        </w:tc>
        <w:tc>
          <w:tcPr>
            <w:tcW w:w="9460" w:type="dxa"/>
            <w:vAlign w:val="bottom"/>
            <w:gridSpan w:val="3"/>
          </w:tcPr>
          <w:p>
            <w:pPr>
              <w:spacing w:after="0"/>
              <w:rPr>
                <w:rFonts w:ascii="Arial" w:cs="Arial" w:eastAsia="Arial" w:hAnsi="Arial"/>
                <w:sz w:val="18"/>
                <w:szCs w:val="18"/>
                <w:color w:val="0000EE"/>
              </w:rPr>
            </w:pPr>
            <w:hyperlink r:id="rId16">
              <w:r>
                <w:rPr>
                  <w:rFonts w:ascii="Arial" w:cs="Arial" w:eastAsia="Arial" w:hAnsi="Arial"/>
                  <w:sz w:val="18"/>
                  <w:szCs w:val="18"/>
                  <w:color w:val="0000EE"/>
                </w:rPr>
                <w:t>Warrant Exercise Agreement*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1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640" w:type="dxa"/>
            <w:vAlign w:val="bottom"/>
          </w:tcPr>
          <w:p>
            <w:pPr>
              <w:spacing w:after="0"/>
              <w:rPr>
                <w:sz w:val="24"/>
                <w:szCs w:val="24"/>
                <w:color w:val="auto"/>
              </w:rPr>
            </w:pPr>
          </w:p>
        </w:tc>
        <w:tc>
          <w:tcPr>
            <w:tcW w:w="9460" w:type="dxa"/>
            <w:vAlign w:val="bottom"/>
            <w:gridSpan w:val="3"/>
          </w:tcPr>
          <w:p>
            <w:pPr>
              <w:spacing w:after="0"/>
              <w:rPr>
                <w:rFonts w:ascii="Arial" w:cs="Arial" w:eastAsia="Arial" w:hAnsi="Arial"/>
                <w:sz w:val="18"/>
                <w:szCs w:val="18"/>
                <w:color w:val="0000EE"/>
              </w:rPr>
            </w:pPr>
            <w:hyperlink r:id="rId17">
              <w:r>
                <w:rPr>
                  <w:rFonts w:ascii="Arial" w:cs="Arial" w:eastAsia="Arial" w:hAnsi="Arial"/>
                  <w:sz w:val="18"/>
                  <w:szCs w:val="18"/>
                  <w:color w:val="0000EE"/>
                </w:rPr>
                <w:t>Warrant Exercise Agreement*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1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640" w:type="dxa"/>
            <w:vAlign w:val="bottom"/>
          </w:tcPr>
          <w:p>
            <w:pPr>
              <w:spacing w:after="0"/>
              <w:rPr>
                <w:sz w:val="24"/>
                <w:szCs w:val="24"/>
                <w:color w:val="auto"/>
              </w:rPr>
            </w:pPr>
          </w:p>
        </w:tc>
        <w:tc>
          <w:tcPr>
            <w:tcW w:w="9460" w:type="dxa"/>
            <w:vAlign w:val="bottom"/>
            <w:gridSpan w:val="3"/>
          </w:tcPr>
          <w:p>
            <w:pPr>
              <w:spacing w:after="0"/>
              <w:rPr>
                <w:rFonts w:ascii="Arial" w:cs="Arial" w:eastAsia="Arial" w:hAnsi="Arial"/>
                <w:sz w:val="18"/>
                <w:szCs w:val="18"/>
                <w:color w:val="0000EE"/>
              </w:rPr>
            </w:pPr>
            <w:hyperlink r:id="rId18">
              <w:r>
                <w:rPr>
                  <w:rFonts w:ascii="Arial" w:cs="Arial" w:eastAsia="Arial" w:hAnsi="Arial"/>
                  <w:sz w:val="18"/>
                  <w:szCs w:val="18"/>
                  <w:color w:val="0000EE"/>
                </w:rPr>
                <w:t>Warrant Exercise Agreement*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Form 10-Q filed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Date: May 18, 2018</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Loiacono</w:t>
            </w:r>
          </w:p>
        </w:tc>
      </w:tr>
      <w:tr>
        <w:trPr>
          <w:trHeight w:val="195"/>
        </w:trPr>
        <w:tc>
          <w:tcPr>
            <w:tcW w:w="3600" w:type="dxa"/>
            <w:vAlign w:val="bottom"/>
          </w:tcPr>
          <w:p>
            <w:pPr>
              <w:spacing w:after="0"/>
              <w:rPr>
                <w:sz w:val="16"/>
                <w:szCs w:val="16"/>
                <w:color w:val="auto"/>
              </w:rPr>
            </w:pPr>
          </w:p>
        </w:tc>
        <w:tc>
          <w:tcPr>
            <w:tcW w:w="26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r>
      <w:tr>
        <w:trPr>
          <w:trHeight w:val="230"/>
        </w:trPr>
        <w:tc>
          <w:tcPr>
            <w:tcW w:w="36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14" Type="http://schemas.openxmlformats.org/officeDocument/2006/relationships/hyperlink" Target="http://www.sec.gov/Archives/edgar/data/1094038/000114420418028862/tv493258_ex10-1.htm" TargetMode="External"/><Relationship Id="rId15" Type="http://schemas.openxmlformats.org/officeDocument/2006/relationships/hyperlink" Target="http://www.sec.gov/Archives/edgar/data/1094038/000114420418028862/tv493258_ex10-2.htm" TargetMode="External"/><Relationship Id="rId16" Type="http://schemas.openxmlformats.org/officeDocument/2006/relationships/hyperlink" Target="http://www.sec.gov/Archives/edgar/data/1094038/000114420418028862/tv493258_ex10-3.htm" TargetMode="External"/><Relationship Id="rId17" Type="http://schemas.openxmlformats.org/officeDocument/2006/relationships/hyperlink" Target="http://www.sec.gov/Archives/edgar/data/1094038/000114420418028862/tv493258_ex10-4.htm" TargetMode="External"/><Relationship Id="rId18" Type="http://schemas.openxmlformats.org/officeDocument/2006/relationships/hyperlink" Target="http://www.sec.gov/Archives/edgar/data/1094038/000114420418028862/tv493258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2020-01-15T11:49:43Z</dcterms:created>
  <dcterms:modified xsi:type="dcterms:W3CDTF">2020-01-15T11:49:43Z</dcterms:modified>
</cp:coreProperties>
</file>