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May 9,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420" w:type="dxa"/>
            <w:vAlign w:val="bottom"/>
            <w:gridSpan w:val="2"/>
          </w:tcPr>
          <w:p>
            <w:pPr>
              <w:spacing w:after="0"/>
              <w:rPr>
                <w:sz w:val="17"/>
                <w:szCs w:val="17"/>
                <w:color w:val="auto"/>
              </w:rPr>
            </w:pPr>
          </w:p>
        </w:tc>
        <w:tc>
          <w:tcPr>
            <w:tcW w:w="4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001-37939</w:t>
            </w:r>
          </w:p>
        </w:tc>
        <w:tc>
          <w:tcPr>
            <w:tcW w:w="28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426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(Commission File Number)</w:t>
            </w:r>
          </w:p>
        </w:tc>
        <w:tc>
          <w:tcPr>
            <w:tcW w:w="2840" w:type="dxa"/>
            <w:vAlign w:val="bottom"/>
            <w:gridSpan w:val="5"/>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3200 Southwest Freeway</w:t>
            </w: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2380" w:type="dxa"/>
            <w:vAlign w:val="bottom"/>
            <w:gridSpan w:val="4"/>
          </w:tcPr>
          <w:p>
            <w:pPr>
              <w:jc w:val="center"/>
              <w:ind w:right="1200"/>
              <w:spacing w:after="0"/>
              <w:rPr>
                <w:sz w:val="20"/>
                <w:szCs w:val="20"/>
                <w:color w:val="auto"/>
              </w:rPr>
            </w:pPr>
            <w:r>
              <w:rPr>
                <w:rFonts w:ascii="Arial" w:cs="Arial" w:eastAsia="Arial" w:hAnsi="Arial"/>
                <w:sz w:val="18"/>
                <w:szCs w:val="18"/>
                <w:b w:val="1"/>
                <w:bCs w:val="1"/>
                <w:color w:val="auto"/>
                <w:w w:val="87"/>
              </w:rPr>
              <w:t>Suite 2240</w:t>
            </w:r>
          </w:p>
        </w:tc>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980" w:type="dxa"/>
            <w:vAlign w:val="bottom"/>
          </w:tcPr>
          <w:p>
            <w:pPr>
              <w:spacing w:after="0"/>
              <w:rPr>
                <w:sz w:val="16"/>
                <w:szCs w:val="16"/>
                <w:color w:val="auto"/>
              </w:rPr>
            </w:pPr>
          </w:p>
        </w:tc>
        <w:tc>
          <w:tcPr>
            <w:tcW w:w="118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88"/>
              </w:rPr>
              <w:t>Houston, Texas</w:t>
            </w:r>
          </w:p>
        </w:tc>
        <w:tc>
          <w:tcPr>
            <w:tcW w:w="1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4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37"/>
        </w:trPr>
        <w:tc>
          <w:tcPr>
            <w:tcW w:w="336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8"/>
        </w:trPr>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(713) 400-6400</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6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jc w:val="center"/>
              <w:ind w:right="51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1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8"/>
        </w:trPr>
        <w:tc>
          <w:tcPr>
            <w:tcW w:w="4760" w:type="dxa"/>
            <w:vAlign w:val="bottom"/>
          </w:tcPr>
          <w:p>
            <w:pPr>
              <w:spacing w:after="0"/>
              <w:rPr>
                <w:sz w:val="24"/>
                <w:szCs w:val="24"/>
                <w:color w:val="auto"/>
              </w:rPr>
            </w:pPr>
          </w:p>
        </w:tc>
        <w:tc>
          <w:tcPr>
            <w:tcW w:w="2180" w:type="dxa"/>
            <w:vAlign w:val="bottom"/>
          </w:tcPr>
          <w:p>
            <w:pPr>
              <w:jc w:val="center"/>
              <w:ind w:right="170"/>
              <w:spacing w:after="0"/>
              <w:rPr>
                <w:sz w:val="20"/>
                <w:szCs w:val="20"/>
                <w:color w:val="auto"/>
              </w:rPr>
            </w:pPr>
            <w:r>
              <w:rPr>
                <w:rFonts w:ascii="Arial" w:cs="Arial" w:eastAsia="Arial" w:hAnsi="Arial"/>
                <w:sz w:val="18"/>
                <w:szCs w:val="18"/>
                <w:color w:val="auto"/>
                <w:w w:val="91"/>
              </w:rPr>
              <w:t>Trading</w:t>
            </w:r>
          </w:p>
        </w:tc>
        <w:tc>
          <w:tcPr>
            <w:tcW w:w="4480" w:type="dxa"/>
            <w:vAlign w:val="bottom"/>
          </w:tcPr>
          <w:p>
            <w:pPr>
              <w:spacing w:after="0"/>
              <w:rPr>
                <w:sz w:val="24"/>
                <w:szCs w:val="24"/>
                <w:color w:val="auto"/>
              </w:rPr>
            </w:pPr>
          </w:p>
        </w:tc>
      </w:tr>
      <w:tr>
        <w:trPr>
          <w:trHeight w:val="230"/>
        </w:trPr>
        <w:tc>
          <w:tcPr>
            <w:tcW w:w="4760" w:type="dxa"/>
            <w:vAlign w:val="bottom"/>
            <w:tcBorders>
              <w:bottom w:val="single" w:sz="8" w:color="auto"/>
            </w:tcBorders>
          </w:tcPr>
          <w:p>
            <w:pPr>
              <w:jc w:val="center"/>
              <w:ind w:right="530"/>
              <w:spacing w:after="0"/>
              <w:rPr>
                <w:sz w:val="20"/>
                <w:szCs w:val="20"/>
                <w:color w:val="auto"/>
              </w:rPr>
            </w:pPr>
            <w:r>
              <w:rPr>
                <w:rFonts w:ascii="Arial" w:cs="Arial" w:eastAsia="Arial" w:hAnsi="Arial"/>
                <w:sz w:val="18"/>
                <w:szCs w:val="18"/>
                <w:color w:val="auto"/>
                <w:w w:val="90"/>
              </w:rPr>
              <w:t>Title of each class</w:t>
            </w:r>
          </w:p>
        </w:tc>
        <w:tc>
          <w:tcPr>
            <w:tcW w:w="2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Symbol(s)</w:t>
            </w:r>
          </w:p>
        </w:tc>
        <w:tc>
          <w:tcPr>
            <w:tcW w:w="44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60" w:type="dxa"/>
            <w:vAlign w:val="bottom"/>
          </w:tcPr>
          <w:p>
            <w:pPr>
              <w:jc w:val="center"/>
              <w:ind w:right="550"/>
              <w:spacing w:after="0"/>
              <w:rPr>
                <w:sz w:val="20"/>
                <w:szCs w:val="20"/>
                <w:color w:val="auto"/>
              </w:rPr>
            </w:pPr>
            <w:r>
              <w:rPr>
                <w:rFonts w:ascii="Arial" w:cs="Arial" w:eastAsia="Arial" w:hAnsi="Arial"/>
                <w:sz w:val="18"/>
                <w:szCs w:val="18"/>
                <w:color w:val="auto"/>
                <w:w w:val="89"/>
              </w:rPr>
              <w:t>Common Stock, par value $0.001 per share</w:t>
            </w:r>
          </w:p>
        </w:tc>
        <w:tc>
          <w:tcPr>
            <w:tcW w:w="2180" w:type="dxa"/>
            <w:vAlign w:val="bottom"/>
          </w:tcPr>
          <w:p>
            <w:pPr>
              <w:jc w:val="center"/>
              <w:ind w:right="150"/>
              <w:spacing w:after="0"/>
              <w:rPr>
                <w:sz w:val="20"/>
                <w:szCs w:val="20"/>
                <w:color w:val="auto"/>
              </w:rPr>
            </w:pPr>
            <w:r>
              <w:rPr>
                <w:rFonts w:ascii="Arial" w:cs="Arial" w:eastAsia="Arial" w:hAnsi="Arial"/>
                <w:sz w:val="18"/>
                <w:szCs w:val="18"/>
                <w:color w:val="auto"/>
              </w:rPr>
              <w:t>MRKR</w:t>
            </w:r>
          </w:p>
        </w:tc>
        <w:tc>
          <w:tcPr>
            <w:tcW w:w="4480" w:type="dxa"/>
            <w:vAlign w:val="bottom"/>
          </w:tcPr>
          <w:p>
            <w:pPr>
              <w:jc w:val="center"/>
              <w:ind w:left="290"/>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47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4480" w:type="dxa"/>
            <w:vAlign w:val="bottom"/>
            <w:tcBorders>
              <w:bottom w:val="single" w:sz="8" w:color="auto"/>
            </w:tcBorders>
          </w:tcPr>
          <w:p>
            <w:pPr>
              <w:spacing w:after="0"/>
              <w:rPr>
                <w:sz w:val="17"/>
                <w:szCs w:val="17"/>
                <w:color w:val="auto"/>
              </w:rPr>
            </w:pPr>
          </w:p>
        </w:tc>
      </w:tr>
      <w:tr>
        <w:trPr>
          <w:trHeight w:val="28"/>
        </w:trPr>
        <w:tc>
          <w:tcPr>
            <w:tcW w:w="47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459"/>
        </w:trPr>
        <w:tc>
          <w:tcPr>
            <w:tcW w:w="47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83"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29" w:lineRule="exact"/>
        <w:rPr>
          <w:sz w:val="20"/>
          <w:szCs w:val="20"/>
          <w:color w:val="auto"/>
        </w:rPr>
      </w:pPr>
    </w:p>
    <w:p>
      <w:pPr>
        <w:ind w:left="900" w:hanging="244"/>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2019 annual meeting of shareholders of Marker Therapeutics, Inc. (“Marker” or the “Company”) was held on May 9, 2019.</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the 2019 annual meeting, the following proposals were voted on by our shareholders: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PROPOSAL I:  </w:t>
      </w:r>
      <w:r>
        <w:rPr>
          <w:rFonts w:ascii="Arial" w:cs="Arial" w:eastAsia="Arial" w:hAnsi="Arial"/>
          <w:sz w:val="18"/>
          <w:szCs w:val="18"/>
          <w:color w:val="auto"/>
        </w:rPr>
        <w:t>Election of Directors.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Mr. Frederick Wasserman, Mr. David Laskow-Pooley, Mr. John Wilson, Mr. David Eansor, Dr. Juan Vera and Mr. Peter Hoang were each re-elected as Directors, to serve until our next annual meeting of shareholders or until their respective successors are elected and qualified or until their earlier resignation, removal from office or death. The votes were as follows:</w:t>
      </w:r>
    </w:p>
    <w:p>
      <w:pPr>
        <w:spacing w:after="0" w:line="176" w:lineRule="exact"/>
        <w:rPr>
          <w:sz w:val="20"/>
          <w:szCs w:val="20"/>
          <w:color w:val="auto"/>
        </w:rPr>
      </w:pPr>
    </w:p>
    <w:tbl>
      <w:tblPr>
        <w:tblLayout w:type="fixed"/>
        <w:tblInd w:w="1170" w:type="dxa"/>
        <w:tblCellMar>
          <w:top w:w="0" w:type="dxa"/>
          <w:left w:w="0" w:type="dxa"/>
          <w:bottom w:w="0" w:type="dxa"/>
          <w:right w:w="0" w:type="dxa"/>
        </w:tblCellMar>
      </w:tblPr>
      <w:tr>
        <w:trPr>
          <w:trHeight w:val="256"/>
        </w:trPr>
        <w:tc>
          <w:tcPr>
            <w:tcW w:w="3120" w:type="dxa"/>
            <w:vAlign w:val="bottom"/>
            <w:tcBorders>
              <w:top w:val="single" w:sz="8" w:color="auto"/>
              <w:left w:val="single" w:sz="8" w:color="auto"/>
              <w:right w:val="single" w:sz="8" w:color="auto"/>
            </w:tcBorders>
          </w:tcPr>
          <w:p>
            <w:pPr>
              <w:spacing w:after="0"/>
              <w:rPr>
                <w:sz w:val="22"/>
                <w:szCs w:val="22"/>
                <w:color w:val="auto"/>
              </w:rPr>
            </w:pP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For</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Abstain/</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Broker</w:t>
            </w:r>
          </w:p>
        </w:tc>
      </w:tr>
      <w:tr>
        <w:trPr>
          <w:trHeight w:val="230"/>
        </w:trPr>
        <w:tc>
          <w:tcPr>
            <w:tcW w:w="31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Withheld</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Non-Votes</w:t>
            </w:r>
          </w:p>
        </w:tc>
      </w:tr>
      <w:tr>
        <w:trPr>
          <w:trHeight w:val="41"/>
        </w:trPr>
        <w:tc>
          <w:tcPr>
            <w:tcW w:w="312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r>
      <w:tr>
        <w:trPr>
          <w:trHeight w:val="250"/>
        </w:trPr>
        <w:tc>
          <w:tcPr>
            <w:tcW w:w="3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Frederick Wasserman</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26,358,698</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72,045</w:t>
            </w:r>
          </w:p>
        </w:tc>
        <w:tc>
          <w:tcPr>
            <w:tcW w:w="200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9,582,310</w:t>
            </w:r>
          </w:p>
        </w:tc>
      </w:tr>
      <w:tr>
        <w:trPr>
          <w:trHeight w:val="41"/>
        </w:trPr>
        <w:tc>
          <w:tcPr>
            <w:tcW w:w="312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r>
      <w:tr>
        <w:trPr>
          <w:trHeight w:val="250"/>
        </w:trPr>
        <w:tc>
          <w:tcPr>
            <w:tcW w:w="3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David Laskow-Pooley</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26,403,527</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34,716</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9,574,810</w:t>
            </w:r>
          </w:p>
        </w:tc>
      </w:tr>
      <w:tr>
        <w:trPr>
          <w:trHeight w:val="41"/>
        </w:trPr>
        <w:tc>
          <w:tcPr>
            <w:tcW w:w="312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r>
      <w:tr>
        <w:trPr>
          <w:trHeight w:val="250"/>
        </w:trPr>
        <w:tc>
          <w:tcPr>
            <w:tcW w:w="3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Wilson</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24,732,086</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1,714,082</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9,566,885</w:t>
            </w:r>
          </w:p>
        </w:tc>
      </w:tr>
      <w:tr>
        <w:trPr>
          <w:trHeight w:val="41"/>
        </w:trPr>
        <w:tc>
          <w:tcPr>
            <w:tcW w:w="312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r>
      <w:tr>
        <w:trPr>
          <w:trHeight w:val="250"/>
        </w:trPr>
        <w:tc>
          <w:tcPr>
            <w:tcW w:w="3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David Eansor</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26,385,582</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30,763</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9,596,798</w:t>
            </w:r>
          </w:p>
        </w:tc>
      </w:tr>
      <w:tr>
        <w:trPr>
          <w:trHeight w:val="41"/>
        </w:trPr>
        <w:tc>
          <w:tcPr>
            <w:tcW w:w="312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r>
      <w:tr>
        <w:trPr>
          <w:trHeight w:val="250"/>
        </w:trPr>
        <w:tc>
          <w:tcPr>
            <w:tcW w:w="3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Juan Vera</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24,803,475</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1,662,268</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9,547,310</w:t>
            </w:r>
          </w:p>
        </w:tc>
      </w:tr>
      <w:tr>
        <w:trPr>
          <w:trHeight w:val="41"/>
        </w:trPr>
        <w:tc>
          <w:tcPr>
            <w:tcW w:w="312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r>
      <w:tr>
        <w:trPr>
          <w:trHeight w:val="250"/>
        </w:trPr>
        <w:tc>
          <w:tcPr>
            <w:tcW w:w="3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Peter Hoang</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24,814,510</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1,651,233</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9,596,798</w:t>
            </w:r>
          </w:p>
        </w:tc>
      </w:tr>
      <w:tr>
        <w:trPr>
          <w:trHeight w:val="41"/>
        </w:trPr>
        <w:tc>
          <w:tcPr>
            <w:tcW w:w="312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r>
    </w:tbl>
    <w:p>
      <w:pPr>
        <w:spacing w:after="0" w:line="198" w:lineRule="exact"/>
        <w:rPr>
          <w:sz w:val="20"/>
          <w:szCs w:val="20"/>
          <w:color w:val="auto"/>
        </w:rPr>
      </w:pPr>
    </w:p>
    <w:p>
      <w:pPr>
        <w:ind w:right="140" w:firstLine="648"/>
        <w:spacing w:after="0" w:line="313" w:lineRule="auto"/>
        <w:rPr>
          <w:sz w:val="20"/>
          <w:szCs w:val="20"/>
          <w:color w:val="auto"/>
        </w:rPr>
      </w:pPr>
      <w:r>
        <w:rPr>
          <w:rFonts w:ascii="Arial" w:cs="Arial" w:eastAsia="Arial" w:hAnsi="Arial"/>
          <w:sz w:val="17"/>
          <w:szCs w:val="17"/>
          <w:b w:val="1"/>
          <w:bCs w:val="1"/>
          <w:color w:val="auto"/>
        </w:rPr>
        <w:t xml:space="preserve">PROPOSAL II: </w:t>
      </w:r>
      <w:r>
        <w:rPr>
          <w:rFonts w:ascii="Arial" w:cs="Arial" w:eastAsia="Arial" w:hAnsi="Arial"/>
          <w:sz w:val="17"/>
          <w:szCs w:val="17"/>
          <w:color w:val="auto"/>
        </w:rPr>
        <w:t>To conduct a non-binding advisory vote on executive compensation. The Company's stockholders approved, on an advisory basis,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compensation paid to the Company's named executive officers as described in the proxy statement. The votes were as follows:</w:t>
      </w:r>
    </w:p>
    <w:p>
      <w:pPr>
        <w:spacing w:after="0" w:line="137" w:lineRule="exact"/>
        <w:rPr>
          <w:sz w:val="20"/>
          <w:szCs w:val="20"/>
          <w:color w:val="auto"/>
        </w:rPr>
      </w:pPr>
    </w:p>
    <w:tbl>
      <w:tblPr>
        <w:tblLayout w:type="fixed"/>
        <w:tblInd w:w="2010" w:type="dxa"/>
        <w:tblCellMar>
          <w:top w:w="0" w:type="dxa"/>
          <w:left w:w="0" w:type="dxa"/>
          <w:bottom w:w="0" w:type="dxa"/>
          <w:right w:w="0" w:type="dxa"/>
        </w:tblCellMar>
      </w:tblPr>
      <w:tr>
        <w:trPr>
          <w:trHeight w:val="270"/>
        </w:trPr>
        <w:tc>
          <w:tcPr>
            <w:tcW w:w="48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FOR</w:t>
            </w: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20,672,232</w:t>
            </w:r>
          </w:p>
        </w:tc>
      </w:tr>
      <w:tr>
        <w:trPr>
          <w:trHeight w:val="41"/>
        </w:trPr>
        <w:tc>
          <w:tcPr>
            <w:tcW w:w="484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r>
      <w:tr>
        <w:trPr>
          <w:trHeight w:val="250"/>
        </w:trPr>
        <w:tc>
          <w:tcPr>
            <w:tcW w:w="4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AGAINST</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1,953,862</w:t>
            </w:r>
          </w:p>
        </w:tc>
      </w:tr>
      <w:tr>
        <w:trPr>
          <w:trHeight w:val="41"/>
        </w:trPr>
        <w:tc>
          <w:tcPr>
            <w:tcW w:w="484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r>
      <w:tr>
        <w:trPr>
          <w:trHeight w:val="250"/>
        </w:trPr>
        <w:tc>
          <w:tcPr>
            <w:tcW w:w="4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ABSTAIN/WITHHELD</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120,074</w:t>
            </w:r>
          </w:p>
        </w:tc>
      </w:tr>
      <w:tr>
        <w:trPr>
          <w:trHeight w:val="41"/>
        </w:trPr>
        <w:tc>
          <w:tcPr>
            <w:tcW w:w="484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r>
      <w:tr>
        <w:trPr>
          <w:trHeight w:val="250"/>
        </w:trPr>
        <w:tc>
          <w:tcPr>
            <w:tcW w:w="4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BROKER NON-VOTES</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13,266,885</w:t>
            </w:r>
          </w:p>
        </w:tc>
      </w:tr>
      <w:tr>
        <w:trPr>
          <w:trHeight w:val="41"/>
        </w:trPr>
        <w:tc>
          <w:tcPr>
            <w:tcW w:w="484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r>
    </w:tbl>
    <w:p>
      <w:pPr>
        <w:spacing w:after="0" w:line="198"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 xml:space="preserve">PROPOSAL III: </w:t>
      </w:r>
      <w:r>
        <w:rPr>
          <w:rFonts w:ascii="Arial" w:cs="Arial" w:eastAsia="Arial" w:hAnsi="Arial"/>
          <w:sz w:val="18"/>
          <w:szCs w:val="18"/>
          <w:color w:val="auto"/>
        </w:rPr>
        <w:t>Ratification of the selection of Marcum LLP as the Company’s independent auditors for the year ending December 31, 2019.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stockholders ratified the selection of Marcum LLP as the Company’s independent auditors for the year ending December 31, 2019. The votes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20" w:type="dxa"/>
            <w:vAlign w:val="bottom"/>
            <w:tcBorders>
              <w:right w:val="single" w:sz="8" w:color="auto"/>
            </w:tcBorders>
          </w:tcPr>
          <w:p>
            <w:pPr>
              <w:spacing w:after="0"/>
              <w:rPr>
                <w:sz w:val="23"/>
                <w:szCs w:val="23"/>
                <w:color w:val="auto"/>
              </w:rPr>
            </w:pPr>
          </w:p>
        </w:tc>
        <w:tc>
          <w:tcPr>
            <w:tcW w:w="48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w:t>
            </w: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35,792,766</w:t>
            </w:r>
          </w:p>
        </w:tc>
        <w:tc>
          <w:tcPr>
            <w:tcW w:w="2000" w:type="dxa"/>
            <w:vAlign w:val="bottom"/>
          </w:tcPr>
          <w:p>
            <w:pPr>
              <w:spacing w:after="0"/>
              <w:rPr>
                <w:sz w:val="23"/>
                <w:szCs w:val="23"/>
                <w:color w:val="auto"/>
              </w:rPr>
            </w:pPr>
          </w:p>
        </w:tc>
      </w:tr>
      <w:tr>
        <w:trPr>
          <w:trHeight w:val="41"/>
        </w:trPr>
        <w:tc>
          <w:tcPr>
            <w:tcW w:w="2020" w:type="dxa"/>
            <w:vAlign w:val="bottom"/>
            <w:tcBorders>
              <w:right w:val="single" w:sz="8" w:color="auto"/>
            </w:tcBorders>
          </w:tcPr>
          <w:p>
            <w:pPr>
              <w:spacing w:after="0"/>
              <w:rPr>
                <w:sz w:val="3"/>
                <w:szCs w:val="3"/>
                <w:color w:val="auto"/>
              </w:rPr>
            </w:pPr>
          </w:p>
        </w:tc>
        <w:tc>
          <w:tcPr>
            <w:tcW w:w="48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000" w:type="dxa"/>
            <w:vAlign w:val="bottom"/>
          </w:tcPr>
          <w:p>
            <w:pPr>
              <w:spacing w:after="0"/>
              <w:rPr>
                <w:sz w:val="3"/>
                <w:szCs w:val="3"/>
                <w:color w:val="auto"/>
              </w:rPr>
            </w:pPr>
          </w:p>
        </w:tc>
      </w:tr>
      <w:tr>
        <w:trPr>
          <w:trHeight w:val="250"/>
        </w:trPr>
        <w:tc>
          <w:tcPr>
            <w:tcW w:w="2020" w:type="dxa"/>
            <w:vAlign w:val="bottom"/>
            <w:tcBorders>
              <w:right w:val="single" w:sz="8" w:color="auto"/>
            </w:tcBorders>
          </w:tcPr>
          <w:p>
            <w:pPr>
              <w:spacing w:after="0"/>
              <w:rPr>
                <w:sz w:val="21"/>
                <w:szCs w:val="21"/>
                <w:color w:val="auto"/>
              </w:rPr>
            </w:pP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AGAINST</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160,077</w:t>
            </w:r>
          </w:p>
        </w:tc>
        <w:tc>
          <w:tcPr>
            <w:tcW w:w="2000" w:type="dxa"/>
            <w:vAlign w:val="bottom"/>
          </w:tcPr>
          <w:p>
            <w:pPr>
              <w:spacing w:after="0"/>
              <w:rPr>
                <w:sz w:val="21"/>
                <w:szCs w:val="21"/>
                <w:color w:val="auto"/>
              </w:rPr>
            </w:pPr>
          </w:p>
        </w:tc>
      </w:tr>
      <w:tr>
        <w:trPr>
          <w:trHeight w:val="41"/>
        </w:trPr>
        <w:tc>
          <w:tcPr>
            <w:tcW w:w="2020" w:type="dxa"/>
            <w:vAlign w:val="bottom"/>
            <w:tcBorders>
              <w:right w:val="single" w:sz="8" w:color="auto"/>
            </w:tcBorders>
          </w:tcPr>
          <w:p>
            <w:pPr>
              <w:spacing w:after="0"/>
              <w:rPr>
                <w:sz w:val="3"/>
                <w:szCs w:val="3"/>
                <w:color w:val="auto"/>
              </w:rPr>
            </w:pPr>
          </w:p>
        </w:tc>
        <w:tc>
          <w:tcPr>
            <w:tcW w:w="48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000" w:type="dxa"/>
            <w:vAlign w:val="bottom"/>
          </w:tcPr>
          <w:p>
            <w:pPr>
              <w:spacing w:after="0"/>
              <w:rPr>
                <w:sz w:val="3"/>
                <w:szCs w:val="3"/>
                <w:color w:val="auto"/>
              </w:rPr>
            </w:pPr>
          </w:p>
        </w:tc>
      </w:tr>
      <w:tr>
        <w:trPr>
          <w:trHeight w:val="250"/>
        </w:trPr>
        <w:tc>
          <w:tcPr>
            <w:tcW w:w="2020" w:type="dxa"/>
            <w:vAlign w:val="bottom"/>
            <w:tcBorders>
              <w:right w:val="single" w:sz="8" w:color="auto"/>
            </w:tcBorders>
          </w:tcPr>
          <w:p>
            <w:pPr>
              <w:spacing w:after="0"/>
              <w:rPr>
                <w:sz w:val="21"/>
                <w:szCs w:val="21"/>
                <w:color w:val="auto"/>
              </w:rPr>
            </w:pP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ABSTAIN/WITHHELD</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60,210</w:t>
            </w:r>
          </w:p>
        </w:tc>
        <w:tc>
          <w:tcPr>
            <w:tcW w:w="2000" w:type="dxa"/>
            <w:vAlign w:val="bottom"/>
          </w:tcPr>
          <w:p>
            <w:pPr>
              <w:spacing w:after="0"/>
              <w:rPr>
                <w:sz w:val="21"/>
                <w:szCs w:val="21"/>
                <w:color w:val="auto"/>
              </w:rPr>
            </w:pPr>
          </w:p>
        </w:tc>
      </w:tr>
      <w:tr>
        <w:trPr>
          <w:trHeight w:val="41"/>
        </w:trPr>
        <w:tc>
          <w:tcPr>
            <w:tcW w:w="2020" w:type="dxa"/>
            <w:vAlign w:val="bottom"/>
            <w:tcBorders>
              <w:right w:val="single" w:sz="8" w:color="auto"/>
            </w:tcBorders>
          </w:tcPr>
          <w:p>
            <w:pPr>
              <w:spacing w:after="0"/>
              <w:rPr>
                <w:sz w:val="3"/>
                <w:szCs w:val="3"/>
                <w:color w:val="auto"/>
              </w:rPr>
            </w:pPr>
          </w:p>
        </w:tc>
        <w:tc>
          <w:tcPr>
            <w:tcW w:w="48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000" w:type="dxa"/>
            <w:vAlign w:val="bottom"/>
          </w:tcPr>
          <w:p>
            <w:pPr>
              <w:spacing w:after="0"/>
              <w:rPr>
                <w:sz w:val="3"/>
                <w:szCs w:val="3"/>
                <w:color w:val="auto"/>
              </w:rPr>
            </w:pPr>
          </w:p>
        </w:tc>
      </w:tr>
      <w:tr>
        <w:trPr>
          <w:trHeight w:val="250"/>
        </w:trPr>
        <w:tc>
          <w:tcPr>
            <w:tcW w:w="2020" w:type="dxa"/>
            <w:vAlign w:val="bottom"/>
            <w:tcBorders>
              <w:right w:val="single" w:sz="8" w:color="auto"/>
            </w:tcBorders>
          </w:tcPr>
          <w:p>
            <w:pPr>
              <w:spacing w:after="0"/>
              <w:rPr>
                <w:sz w:val="21"/>
                <w:szCs w:val="21"/>
                <w:color w:val="auto"/>
              </w:rPr>
            </w:pPr>
          </w:p>
        </w:tc>
        <w:tc>
          <w:tcPr>
            <w:tcW w:w="4820" w:type="dxa"/>
            <w:vAlign w:val="bottom"/>
            <w:tcBorders>
              <w:right w:val="single" w:sz="8" w:color="auto"/>
            </w:tcBorders>
          </w:tcPr>
          <w:p>
            <w:pPr>
              <w:spacing w:after="0"/>
              <w:rPr>
                <w:sz w:val="21"/>
                <w:szCs w:val="21"/>
                <w:color w:val="auto"/>
              </w:rPr>
            </w:pP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36,013,053</w:t>
            </w:r>
          </w:p>
        </w:tc>
        <w:tc>
          <w:tcPr>
            <w:tcW w:w="2000" w:type="dxa"/>
            <w:vAlign w:val="bottom"/>
          </w:tcPr>
          <w:p>
            <w:pPr>
              <w:spacing w:after="0"/>
              <w:rPr>
                <w:sz w:val="21"/>
                <w:szCs w:val="21"/>
                <w:color w:val="auto"/>
              </w:rPr>
            </w:pPr>
          </w:p>
        </w:tc>
      </w:tr>
      <w:tr>
        <w:trPr>
          <w:trHeight w:val="41"/>
        </w:trPr>
        <w:tc>
          <w:tcPr>
            <w:tcW w:w="2020" w:type="dxa"/>
            <w:vAlign w:val="bottom"/>
            <w:tcBorders>
              <w:right w:val="single" w:sz="8" w:color="auto"/>
            </w:tcBorders>
          </w:tcPr>
          <w:p>
            <w:pPr>
              <w:spacing w:after="0"/>
              <w:rPr>
                <w:sz w:val="3"/>
                <w:szCs w:val="3"/>
                <w:color w:val="auto"/>
              </w:rPr>
            </w:pPr>
          </w:p>
        </w:tc>
        <w:tc>
          <w:tcPr>
            <w:tcW w:w="48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000" w:type="dxa"/>
            <w:vAlign w:val="bottom"/>
          </w:tcPr>
          <w:p>
            <w:pPr>
              <w:spacing w:after="0"/>
              <w:rPr>
                <w:sz w:val="3"/>
                <w:szCs w:val="3"/>
                <w:color w:val="auto"/>
              </w:rPr>
            </w:pPr>
          </w:p>
        </w:tc>
      </w:tr>
      <w:tr>
        <w:trPr>
          <w:trHeight w:val="453"/>
        </w:trPr>
        <w:tc>
          <w:tcPr>
            <w:tcW w:w="20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 on this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2019.</w:t>
      </w:r>
    </w:p>
    <w:p>
      <w:pPr>
        <w:spacing w:after="0" w:line="41"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Anthony Kim</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Anthony Kim</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80"/>
      </w:cols>
      <w:pgMar w:left="240" w:top="68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2019-12-02T20:50:14Z</dcterms:created>
  <dcterms:modified xsi:type="dcterms:W3CDTF">2019-12-02T20:50:14Z</dcterms:modified>
</cp:coreProperties>
</file>