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001-37939</w:t>
            </w:r>
          </w:p>
        </w:tc>
        <w:tc>
          <w:tcPr>
            <w:tcW w:w="178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45-4497941</w:t>
            </w:r>
          </w:p>
        </w:tc>
        <w:tc>
          <w:tcPr>
            <w:tcW w:w="8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20" w:type="dxa"/>
            <w:vAlign w:val="bottom"/>
            <w:gridSpan w:val="5"/>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9350 Kirby Drive, Suite 300</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77054</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3"/>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gridSpan w:val="4"/>
          </w:tcPr>
          <w:p>
            <w:pPr>
              <w:jc w:val="center"/>
              <w:ind w:right="82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80" w:type="dxa"/>
            <w:vAlign w:val="bottom"/>
            <w:gridSpan w:val="3"/>
          </w:tcPr>
          <w:p>
            <w:pPr>
              <w:jc w:val="right"/>
              <w:ind w:right="1620"/>
              <w:spacing w:after="0"/>
              <w:rPr>
                <w:sz w:val="20"/>
                <w:szCs w:val="20"/>
                <w:color w:val="auto"/>
              </w:rPr>
            </w:pPr>
            <w:r>
              <w:rPr>
                <w:rFonts w:ascii="Arial" w:cs="Arial" w:eastAsia="Arial" w:hAnsi="Arial"/>
                <w:sz w:val="18"/>
                <w:szCs w:val="18"/>
                <w:b w:val="1"/>
                <w:bCs w:val="1"/>
                <w:color w:val="auto"/>
              </w:rPr>
              <w:t>(713) 400-6400</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jc w:val="center"/>
              <w:ind w:right="790"/>
              <w:spacing w:after="0"/>
              <w:rPr>
                <w:sz w:val="20"/>
                <w:szCs w:val="20"/>
                <w:color w:val="auto"/>
              </w:rPr>
            </w:pPr>
            <w:r>
              <w:rPr>
                <w:rFonts w:ascii="Arial" w:cs="Arial" w:eastAsia="Arial" w:hAnsi="Arial"/>
                <w:sz w:val="18"/>
                <w:szCs w:val="18"/>
                <w:color w:val="auto"/>
                <w:w w:val="91"/>
              </w:rPr>
              <w:t>Trading</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4700" w:type="dxa"/>
            <w:vAlign w:val="bottom"/>
            <w:gridSpan w:val="3"/>
          </w:tcPr>
          <w:p>
            <w:pPr>
              <w:jc w:val="center"/>
              <w:ind w:right="1080"/>
              <w:spacing w:after="0"/>
              <w:rPr>
                <w:sz w:val="20"/>
                <w:szCs w:val="20"/>
                <w:color w:val="auto"/>
              </w:rPr>
            </w:pPr>
            <w:r>
              <w:rPr>
                <w:rFonts w:ascii="Arial" w:cs="Arial" w:eastAsia="Arial" w:hAnsi="Arial"/>
                <w:sz w:val="18"/>
                <w:szCs w:val="18"/>
                <w:color w:val="auto"/>
                <w:w w:val="90"/>
              </w:rPr>
              <w:t>Title of each class</w:t>
            </w:r>
          </w:p>
        </w:tc>
        <w:tc>
          <w:tcPr>
            <w:tcW w:w="2720" w:type="dxa"/>
            <w:vAlign w:val="bottom"/>
          </w:tcPr>
          <w:p>
            <w:pPr>
              <w:jc w:val="center"/>
              <w:ind w:right="790"/>
              <w:spacing w:after="0"/>
              <w:rPr>
                <w:sz w:val="20"/>
                <w:szCs w:val="20"/>
                <w:color w:val="auto"/>
              </w:rPr>
            </w:pPr>
            <w:r>
              <w:rPr>
                <w:rFonts w:ascii="Arial" w:cs="Arial" w:eastAsia="Arial" w:hAnsi="Arial"/>
                <w:sz w:val="18"/>
                <w:szCs w:val="18"/>
                <w:color w:val="auto"/>
                <w:w w:val="93"/>
              </w:rPr>
              <w:t>Symbol(s)</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8"/>
              </w:rPr>
              <w:t>MRKR</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3" w:lineRule="auto"/>
        <w:rPr>
          <w:rFonts w:ascii="Arial" w:cs="Arial" w:eastAsia="Arial" w:hAnsi="Arial"/>
          <w:sz w:val="17"/>
          <w:szCs w:val="17"/>
          <w:color w:val="0000EE"/>
        </w:rPr>
      </w:pPr>
      <w:r>
        <w:rPr>
          <w:rFonts w:ascii="Arial" w:cs="Arial" w:eastAsia="Arial" w:hAnsi="Arial"/>
          <w:sz w:val="17"/>
          <w:szCs w:val="17"/>
          <w:color w:val="auto"/>
        </w:rPr>
        <w:t>Effective June 30, 2023, Michael Loiacono, the Chief Accounting Officer of 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was separated from the Company. In recognition of Mr. Loiacono’s service to the Company, the Company has agreed to provide Mr. Loiacono with severance benefits that are consistent with those contemplated by his Employment Agreement, as amended as of November 27, 2018, by and between the Company and Mr. Loiacono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xml:space="preserve">”) upon Mr. Loiacono’s execution of a release agreement, the form of which is included in the Employment Agreement. The </w:t>
      </w:r>
      <w:hyperlink r:id="rId13">
        <w:r>
          <w:rPr>
            <w:rFonts w:ascii="Arial" w:cs="Arial" w:eastAsia="Arial" w:hAnsi="Arial"/>
            <w:sz w:val="17"/>
            <w:szCs w:val="17"/>
            <w:color w:val="auto"/>
          </w:rPr>
          <w:t xml:space="preserve">Employment Agreement was included as </w:t>
        </w:r>
        <w:r>
          <w:rPr>
            <w:rFonts w:ascii="Arial" w:cs="Arial" w:eastAsia="Arial" w:hAnsi="Arial"/>
            <w:sz w:val="17"/>
            <w:szCs w:val="17"/>
            <w:u w:val="single" w:color="auto"/>
            <w:color w:val="0000EE"/>
          </w:rPr>
          <w:t>Exhibit 10.2 to the Company’s Current Report on Form 8-K filed with the Securities and Exchange Commission</w:t>
        </w:r>
      </w:hyperlink>
      <w:r>
        <w:rPr>
          <w:rFonts w:ascii="Arial" w:cs="Arial" w:eastAsia="Arial" w:hAnsi="Arial"/>
          <w:sz w:val="17"/>
          <w:szCs w:val="17"/>
          <w:color w:val="auto"/>
        </w:rPr>
        <w:t xml:space="preserve"> </w:t>
      </w:r>
      <w:hyperlink r:id="rId13">
        <w:r>
          <w:rPr>
            <w:rFonts w:ascii="Arial" w:cs="Arial" w:eastAsia="Arial" w:hAnsi="Arial"/>
            <w:sz w:val="17"/>
            <w:szCs w:val="17"/>
            <w:u w:val="single" w:color="auto"/>
            <w:color w:val="0000EE"/>
          </w:rPr>
          <w:t>on December 3, 2018</w:t>
        </w:r>
        <w:r>
          <w:rPr>
            <w:rFonts w:ascii="Arial" w:cs="Arial" w:eastAsia="Arial" w:hAnsi="Arial"/>
            <w:sz w:val="17"/>
            <w:szCs w:val="17"/>
            <w:color w:val="000000"/>
          </w:rPr>
          <w:t>, and is incorporated herein by reference.</w:t>
        </w:r>
      </w:hyperlink>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Also effective June 30, 2023, the Company appointed Eliot M. Lurier as the Company’s Interim Chief Financial Officer. Mr. Lurier provides consulting services to the Company pursuant to a consulting agreement (the “</w:t>
      </w:r>
      <w:r>
        <w:rPr>
          <w:rFonts w:ascii="Arial" w:cs="Arial" w:eastAsia="Arial" w:hAnsi="Arial"/>
          <w:sz w:val="18"/>
          <w:szCs w:val="18"/>
          <w:b w:val="1"/>
          <w:bCs w:val="1"/>
          <w:i w:val="1"/>
          <w:iCs w:val="1"/>
          <w:color w:val="auto"/>
        </w:rPr>
        <w:t>Danforth Consulting Agreement</w:t>
      </w:r>
      <w:r>
        <w:rPr>
          <w:rFonts w:ascii="Arial" w:cs="Arial" w:eastAsia="Arial" w:hAnsi="Arial"/>
          <w:sz w:val="18"/>
          <w:szCs w:val="18"/>
          <w:color w:val="auto"/>
        </w:rPr>
        <w:t>”) between the Company and Danforth Advisors, LLC (“</w:t>
      </w:r>
      <w:r>
        <w:rPr>
          <w:rFonts w:ascii="Arial" w:cs="Arial" w:eastAsia="Arial" w:hAnsi="Arial"/>
          <w:sz w:val="18"/>
          <w:szCs w:val="18"/>
          <w:b w:val="1"/>
          <w:bCs w:val="1"/>
          <w:i w:val="1"/>
          <w:iCs w:val="1"/>
          <w:color w:val="auto"/>
        </w:rPr>
        <w:t>Danforth</w:t>
      </w:r>
      <w:r>
        <w:rPr>
          <w:rFonts w:ascii="Arial" w:cs="Arial" w:eastAsia="Arial" w:hAnsi="Arial"/>
          <w:sz w:val="18"/>
          <w:szCs w:val="18"/>
          <w:color w:val="auto"/>
        </w:rPr>
        <w:t>”) and receives no compensation directly from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July 2021, Mr. Lurier, age 65, has served as a consultant to several companies through Danforth, an advisory firm that provides operational and strategic support services to life science companies. Prior to joining Danforth, from September 2014 to December 2020, Mr. Lurier was Chief Financial Officer of the Joslin Diabetes Center, Inc. Mr. Lurier holds a B.S. in Accounting from Syracuse University and is a Certified Public Accountant in Massachusetts.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family relationships exist between Mr. Lurier and any of the Company’s directors or executive officers. Other than the Danforth Consulting Agreement, there are no arrangements between Mr. Lurier and any other person pursuant to which Mr. Lurier was selected as the Company’s principal financial officer, nor are there any transactions to which the Company is or was a participant and in which Mr. Lurier has a material interest subject to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0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Dated: July 3, 2023</w:t>
            </w:r>
          </w:p>
        </w:tc>
        <w:tc>
          <w:tcPr>
            <w:tcW w:w="7720" w:type="dxa"/>
            <w:vAlign w:val="bottom"/>
            <w:gridSpan w:val="2"/>
          </w:tcPr>
          <w:p>
            <w:pPr>
              <w:ind w:left="2100"/>
              <w:spacing w:after="0"/>
              <w:rPr>
                <w:sz w:val="20"/>
                <w:szCs w:val="20"/>
                <w:color w:val="auto"/>
              </w:rPr>
            </w:pPr>
            <w:r>
              <w:rPr>
                <w:rFonts w:ascii="Arial" w:cs="Arial" w:eastAsia="Arial" w:hAnsi="Arial"/>
                <w:sz w:val="18"/>
                <w:szCs w:val="18"/>
                <w:color w:val="auto"/>
              </w:rPr>
              <w:t>By: /s/ Juan Vera</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Vera</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www.sec.gov/Archives/edgar/data/1094038/000114420418062867/tv508378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2023-07-03T15:08:55Z</dcterms:created>
  <dcterms:modified xsi:type="dcterms:W3CDTF">2023-07-03T15:08:55Z</dcterms:modified>
</cp:coreProperties>
</file>