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3)</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360" w:hanging="302"/>
        <w:spacing w:after="0"/>
        <w:tabs>
          <w:tab w:leader="none" w:pos="5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360" w:hanging="297"/>
        <w:spacing w:after="0"/>
        <w:tabs>
          <w:tab w:leader="none" w:pos="536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360" w:hanging="302"/>
        <w:spacing w:after="0"/>
        <w:tabs>
          <w:tab w:leader="none" w:pos="5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rFonts w:ascii="MS PGothic" w:cs="MS PGothic" w:eastAsia="MS PGothic" w:hAnsi="MS PGothic"/>
          <w:sz w:val="18"/>
          <w:szCs w:val="18"/>
          <w:color w:val="auto"/>
        </w:rPr>
      </w:pPr>
    </w:p>
    <w:p>
      <w:pPr>
        <w:ind w:left="360" w:right="140" w:hanging="351"/>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876033309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920" w:right="8300" w:hanging="520"/>
        <w:spacing w:after="0" w:line="440" w:lineRule="auto"/>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Brio Capital Master Fund Ltd.</w:t>
      </w:r>
    </w:p>
    <w:p>
      <w:pPr>
        <w:ind w:left="920" w:hanging="520"/>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20" w:hanging="294"/>
        <w:spacing w:after="0" w:line="207" w:lineRule="exact"/>
        <w:tabs>
          <w:tab w:leader="none" w:pos="12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20" w:hanging="294"/>
        <w:spacing w:after="0" w:line="207" w:lineRule="exact"/>
        <w:tabs>
          <w:tab w:leader="none" w:pos="12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920" w:hanging="520"/>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920" w:right="7860" w:hanging="520"/>
        <w:spacing w:after="0" w:line="391"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2640" w:hanging="525"/>
        <w:spacing w:after="0"/>
        <w:tabs>
          <w:tab w:leader="none" w:pos="264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79" w:lineRule="exact"/>
        <w:rPr>
          <w:rFonts w:ascii="Arial" w:cs="Arial" w:eastAsia="Arial" w:hAnsi="Arial"/>
          <w:sz w:val="18"/>
          <w:szCs w:val="18"/>
          <w:color w:val="auto"/>
        </w:rPr>
      </w:pPr>
    </w:p>
    <w:p>
      <w:pPr>
        <w:ind w:left="2640"/>
        <w:spacing w:after="0"/>
        <w:rPr>
          <w:rFonts w:ascii="Arial" w:cs="Arial" w:eastAsia="Arial" w:hAnsi="Arial"/>
          <w:sz w:val="18"/>
          <w:szCs w:val="18"/>
          <w:color w:val="auto"/>
        </w:rPr>
      </w:pPr>
      <w:r>
        <w:rPr>
          <w:rFonts w:ascii="Arial" w:cs="Arial" w:eastAsia="Arial" w:hAnsi="Arial"/>
          <w:sz w:val="18"/>
          <w:szCs w:val="18"/>
          <w:color w:val="auto"/>
        </w:rPr>
        <w:t>798,044 shares of common stock</w:t>
      </w:r>
      <w:r>
        <w:rPr>
          <w:rFonts w:ascii="Arial" w:cs="Arial" w:eastAsia="Arial" w:hAnsi="Arial"/>
          <w:sz w:val="30"/>
          <w:szCs w:val="30"/>
          <w:color w:val="auto"/>
          <w:vertAlign w:val="superscript"/>
        </w:rPr>
        <w:t>(1) (2)</w:t>
      </w:r>
    </w:p>
    <w:p>
      <w:pPr>
        <w:ind w:left="2640" w:hanging="525"/>
        <w:spacing w:after="0"/>
        <w:tabs>
          <w:tab w:leader="none" w:pos="2640" w:val="left"/>
        </w:tabs>
        <w:numPr>
          <w:ilvl w:val="2"/>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-1889760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-1461135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-1032510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-149225</wp:posOffset>
            </wp:positionV>
            <wp:extent cx="61575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215"/>
        </w:trPr>
        <w:tc>
          <w:tcPr>
            <w:tcW w:w="1580" w:type="dxa"/>
            <w:vAlign w:val="bottom"/>
          </w:tcPr>
          <w:p>
            <w:pPr>
              <w:jc w:val="center"/>
              <w:ind w:right="30"/>
              <w:spacing w:after="0"/>
              <w:rPr>
                <w:sz w:val="20"/>
                <w:szCs w:val="20"/>
                <w:color w:val="auto"/>
              </w:rPr>
            </w:pPr>
            <w:r>
              <w:rPr>
                <w:rFonts w:ascii="Arial" w:cs="Arial" w:eastAsia="Arial" w:hAnsi="Arial"/>
                <w:sz w:val="18"/>
                <w:szCs w:val="18"/>
                <w:color w:val="auto"/>
                <w:w w:val="88"/>
              </w:rPr>
              <w:t>Number of Shares</w:t>
            </w:r>
          </w:p>
        </w:tc>
        <w:tc>
          <w:tcPr>
            <w:tcW w:w="720" w:type="dxa"/>
            <w:vAlign w:val="bottom"/>
          </w:tcPr>
          <w:p>
            <w:pPr>
              <w:spacing w:after="0"/>
              <w:rPr>
                <w:sz w:val="18"/>
                <w:szCs w:val="18"/>
                <w:color w:val="auto"/>
              </w:rPr>
            </w:pPr>
          </w:p>
        </w:tc>
        <w:tc>
          <w:tcPr>
            <w:tcW w:w="898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1580" w:type="dxa"/>
            <w:vAlign w:val="bottom"/>
          </w:tcPr>
          <w:p>
            <w:pPr>
              <w:jc w:val="center"/>
              <w:ind w:right="50"/>
              <w:spacing w:after="0"/>
              <w:rPr>
                <w:sz w:val="20"/>
                <w:szCs w:val="20"/>
                <w:color w:val="auto"/>
              </w:rPr>
            </w:pPr>
            <w:r>
              <w:rPr>
                <w:rFonts w:ascii="Arial" w:cs="Arial" w:eastAsia="Arial" w:hAnsi="Arial"/>
                <w:sz w:val="18"/>
                <w:szCs w:val="18"/>
                <w:color w:val="auto"/>
                <w:w w:val="94"/>
              </w:rPr>
              <w:t>Beneficially Owned</w:t>
            </w:r>
          </w:p>
        </w:tc>
        <w:tc>
          <w:tcPr>
            <w:tcW w:w="720" w:type="dxa"/>
            <w:vAlign w:val="bottom"/>
            <w:tcBorders>
              <w:bottom w:val="single" w:sz="8" w:color="auto"/>
            </w:tcBorders>
          </w:tcPr>
          <w:p>
            <w:pPr>
              <w:spacing w:after="0"/>
              <w:rPr>
                <w:sz w:val="19"/>
                <w:szCs w:val="19"/>
                <w:color w:val="auto"/>
              </w:rPr>
            </w:pPr>
          </w:p>
        </w:tc>
        <w:tc>
          <w:tcPr>
            <w:tcW w:w="8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5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1"/>
              </w:rPr>
              <w:t>By Each Reporting</w:t>
            </w:r>
          </w:p>
        </w:tc>
        <w:tc>
          <w:tcPr>
            <w:tcW w:w="72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7.</w:t>
            </w:r>
          </w:p>
        </w:tc>
        <w:tc>
          <w:tcPr>
            <w:tcW w:w="8980" w:type="dxa"/>
            <w:vAlign w:val="bottom"/>
          </w:tcPr>
          <w:p>
            <w:pPr>
              <w:ind w:left="2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580" w:type="dxa"/>
            <w:vAlign w:val="bottom"/>
          </w:tcPr>
          <w:p>
            <w:pPr>
              <w:jc w:val="center"/>
              <w:ind w:right="30"/>
              <w:spacing w:after="0"/>
              <w:rPr>
                <w:sz w:val="20"/>
                <w:szCs w:val="20"/>
                <w:color w:val="auto"/>
              </w:rPr>
            </w:pPr>
            <w:r>
              <w:rPr>
                <w:rFonts w:ascii="Arial" w:cs="Arial" w:eastAsia="Arial" w:hAnsi="Arial"/>
                <w:sz w:val="18"/>
                <w:szCs w:val="18"/>
                <w:color w:val="auto"/>
                <w:w w:val="91"/>
              </w:rPr>
              <w:t>Person With:</w:t>
            </w:r>
          </w:p>
        </w:tc>
        <w:tc>
          <w:tcPr>
            <w:tcW w:w="72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40"/>
        <w:spacing w:after="0" w:line="207" w:lineRule="auto"/>
        <w:rPr>
          <w:sz w:val="20"/>
          <w:szCs w:val="20"/>
          <w:color w:val="auto"/>
        </w:rPr>
      </w:pPr>
      <w:r>
        <w:rPr>
          <w:rFonts w:ascii="Arial" w:cs="Arial" w:eastAsia="Arial" w:hAnsi="Arial"/>
          <w:sz w:val="18"/>
          <w:szCs w:val="18"/>
          <w:color w:val="auto"/>
        </w:rPr>
        <w:t>798,044 shares of common stock</w:t>
      </w:r>
      <w:r>
        <w:rPr>
          <w:rFonts w:ascii="Arial" w:cs="Arial" w:eastAsia="Arial" w:hAnsi="Arial"/>
          <w:sz w:val="30"/>
          <w:szCs w:val="3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-16510</wp:posOffset>
            </wp:positionV>
            <wp:extent cx="61575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7595" cy="17145"/>
                    </a:xfrm>
                    <a:prstGeom prst="rect">
                      <a:avLst/>
                    </a:prstGeom>
                    <a:noFill/>
                  </pic:spPr>
                </pic:pic>
              </a:graphicData>
            </a:graphic>
          </wp:anchor>
        </w:drawing>
      </w:r>
    </w:p>
    <w:p>
      <w:pPr>
        <w:ind w:left="2640" w:right="6900" w:hanging="525"/>
        <w:spacing w:after="0" w:line="382" w:lineRule="auto"/>
        <w:tabs>
          <w:tab w:leader="none" w:pos="2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920" w:right="5680" w:hanging="520"/>
        <w:spacing w:after="0" w:line="315"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798,044 shares of common stock</w:t>
      </w:r>
      <w:r>
        <w:rPr>
          <w:rFonts w:ascii="Arial" w:cs="Arial" w:eastAsia="Arial" w:hAnsi="Arial"/>
          <w:sz w:val="30"/>
          <w:szCs w:val="3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920" w:hanging="565"/>
        <w:spacing w:after="0" w:line="207" w:lineRule="exact"/>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See footnote (1) below.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920" w:hanging="562"/>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7.3%</w:t>
      </w:r>
    </w:p>
    <w:p>
      <w:pPr>
        <w:spacing w:after="0" w:line="36" w:lineRule="exact"/>
        <w:rPr>
          <w:rFonts w:ascii="Arial" w:cs="Arial" w:eastAsia="Arial" w:hAnsi="Arial"/>
          <w:sz w:val="18"/>
          <w:szCs w:val="18"/>
          <w:color w:val="auto"/>
        </w:rPr>
      </w:pPr>
    </w:p>
    <w:p>
      <w:pPr>
        <w:ind w:left="920" w:hanging="56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52" w:lineRule="exact"/>
        <w:rPr>
          <w:rFonts w:ascii="Arial" w:cs="Arial" w:eastAsia="Arial" w:hAnsi="Arial"/>
          <w:sz w:val="18"/>
          <w:szCs w:val="18"/>
          <w:color w:val="auto"/>
        </w:rPr>
      </w:pPr>
    </w:p>
    <w:p>
      <w:pPr>
        <w:ind w:right="300"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Assuming exercise of all Series C Warrants and Series F Warrants but excludes Series D Warrants and Series E Warrants, which are subject to a 4.99% blocker provision.</w:t>
      </w:r>
    </w:p>
    <w:p>
      <w:pPr>
        <w:spacing w:after="0" w:line="170" w:lineRule="exact"/>
        <w:rPr>
          <w:rFonts w:ascii="Arial" w:cs="Arial" w:eastAsia="Arial" w:hAnsi="Arial"/>
          <w:sz w:val="18"/>
          <w:szCs w:val="18"/>
          <w:color w:val="auto"/>
        </w:rPr>
      </w:pPr>
    </w:p>
    <w:p>
      <w:pPr>
        <w:ind w:right="160" w:firstLine="8"/>
        <w:spacing w:after="0" w:line="286"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Brio Capital Management LLC, is the investment manager of Brio Capital Master Fund Ltd. and has the voting and investment discretion over securities held by the Brio Capital Fund Ltd. Shaye Hirsch, in his capacity as Managing Member of Brio Capital Management LLC, makes voting and investment decisions on behalf of Brio Capital Management LLC in its capacity as the investment manager of Brio Capital Master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-1857375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-1000125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460" w:type="dxa"/>
            <w:vAlign w:val="bottom"/>
            <w:gridSpan w:val="6"/>
          </w:tcPr>
          <w:p>
            <w:pPr>
              <w:ind w:left="200"/>
              <w:spacing w:after="0"/>
              <w:rPr>
                <w:sz w:val="20"/>
                <w:szCs w:val="20"/>
                <w:color w:val="auto"/>
              </w:rPr>
            </w:pPr>
            <w:r>
              <w:rPr>
                <w:rFonts w:ascii="Arial" w:cs="Arial" w:eastAsia="Arial" w:hAnsi="Arial"/>
                <w:sz w:val="18"/>
                <w:szCs w:val="18"/>
                <w:b w:val="1"/>
                <w:bCs w:val="1"/>
                <w:color w:val="auto"/>
              </w:rPr>
              <w:t>Name of Issuer</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10460" w:type="dxa"/>
            <w:vAlign w:val="bottom"/>
            <w:gridSpan w:val="6"/>
          </w:tcPr>
          <w:p>
            <w:pPr>
              <w:ind w:left="200"/>
              <w:spacing w:after="0"/>
              <w:rPr>
                <w:sz w:val="20"/>
                <w:szCs w:val="20"/>
                <w:color w:val="auto"/>
              </w:rPr>
            </w:pPr>
            <w:r>
              <w:rPr>
                <w:rFonts w:ascii="Arial" w:cs="Arial" w:eastAsia="Arial" w:hAnsi="Arial"/>
                <w:sz w:val="18"/>
                <w:szCs w:val="18"/>
                <w:color w:val="auto"/>
              </w:rPr>
              <w:t>Tapimmune, Inc.</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460" w:type="dxa"/>
            <w:vAlign w:val="bottom"/>
            <w:gridSpan w:val="6"/>
          </w:tcPr>
          <w:p>
            <w:pPr>
              <w:ind w:left="200"/>
              <w:spacing w:after="0"/>
              <w:rPr>
                <w:sz w:val="20"/>
                <w:szCs w:val="20"/>
                <w:color w:val="auto"/>
              </w:rPr>
            </w:pPr>
            <w:r>
              <w:rPr>
                <w:rFonts w:ascii="Arial" w:cs="Arial" w:eastAsia="Arial" w:hAnsi="Arial"/>
                <w:sz w:val="18"/>
                <w:szCs w:val="18"/>
                <w:b w:val="1"/>
                <w:bCs w:val="1"/>
                <w:color w:val="auto"/>
              </w:rPr>
              <w:t>Address of the Issuer’s Principal Executive Offices</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10460" w:type="dxa"/>
            <w:vAlign w:val="bottom"/>
            <w:gridSpan w:val="6"/>
          </w:tcPr>
          <w:p>
            <w:pPr>
              <w:ind w:left="200"/>
              <w:spacing w:after="0"/>
              <w:rPr>
                <w:sz w:val="20"/>
                <w:szCs w:val="20"/>
                <w:color w:val="auto"/>
              </w:rPr>
            </w:pPr>
            <w:r>
              <w:rPr>
                <w:rFonts w:ascii="Arial" w:cs="Arial" w:eastAsia="Arial" w:hAnsi="Arial"/>
                <w:sz w:val="18"/>
                <w:szCs w:val="18"/>
                <w:color w:val="auto"/>
              </w:rPr>
              <w:t>1551 Eastlake Avenue East, Suite 100, Seattle, Washington 98102</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460" w:type="dxa"/>
            <w:vAlign w:val="bottom"/>
            <w:gridSpan w:val="6"/>
          </w:tcPr>
          <w:p>
            <w:pPr>
              <w:ind w:left="200"/>
              <w:spacing w:after="0"/>
              <w:rPr>
                <w:sz w:val="20"/>
                <w:szCs w:val="20"/>
                <w:color w:val="auto"/>
              </w:rPr>
            </w:pPr>
            <w:r>
              <w:rPr>
                <w:rFonts w:ascii="Arial" w:cs="Arial" w:eastAsia="Arial" w:hAnsi="Arial"/>
                <w:sz w:val="18"/>
                <w:szCs w:val="18"/>
                <w:b w:val="1"/>
                <w:bCs w:val="1"/>
                <w:color w:val="auto"/>
              </w:rPr>
              <w:t>Names of Person Filing</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10460" w:type="dxa"/>
            <w:vAlign w:val="bottom"/>
            <w:gridSpan w:val="6"/>
          </w:tcPr>
          <w:p>
            <w:pPr>
              <w:ind w:left="200"/>
              <w:spacing w:after="0"/>
              <w:rPr>
                <w:sz w:val="20"/>
                <w:szCs w:val="20"/>
                <w:color w:val="auto"/>
              </w:rPr>
            </w:pPr>
            <w:r>
              <w:rPr>
                <w:rFonts w:ascii="Arial" w:cs="Arial" w:eastAsia="Arial" w:hAnsi="Arial"/>
                <w:sz w:val="18"/>
                <w:szCs w:val="18"/>
                <w:color w:val="auto"/>
              </w:rPr>
              <w:t>Brio Capital Master Fund Ltd.</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460" w:type="dxa"/>
            <w:vAlign w:val="bottom"/>
            <w:gridSpan w:val="6"/>
          </w:tcPr>
          <w:p>
            <w:pPr>
              <w:ind w:left="200"/>
              <w:spacing w:after="0"/>
              <w:rPr>
                <w:sz w:val="20"/>
                <w:szCs w:val="20"/>
                <w:color w:val="auto"/>
              </w:rPr>
            </w:pPr>
            <w:r>
              <w:rPr>
                <w:rFonts w:ascii="Arial" w:cs="Arial" w:eastAsia="Arial" w:hAnsi="Arial"/>
                <w:sz w:val="18"/>
                <w:szCs w:val="18"/>
                <w:b w:val="1"/>
                <w:bCs w:val="1"/>
                <w:color w:val="auto"/>
              </w:rPr>
              <w:t>Address of the Principal Business Office, or if none, Residence:</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10460" w:type="dxa"/>
            <w:vAlign w:val="bottom"/>
            <w:gridSpan w:val="6"/>
          </w:tcPr>
          <w:p>
            <w:pPr>
              <w:ind w:left="200"/>
              <w:spacing w:after="0"/>
              <w:rPr>
                <w:sz w:val="20"/>
                <w:szCs w:val="20"/>
                <w:color w:val="auto"/>
              </w:rPr>
            </w:pPr>
            <w:r>
              <w:rPr>
                <w:rFonts w:ascii="Arial" w:cs="Arial" w:eastAsia="Arial" w:hAnsi="Arial"/>
                <w:sz w:val="18"/>
                <w:szCs w:val="18"/>
                <w:color w:val="auto"/>
              </w:rPr>
              <w:t>c/o Brio Capital Management LLC, 100 Merrick Road, Suite 401 W. Rockville Center, NY 11570.</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460" w:type="dxa"/>
            <w:vAlign w:val="bottom"/>
            <w:gridSpan w:val="6"/>
          </w:tcPr>
          <w:p>
            <w:pPr>
              <w:ind w:left="200"/>
              <w:spacing w:after="0"/>
              <w:rPr>
                <w:sz w:val="20"/>
                <w:szCs w:val="20"/>
                <w:color w:val="auto"/>
              </w:rPr>
            </w:pPr>
            <w:r>
              <w:rPr>
                <w:rFonts w:ascii="Arial" w:cs="Arial" w:eastAsia="Arial" w:hAnsi="Arial"/>
                <w:sz w:val="18"/>
                <w:szCs w:val="18"/>
                <w:b w:val="1"/>
                <w:bCs w:val="1"/>
                <w:color w:val="auto"/>
              </w:rPr>
              <w:t>Citizenship</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10460" w:type="dxa"/>
            <w:vAlign w:val="bottom"/>
            <w:gridSpan w:val="6"/>
          </w:tcPr>
          <w:p>
            <w:pPr>
              <w:ind w:left="20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460" w:type="dxa"/>
            <w:vAlign w:val="bottom"/>
            <w:gridSpan w:val="6"/>
          </w:tcPr>
          <w:p>
            <w:pPr>
              <w:ind w:left="200"/>
              <w:spacing w:after="0"/>
              <w:rPr>
                <w:sz w:val="20"/>
                <w:szCs w:val="20"/>
                <w:color w:val="auto"/>
              </w:rPr>
            </w:pPr>
            <w:r>
              <w:rPr>
                <w:rFonts w:ascii="Arial" w:cs="Arial" w:eastAsia="Arial" w:hAnsi="Arial"/>
                <w:sz w:val="18"/>
                <w:szCs w:val="18"/>
                <w:b w:val="1"/>
                <w:bCs w:val="1"/>
                <w:color w:val="auto"/>
              </w:rPr>
              <w:t>Title of Class of Securities</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10460" w:type="dxa"/>
            <w:vAlign w:val="bottom"/>
            <w:gridSpan w:val="6"/>
          </w:tcPr>
          <w:p>
            <w:pPr>
              <w:ind w:left="200"/>
              <w:spacing w:after="0"/>
              <w:rPr>
                <w:sz w:val="20"/>
                <w:szCs w:val="20"/>
                <w:color w:val="auto"/>
              </w:rPr>
            </w:pPr>
            <w:r>
              <w:rPr>
                <w:rFonts w:ascii="Arial" w:cs="Arial" w:eastAsia="Arial" w:hAnsi="Arial"/>
                <w:sz w:val="18"/>
                <w:szCs w:val="18"/>
                <w:color w:val="auto"/>
              </w:rPr>
              <w:t>Common Stock, $0.001 par value per share.</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460" w:type="dxa"/>
            <w:vAlign w:val="bottom"/>
            <w:gridSpan w:val="6"/>
          </w:tcPr>
          <w:p>
            <w:pPr>
              <w:ind w:left="200"/>
              <w:spacing w:after="0"/>
              <w:rPr>
                <w:sz w:val="20"/>
                <w:szCs w:val="20"/>
                <w:color w:val="auto"/>
              </w:rPr>
            </w:pPr>
            <w:r>
              <w:rPr>
                <w:rFonts w:ascii="Arial" w:cs="Arial" w:eastAsia="Arial" w:hAnsi="Arial"/>
                <w:sz w:val="18"/>
                <w:szCs w:val="18"/>
                <w:b w:val="1"/>
                <w:bCs w:val="1"/>
                <w:color w:val="auto"/>
              </w:rPr>
              <w:t>CUSIP Number</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3460" w:type="dxa"/>
            <w:vAlign w:val="bottom"/>
            <w:gridSpan w:val="2"/>
          </w:tcPr>
          <w:p>
            <w:pPr>
              <w:ind w:left="200"/>
              <w:spacing w:after="0"/>
              <w:rPr>
                <w:sz w:val="20"/>
                <w:szCs w:val="20"/>
                <w:color w:val="auto"/>
              </w:rPr>
            </w:pPr>
            <w:r>
              <w:rPr>
                <w:rFonts w:ascii="Arial" w:cs="Arial" w:eastAsia="Arial" w:hAnsi="Arial"/>
                <w:sz w:val="18"/>
                <w:szCs w:val="18"/>
                <w:color w:val="auto"/>
              </w:rPr>
              <w:t>876033309</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460" w:type="dxa"/>
            <w:vAlign w:val="bottom"/>
            <w:gridSpan w:val="6"/>
          </w:tcPr>
          <w:p>
            <w:pPr>
              <w:ind w:left="200"/>
              <w:spacing w:after="0"/>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8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96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9980" w:type="dxa"/>
            <w:vAlign w:val="bottom"/>
            <w:gridSpan w:val="5"/>
          </w:tcPr>
          <w:p>
            <w:pPr>
              <w:ind w:left="140"/>
              <w:spacing w:after="0"/>
              <w:rPr>
                <w:sz w:val="20"/>
                <w:szCs w:val="20"/>
                <w:color w:val="auto"/>
              </w:rPr>
            </w:pPr>
            <w:r>
              <w:rPr>
                <w:rFonts w:ascii="Arial" w:cs="Arial" w:eastAsia="Arial" w:hAnsi="Arial"/>
                <w:sz w:val="18"/>
                <w:szCs w:val="18"/>
                <w:color w:val="auto"/>
              </w:rPr>
              <w:t>(a) Broker or Dealer registered under Section 15 of the Exchange Act.</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4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980" w:type="dxa"/>
            <w:vAlign w:val="bottom"/>
            <w:gridSpan w:val="5"/>
          </w:tcPr>
          <w:p>
            <w:pPr>
              <w:ind w:left="140"/>
              <w:spacing w:after="0"/>
              <w:rPr>
                <w:sz w:val="20"/>
                <w:szCs w:val="20"/>
                <w:color w:val="auto"/>
              </w:rPr>
            </w:pPr>
            <w:r>
              <w:rPr>
                <w:rFonts w:ascii="Arial" w:cs="Arial" w:eastAsia="Arial" w:hAnsi="Arial"/>
                <w:sz w:val="18"/>
                <w:szCs w:val="18"/>
                <w:color w:val="auto"/>
              </w:rPr>
              <w:t>(b) Bank as defined in Section 3(a)(b) or the Exchange Act.</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4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980" w:type="dxa"/>
            <w:vAlign w:val="bottom"/>
            <w:gridSpan w:val="5"/>
          </w:tcPr>
          <w:p>
            <w:pPr>
              <w:ind w:left="140"/>
              <w:spacing w:after="0"/>
              <w:rPr>
                <w:sz w:val="20"/>
                <w:szCs w:val="20"/>
                <w:color w:val="auto"/>
              </w:rPr>
            </w:pPr>
            <w:r>
              <w:rPr>
                <w:rFonts w:ascii="Arial" w:cs="Arial" w:eastAsia="Arial" w:hAnsi="Arial"/>
                <w:sz w:val="18"/>
                <w:szCs w:val="18"/>
                <w:color w:val="auto"/>
              </w:rPr>
              <w:t>(c) Insurance company as defined in Section 3(a)(19) of the Exchange Act.</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4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980" w:type="dxa"/>
            <w:vAlign w:val="bottom"/>
            <w:gridSpan w:val="5"/>
          </w:tcPr>
          <w:p>
            <w:pPr>
              <w:ind w:left="140"/>
              <w:spacing w:after="0"/>
              <w:rPr>
                <w:sz w:val="20"/>
                <w:szCs w:val="20"/>
                <w:color w:val="auto"/>
              </w:rPr>
            </w:pPr>
            <w:r>
              <w:rPr>
                <w:rFonts w:ascii="Arial" w:cs="Arial" w:eastAsia="Arial" w:hAnsi="Arial"/>
                <w:sz w:val="18"/>
                <w:szCs w:val="18"/>
                <w:color w:val="auto"/>
              </w:rPr>
              <w:t>(d) Investment company registered under Section 8 of the Investment Company Act.</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4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980" w:type="dxa"/>
            <w:vAlign w:val="bottom"/>
            <w:gridSpan w:val="5"/>
          </w:tcPr>
          <w:p>
            <w:pPr>
              <w:ind w:left="140"/>
              <w:spacing w:after="0"/>
              <w:rPr>
                <w:sz w:val="20"/>
                <w:szCs w:val="20"/>
                <w:color w:val="auto"/>
              </w:rPr>
            </w:pPr>
            <w:r>
              <w:rPr>
                <w:rFonts w:ascii="Arial" w:cs="Arial" w:eastAsia="Arial" w:hAnsi="Arial"/>
                <w:sz w:val="18"/>
                <w:szCs w:val="18"/>
                <w:color w:val="auto"/>
              </w:rPr>
              <w:t>(e) An Investment adviser in accordance with Rule 13d-1 (b)(1)(ii)(e).</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4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980" w:type="dxa"/>
            <w:vAlign w:val="bottom"/>
            <w:gridSpan w:val="5"/>
          </w:tcPr>
          <w:p>
            <w:pPr>
              <w:ind w:left="140"/>
              <w:spacing w:after="0"/>
              <w:rPr>
                <w:sz w:val="20"/>
                <w:szCs w:val="20"/>
                <w:color w:val="auto"/>
              </w:rPr>
            </w:pPr>
            <w:r>
              <w:rPr>
                <w:rFonts w:ascii="Arial" w:cs="Arial" w:eastAsia="Arial" w:hAnsi="Arial"/>
                <w:sz w:val="18"/>
                <w:szCs w:val="18"/>
                <w:color w:val="auto"/>
              </w:rPr>
              <w:t>(f) An employee benefit plan or endowment fund in accordance with Rule 13d 1(b)(1)(ii)(f).</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4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980" w:type="dxa"/>
            <w:vAlign w:val="bottom"/>
            <w:gridSpan w:val="5"/>
          </w:tcPr>
          <w:p>
            <w:pPr>
              <w:ind w:left="140"/>
              <w:spacing w:after="0"/>
              <w:rPr>
                <w:sz w:val="20"/>
                <w:szCs w:val="20"/>
                <w:color w:val="auto"/>
              </w:rPr>
            </w:pPr>
            <w:r>
              <w:rPr>
                <w:rFonts w:ascii="Arial" w:cs="Arial" w:eastAsia="Arial" w:hAnsi="Arial"/>
                <w:sz w:val="18"/>
                <w:szCs w:val="18"/>
                <w:color w:val="auto"/>
              </w:rPr>
              <w:t>(g) A Parent Holding Company or control person in accordance with Rule 13d 1(b)(1)(ii)(g).</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4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980" w:type="dxa"/>
            <w:vAlign w:val="bottom"/>
            <w:gridSpan w:val="5"/>
          </w:tcPr>
          <w:p>
            <w:pPr>
              <w:ind w:left="140"/>
              <w:spacing w:after="0"/>
              <w:rPr>
                <w:sz w:val="20"/>
                <w:szCs w:val="20"/>
                <w:color w:val="auto"/>
              </w:rPr>
            </w:pPr>
            <w:r>
              <w:rPr>
                <w:rFonts w:ascii="Arial" w:cs="Arial" w:eastAsia="Arial" w:hAnsi="Arial"/>
                <w:sz w:val="18"/>
                <w:szCs w:val="18"/>
                <w:color w:val="auto"/>
              </w:rPr>
              <w:t>(h) A Savings Association as defined in Section 3(b) of the Federal Deposit Insurance Act.</w:t>
            </w:r>
          </w:p>
        </w:tc>
        <w:tc>
          <w:tcPr>
            <w:tcW w:w="0" w:type="dxa"/>
            <w:vAlign w:val="bottom"/>
          </w:tcPr>
          <w:p>
            <w:pPr>
              <w:spacing w:after="0"/>
              <w:rPr>
                <w:sz w:val="1"/>
                <w:szCs w:val="1"/>
                <w:color w:val="auto"/>
              </w:rPr>
            </w:pPr>
          </w:p>
        </w:tc>
      </w:tr>
      <w:tr>
        <w:trPr>
          <w:trHeight w:val="398"/>
        </w:trPr>
        <w:tc>
          <w:tcPr>
            <w:tcW w:w="960" w:type="dxa"/>
            <w:vAlign w:val="bottom"/>
          </w:tcPr>
          <w:p>
            <w:pPr>
              <w:spacing w:after="0"/>
              <w:rPr>
                <w:sz w:val="24"/>
                <w:szCs w:val="24"/>
                <w:color w:val="auto"/>
              </w:rPr>
            </w:pPr>
          </w:p>
        </w:tc>
        <w:tc>
          <w:tcPr>
            <w:tcW w:w="4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980" w:type="dxa"/>
            <w:vAlign w:val="bottom"/>
            <w:gridSpan w:val="5"/>
          </w:tcPr>
          <w:p>
            <w:pPr>
              <w:ind w:left="140"/>
              <w:spacing w:after="0"/>
              <w:rPr>
                <w:sz w:val="20"/>
                <w:szCs w:val="20"/>
                <w:color w:val="auto"/>
              </w:rPr>
            </w:pPr>
            <w:r>
              <w:rPr>
                <w:rFonts w:ascii="Arial" w:cs="Arial" w:eastAsia="Arial" w:hAnsi="Arial"/>
                <w:sz w:val="18"/>
                <w:szCs w:val="18"/>
                <w:color w:val="auto"/>
                <w:w w:val="94"/>
              </w:rPr>
              <w:t>(i) A Church Plan that is excluded from the definition of an investment company under Section 3 (c)(14) of the Investment Company</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980" w:type="dxa"/>
            <w:vAlign w:val="bottom"/>
            <w:gridSpan w:val="5"/>
          </w:tcPr>
          <w:p>
            <w:pPr>
              <w:ind w:left="140"/>
              <w:spacing w:after="0"/>
              <w:rPr>
                <w:sz w:val="20"/>
                <w:szCs w:val="20"/>
                <w:color w:val="auto"/>
              </w:rPr>
            </w:pPr>
            <w:r>
              <w:rPr>
                <w:rFonts w:ascii="Arial" w:cs="Arial" w:eastAsia="Arial" w:hAnsi="Arial"/>
                <w:sz w:val="18"/>
                <w:szCs w:val="18"/>
                <w:color w:val="auto"/>
              </w:rPr>
              <w:t>Act.</w:t>
            </w:r>
          </w:p>
        </w:tc>
        <w:tc>
          <w:tcPr>
            <w:tcW w:w="0" w:type="dxa"/>
            <w:vAlign w:val="bottom"/>
          </w:tcPr>
          <w:p>
            <w:pPr>
              <w:spacing w:after="0"/>
              <w:rPr>
                <w:sz w:val="1"/>
                <w:szCs w:val="1"/>
                <w:color w:val="auto"/>
              </w:rPr>
            </w:pPr>
          </w:p>
        </w:tc>
      </w:tr>
      <w:tr>
        <w:trPr>
          <w:trHeight w:val="452"/>
        </w:trPr>
        <w:tc>
          <w:tcPr>
            <w:tcW w:w="960" w:type="dxa"/>
            <w:vAlign w:val="bottom"/>
          </w:tcPr>
          <w:p>
            <w:pPr>
              <w:spacing w:after="0"/>
              <w:rPr>
                <w:sz w:val="24"/>
                <w:szCs w:val="24"/>
                <w:color w:val="auto"/>
              </w:rPr>
            </w:pPr>
          </w:p>
        </w:tc>
        <w:tc>
          <w:tcPr>
            <w:tcW w:w="4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980" w:type="dxa"/>
            <w:vAlign w:val="bottom"/>
            <w:gridSpan w:val="5"/>
          </w:tcPr>
          <w:p>
            <w:pPr>
              <w:ind w:left="140"/>
              <w:spacing w:after="0"/>
              <w:rPr>
                <w:sz w:val="20"/>
                <w:szCs w:val="20"/>
                <w:color w:val="auto"/>
              </w:rPr>
            </w:pPr>
            <w:r>
              <w:rPr>
                <w:rFonts w:ascii="Arial" w:cs="Arial" w:eastAsia="Arial" w:hAnsi="Arial"/>
                <w:sz w:val="18"/>
                <w:szCs w:val="18"/>
                <w:color w:val="auto"/>
              </w:rPr>
              <w:t>(j) Group, in accordance with Rule 13d-1 (b)(1)(ii)(j).</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80" w:type="dxa"/>
            <w:vAlign w:val="bottom"/>
            <w:gridSpan w:val="5"/>
          </w:tcPr>
          <w:p>
            <w:pPr>
              <w:ind w:left="1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74"/>
        </w:trPr>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4"/>
          </w:tcPr>
          <w:p>
            <w:pPr>
              <w:ind w:left="4220"/>
              <w:spacing w:after="0"/>
              <w:rPr>
                <w:sz w:val="20"/>
                <w:szCs w:val="20"/>
                <w:color w:val="auto"/>
              </w:rPr>
            </w:pPr>
            <w:r>
              <w:rPr>
                <w:rFonts w:ascii="Arial" w:cs="Arial" w:eastAsia="Arial" w:hAnsi="Arial"/>
                <w:sz w:val="22"/>
                <w:szCs w:val="22"/>
                <w:color w:val="auto"/>
              </w:rPr>
              <w:t>3</w:t>
            </w:r>
          </w:p>
        </w:tc>
        <w:tc>
          <w:tcPr>
            <w:tcW w:w="5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3"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Ownership</w:t>
            </w:r>
          </w:p>
        </w:tc>
      </w:tr>
      <w:tr>
        <w:trPr>
          <w:trHeight w:val="432"/>
        </w:trPr>
        <w:tc>
          <w:tcPr>
            <w:tcW w:w="90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The information required by Items 4(a)-(c) is set forth in Rows 5-11 of the Cover Page and is incorporated herein by reference.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32"/>
        </w:trPr>
        <w:tc>
          <w:tcPr>
            <w:tcW w:w="90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90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w w:val="91"/>
              </w:rPr>
              <w:t>Identification and Classification of the Subsidiary Which Acquired the Security Being Reported On By the Parent Holding Company</w:t>
            </w:r>
          </w:p>
        </w:tc>
      </w:tr>
      <w:tr>
        <w:trPr>
          <w:trHeight w:val="432"/>
        </w:trPr>
        <w:tc>
          <w:tcPr>
            <w:tcW w:w="90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90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90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Certification</w:t>
            </w:r>
          </w:p>
        </w:tc>
      </w:tr>
      <w:tr>
        <w:trPr>
          <w:trHeight w:val="418"/>
        </w:trPr>
        <w:tc>
          <w:tcPr>
            <w:tcW w:w="90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not acquired and are not held for</w:t>
            </w:r>
          </w:p>
        </w:tc>
      </w:tr>
      <w:tr>
        <w:trPr>
          <w:trHeight w:val="216"/>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the purpose of or with the effect of changing or influencing the control of the issuer of the securities and were not acquired and are not held in</w:t>
            </w:r>
          </w:p>
        </w:tc>
      </w:tr>
      <w:tr>
        <w:trPr>
          <w:trHeight w:val="216"/>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9"/>
              </w:rPr>
              <w:t>connection with or as a participant in any transaction having that purpose or effect, other than activities solely in connection with a</w:t>
            </w:r>
          </w:p>
        </w:tc>
      </w:tr>
      <w:tr>
        <w:trPr>
          <w:trHeight w:val="230"/>
        </w:trPr>
        <w:tc>
          <w:tcPr>
            <w:tcW w:w="90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nomination under § 240.14a-11.</w:t>
            </w:r>
          </w:p>
        </w:tc>
      </w:tr>
      <w:tr>
        <w:trPr>
          <w:trHeight w:val="574"/>
        </w:trPr>
        <w:tc>
          <w:tcPr>
            <w:tcW w:w="90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ind w:left="4760"/>
              <w:spacing w:after="0"/>
              <w:rPr>
                <w:sz w:val="20"/>
                <w:szCs w:val="20"/>
                <w:color w:val="auto"/>
              </w:rPr>
            </w:pPr>
            <w:r>
              <w:rPr>
                <w:rFonts w:ascii="Arial" w:cs="Arial" w:eastAsia="Arial" w:hAnsi="Arial"/>
                <w:sz w:val="22"/>
                <w:szCs w:val="22"/>
                <w:color w:val="auto"/>
              </w:rPr>
              <w:t>4</w:t>
            </w:r>
          </w:p>
        </w:tc>
      </w:tr>
    </w:tbl>
    <w:p>
      <w:pPr>
        <w:sectPr>
          <w:pgSz w:w="11900" w:h="16838" w:orient="portrait"/>
          <w:cols w:equalWidth="0" w:num="1">
            <w:col w:w="11420"/>
          </w:cols>
          <w:pgMar w:left="240" w:top="796" w:right="2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January 26, 2018</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Brio Capital Master Fund Ltd.,</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Cayman Islands Exempted Company</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Brio Capital Management LLC, its Investment Manager</w:t>
      </w:r>
    </w:p>
    <w:p>
      <w:pPr>
        <w:spacing w:after="0" w:line="237"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/s/ Shaye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Shaye Hirsch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(See 18 U.S.C. 1001)</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060"/>
      </w:cols>
      <w:pgMar w:left="240" w:top="79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238E1F29"/>
    <w:multiLevelType w:val="hybridMultilevel"/>
    <w:lvl w:ilvl="0">
      <w:lvlJc w:val="left"/>
      <w:lvlText w:val="%1"/>
      <w:numFmt w:val="decimal"/>
      <w:start w:val="1"/>
    </w:lvl>
    <w:lvl w:ilvl="1">
      <w:lvlJc w:val="left"/>
      <w:lvlText w:val="%2."/>
      <w:numFmt w:val="decimal"/>
      <w:start w:val="8"/>
    </w:lvl>
  </w:abstractNum>
  <w:abstractNum w:abstractNumId="3">
    <w:nsid w:val="46E87CCD"/>
    <w:multiLevelType w:val="hybridMultilevel"/>
    <w:lvl w:ilvl="0">
      <w:lvlJc w:val="left"/>
      <w:lvlText w:val="%1."/>
      <w:numFmt w:val="decimal"/>
      <w:start w:val="9"/>
    </w:lvl>
    <w:lvl w:ilvl="1">
      <w:lvlJc w:val="left"/>
      <w:lvlText w:val="%2"/>
      <w:numFmt w:val="decimal"/>
      <w:start w:val="1"/>
    </w:lvl>
  </w:abstractNum>
  <w:abstractNum w:abstractNumId="4">
    <w:nsid w:val="3D1B58BA"/>
    <w:multiLevelType w:val="hybridMultilevel"/>
    <w:lvl w:ilvl="0">
      <w:lvlJc w:val="left"/>
      <w:lvlText w:val="%1"/>
      <w:numFmt w:val="decimal"/>
      <w:start w:val="1"/>
    </w:lvl>
    <w:lvl w:ilvl="1">
      <w:lvlJc w:val="left"/>
      <w:lvlText w:val="%2."/>
      <w:numFmt w:val="decimal"/>
      <w:start w:val="10"/>
    </w:lvl>
  </w:abstractNum>
  <w:abstractNum w:abstractNumId="5">
    <w:nsid w:val="507ED7AB"/>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2020-01-14T03:54:04Z</dcterms:created>
  <dcterms:modified xsi:type="dcterms:W3CDTF">2020-01-14T03:54:04Z</dcterms:modified>
</cp:coreProperties>
</file>