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 (Amendment No. __)</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57055L 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John R. Wilson</w:t>
      </w:r>
    </w:p>
    <w:p>
      <w:pPr>
        <w:ind w:left="4980"/>
        <w:spacing w:after="0" w:line="198" w:lineRule="auto"/>
        <w:rPr>
          <w:sz w:val="20"/>
          <w:szCs w:val="20"/>
          <w:color w:val="auto"/>
        </w:rPr>
      </w:pPr>
      <w:r>
        <w:rPr>
          <w:rFonts w:ascii="Arial" w:cs="Arial" w:eastAsia="Arial" w:hAnsi="Arial"/>
          <w:sz w:val="18"/>
          <w:szCs w:val="18"/>
          <w:b w:val="1"/>
          <w:bCs w:val="1"/>
          <w:color w:val="auto"/>
        </w:rPr>
        <w:t>33 5</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Avenue N.W.</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Brighton, Minnesota 55112</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651-628-9259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October 17,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240.13d-7(b)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559435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560" w:type="dxa"/>
            <w:vAlign w:val="bottom"/>
          </w:tcPr>
          <w:p>
            <w:pPr>
              <w:ind w:left="2180"/>
              <w:spacing w:after="0"/>
              <w:rPr>
                <w:sz w:val="20"/>
                <w:szCs w:val="20"/>
                <w:color w:val="auto"/>
              </w:rPr>
            </w:pPr>
            <w:r>
              <w:rPr>
                <w:rFonts w:ascii="Arial" w:cs="Arial" w:eastAsia="Arial" w:hAnsi="Arial"/>
                <w:sz w:val="18"/>
                <w:szCs w:val="18"/>
                <w:b w:val="1"/>
                <w:bCs w:val="1"/>
                <w:color w:val="auto"/>
              </w:rPr>
              <w:t>SCHEDULE 13D</w:t>
            </w:r>
          </w:p>
        </w:tc>
        <w:tc>
          <w:tcPr>
            <w:tcW w:w="0" w:type="dxa"/>
            <w:vAlign w:val="bottom"/>
          </w:tcPr>
          <w:p>
            <w:pPr>
              <w:spacing w:after="0"/>
              <w:rPr>
                <w:sz w:val="1"/>
                <w:szCs w:val="1"/>
                <w:color w:val="auto"/>
              </w:rPr>
            </w:pPr>
          </w:p>
        </w:tc>
      </w:tr>
      <w:tr>
        <w:trPr>
          <w:trHeight w:val="216"/>
        </w:trPr>
        <w:tc>
          <w:tcPr>
            <w:tcW w:w="60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8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00" w:type="dxa"/>
            <w:vAlign w:val="bottom"/>
            <w:tcBorders>
              <w:top w:val="single" w:sz="8" w:color="auto"/>
              <w:left w:val="single" w:sz="8" w:color="auto"/>
              <w:bottom w:val="single" w:sz="8" w:color="auto"/>
            </w:tcBorders>
            <w:gridSpan w:val="3"/>
          </w:tcPr>
          <w:p>
            <w:pPr>
              <w:ind w:left="20"/>
              <w:spacing w:after="0" w:line="237" w:lineRule="exact"/>
              <w:rPr>
                <w:sz w:val="20"/>
                <w:szCs w:val="20"/>
                <w:color w:val="auto"/>
              </w:rPr>
            </w:pPr>
            <w:r>
              <w:rPr>
                <w:rFonts w:ascii="Arial" w:cs="Arial" w:eastAsia="Arial" w:hAnsi="Arial"/>
                <w:sz w:val="22"/>
                <w:szCs w:val="22"/>
                <w:b w:val="1"/>
                <w:bCs w:val="1"/>
                <w:color w:val="auto"/>
              </w:rPr>
              <w:t>CUSIP No.</w:t>
            </w: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57055L 107</w:t>
            </w:r>
          </w:p>
        </w:tc>
        <w:tc>
          <w:tcPr>
            <w:tcW w:w="8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34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Borders>
              <w:left w:val="single" w:sz="8" w:color="auto"/>
            </w:tcBorders>
          </w:tcPr>
          <w:p>
            <w:pPr>
              <w:ind w:left="120"/>
              <w:spacing w:after="0" w:line="222" w:lineRule="exact"/>
              <w:rPr>
                <w:sz w:val="20"/>
                <w:szCs w:val="20"/>
                <w:color w:val="auto"/>
              </w:rPr>
            </w:pPr>
            <w:r>
              <w:rPr>
                <w:rFonts w:ascii="Arial" w:cs="Arial" w:eastAsia="Arial" w:hAnsi="Arial"/>
                <w:sz w:val="22"/>
                <w:szCs w:val="22"/>
                <w:b w:val="1"/>
                <w:bCs w:val="1"/>
                <w:color w:val="auto"/>
              </w:rPr>
              <w:t>1</w:t>
            </w:r>
          </w:p>
        </w:tc>
        <w:tc>
          <w:tcPr>
            <w:tcW w:w="220" w:type="dxa"/>
            <w:vAlign w:val="bottom"/>
            <w:tcBorders>
              <w:right w:val="single" w:sz="8" w:color="auto"/>
            </w:tcBorders>
          </w:tcPr>
          <w:p>
            <w:pPr>
              <w:spacing w:after="0"/>
              <w:rPr>
                <w:sz w:val="19"/>
                <w:szCs w:val="19"/>
                <w:color w:val="auto"/>
              </w:rPr>
            </w:pP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70"/>
        </w:trPr>
        <w:tc>
          <w:tcPr>
            <w:tcW w:w="380" w:type="dxa"/>
            <w:vAlign w:val="bottom"/>
            <w:tcBorders>
              <w:left w:val="single" w:sz="8" w:color="auto"/>
              <w:bottom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15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1"/>
              </w:rPr>
              <w:t>John Robert Wilson</w:t>
            </w:r>
          </w:p>
        </w:tc>
        <w:tc>
          <w:tcPr>
            <w:tcW w:w="700" w:type="dxa"/>
            <w:vAlign w:val="bottom"/>
            <w:tcBorders>
              <w:bottom w:val="single" w:sz="8" w:color="auto"/>
            </w:tcBorders>
          </w:tcPr>
          <w:p>
            <w:pPr>
              <w:spacing w:after="0"/>
              <w:rPr>
                <w:sz w:val="23"/>
                <w:szCs w:val="23"/>
                <w:color w:val="auto"/>
              </w:rPr>
            </w:pPr>
          </w:p>
        </w:tc>
        <w:tc>
          <w:tcPr>
            <w:tcW w:w="85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80" w:type="dxa"/>
            <w:vAlign w:val="bottom"/>
            <w:tcBorders>
              <w:left w:val="single" w:sz="8" w:color="auto"/>
            </w:tcBorders>
          </w:tcPr>
          <w:p>
            <w:pPr>
              <w:ind w:left="120"/>
              <w:spacing w:after="0" w:line="209" w:lineRule="exact"/>
              <w:rPr>
                <w:sz w:val="20"/>
                <w:szCs w:val="20"/>
                <w:color w:val="auto"/>
              </w:rPr>
            </w:pPr>
            <w:r>
              <w:rPr>
                <w:rFonts w:ascii="Arial" w:cs="Arial" w:eastAsia="Arial" w:hAnsi="Arial"/>
                <w:sz w:val="22"/>
                <w:szCs w:val="22"/>
                <w:b w:val="1"/>
                <w:bCs w:val="1"/>
                <w:color w:val="auto"/>
              </w:rPr>
              <w:t>2</w:t>
            </w:r>
          </w:p>
        </w:tc>
        <w:tc>
          <w:tcPr>
            <w:tcW w:w="220" w:type="dxa"/>
            <w:vAlign w:val="bottom"/>
            <w:tcBorders>
              <w:right w:val="single" w:sz="8" w:color="auto"/>
            </w:tcBorders>
          </w:tcPr>
          <w:p>
            <w:pPr>
              <w:spacing w:after="0"/>
              <w:rPr>
                <w:sz w:val="18"/>
                <w:szCs w:val="18"/>
                <w:color w:val="auto"/>
              </w:rPr>
            </w:pP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196"/>
        </w:trPr>
        <w:tc>
          <w:tcPr>
            <w:tcW w:w="380" w:type="dxa"/>
            <w:vAlign w:val="bottom"/>
            <w:tcBorders>
              <w:lef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700" w:type="dxa"/>
            <w:vAlign w:val="bottom"/>
          </w:tcPr>
          <w:p>
            <w:pPr>
              <w:ind w:left="420"/>
              <w:spacing w:after="0" w:line="196" w:lineRule="exact"/>
              <w:rPr>
                <w:sz w:val="20"/>
                <w:szCs w:val="20"/>
                <w:color w:val="auto"/>
              </w:rPr>
            </w:pPr>
            <w:r>
              <w:rPr>
                <w:rFonts w:ascii="Arial" w:cs="Arial" w:eastAsia="Arial" w:hAnsi="Arial"/>
                <w:sz w:val="18"/>
                <w:szCs w:val="18"/>
                <w:color w:val="auto"/>
              </w:rPr>
              <w:t>(a)</w:t>
            </w:r>
          </w:p>
        </w:tc>
        <w:tc>
          <w:tcPr>
            <w:tcW w:w="860" w:type="dxa"/>
            <w:vAlign w:val="bottom"/>
            <w:gridSpan w:val="3"/>
          </w:tcPr>
          <w:p>
            <w:pPr>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spacing w:after="0"/>
              <w:rPr>
                <w:sz w:val="17"/>
                <w:szCs w:val="17"/>
                <w:color w:val="auto"/>
              </w:rPr>
            </w:pPr>
          </w:p>
        </w:tc>
        <w:tc>
          <w:tcPr>
            <w:tcW w:w="8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80" w:type="dxa"/>
            <w:vAlign w:val="bottom"/>
            <w:tcBorders>
              <w:left w:val="single" w:sz="8" w:color="auto"/>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(b)</w:t>
            </w:r>
          </w:p>
        </w:tc>
        <w:tc>
          <w:tcPr>
            <w:tcW w:w="860" w:type="dxa"/>
            <w:vAlign w:val="bottom"/>
            <w:tcBorders>
              <w:bottom w:val="single" w:sz="8" w:color="auto"/>
            </w:tcBorders>
            <w:gridSpan w:val="3"/>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Borders>
              <w:bottom w:val="single" w:sz="8" w:color="auto"/>
            </w:tcBorders>
          </w:tcPr>
          <w:p>
            <w:pPr>
              <w:spacing w:after="0"/>
              <w:rPr>
                <w:sz w:val="22"/>
                <w:szCs w:val="22"/>
                <w:color w:val="auto"/>
              </w:rPr>
            </w:pPr>
          </w:p>
        </w:tc>
        <w:tc>
          <w:tcPr>
            <w:tcW w:w="85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22"/>
                <w:szCs w:val="22"/>
                <w:b w:val="1"/>
                <w:bCs w:val="1"/>
                <w:color w:val="auto"/>
              </w:rPr>
              <w:t>3</w:t>
            </w:r>
          </w:p>
        </w:tc>
        <w:tc>
          <w:tcPr>
            <w:tcW w:w="220" w:type="dxa"/>
            <w:vAlign w:val="bottom"/>
            <w:tcBorders>
              <w:right w:val="single" w:sz="8" w:color="auto"/>
            </w:tcBorders>
          </w:tcPr>
          <w:p>
            <w:pPr>
              <w:spacing w:after="0"/>
              <w:rPr>
                <w:sz w:val="23"/>
                <w:szCs w:val="23"/>
                <w:color w:val="auto"/>
              </w:rPr>
            </w:pPr>
          </w:p>
        </w:tc>
        <w:tc>
          <w:tcPr>
            <w:tcW w:w="156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700" w:type="dxa"/>
            <w:vAlign w:val="bottom"/>
          </w:tcPr>
          <w:p>
            <w:pPr>
              <w:spacing w:after="0"/>
              <w:rPr>
                <w:sz w:val="23"/>
                <w:szCs w:val="23"/>
                <w:color w:val="auto"/>
              </w:rPr>
            </w:pPr>
          </w:p>
        </w:tc>
        <w:tc>
          <w:tcPr>
            <w:tcW w:w="8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gridSpan w:val="2"/>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34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22"/>
                <w:szCs w:val="22"/>
                <w:b w:val="1"/>
                <w:bCs w:val="1"/>
                <w:color w:val="auto"/>
              </w:rPr>
              <w:t>4</w:t>
            </w:r>
          </w:p>
        </w:tc>
        <w:tc>
          <w:tcPr>
            <w:tcW w:w="220" w:type="dxa"/>
            <w:vAlign w:val="bottom"/>
            <w:tcBorders>
              <w:right w:val="single" w:sz="8" w:color="auto"/>
            </w:tcBorders>
          </w:tcPr>
          <w:p>
            <w:pPr>
              <w:spacing w:after="0"/>
              <w:rPr>
                <w:sz w:val="23"/>
                <w:szCs w:val="23"/>
                <w:color w:val="auto"/>
              </w:rPr>
            </w:pP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3"/>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OO</w:t>
            </w: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80" w:type="dxa"/>
            <w:vAlign w:val="bottom"/>
            <w:tcBorders>
              <w:left w:val="single" w:sz="8" w:color="auto"/>
            </w:tcBorders>
          </w:tcPr>
          <w:p>
            <w:pPr>
              <w:ind w:left="120"/>
              <w:spacing w:after="0" w:line="244" w:lineRule="exact"/>
              <w:rPr>
                <w:sz w:val="20"/>
                <w:szCs w:val="20"/>
                <w:color w:val="auto"/>
              </w:rPr>
            </w:pPr>
            <w:r>
              <w:rPr>
                <w:rFonts w:ascii="Arial" w:cs="Arial" w:eastAsia="Arial" w:hAnsi="Arial"/>
                <w:sz w:val="22"/>
                <w:szCs w:val="22"/>
                <w:b w:val="1"/>
                <w:bCs w:val="1"/>
                <w:color w:val="auto"/>
              </w:rPr>
              <w:t>5</w:t>
            </w:r>
          </w:p>
        </w:tc>
        <w:tc>
          <w:tcPr>
            <w:tcW w:w="220" w:type="dxa"/>
            <w:vAlign w:val="bottom"/>
            <w:tcBorders>
              <w:right w:val="single" w:sz="8" w:color="auto"/>
            </w:tcBorders>
          </w:tcPr>
          <w:p>
            <w:pPr>
              <w:spacing w:after="0"/>
              <w:rPr>
                <w:sz w:val="21"/>
                <w:szCs w:val="21"/>
                <w:color w:val="auto"/>
              </w:rPr>
            </w:pP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63"/>
        </w:trPr>
        <w:tc>
          <w:tcPr>
            <w:tcW w:w="380" w:type="dxa"/>
            <w:vAlign w:val="bottom"/>
            <w:tcBorders>
              <w:left w:val="single" w:sz="8" w:color="auto"/>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8560" w:type="dxa"/>
            <w:vAlign w:val="bottom"/>
            <w:tcBorders>
              <w:bottom w:val="single" w:sz="8" w:color="auto"/>
              <w:right w:val="single" w:sz="8" w:color="auto"/>
            </w:tcBorders>
          </w:tcPr>
          <w:p>
            <w:pPr>
              <w:ind w:left="10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4"/>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22"/>
                <w:szCs w:val="22"/>
                <w:b w:val="1"/>
                <w:bCs w:val="1"/>
                <w:color w:val="auto"/>
              </w:rPr>
              <w:t>6</w:t>
            </w:r>
          </w:p>
        </w:tc>
        <w:tc>
          <w:tcPr>
            <w:tcW w:w="220" w:type="dxa"/>
            <w:vAlign w:val="bottom"/>
          </w:tcPr>
          <w:p>
            <w:pPr>
              <w:spacing w:after="0"/>
              <w:rPr>
                <w:sz w:val="23"/>
                <w:szCs w:val="23"/>
                <w:color w:val="auto"/>
              </w:rPr>
            </w:pPr>
          </w:p>
        </w:tc>
        <w:tc>
          <w:tcPr>
            <w:tcW w:w="1082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3"/>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United States</w:t>
            </w:r>
          </w:p>
        </w:tc>
        <w:tc>
          <w:tcPr>
            <w:tcW w:w="70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00" w:type="dxa"/>
            <w:vAlign w:val="bottom"/>
            <w:tcBorders>
              <w:left w:val="single" w:sz="8" w:color="auto"/>
            </w:tcBorders>
            <w:gridSpan w:val="3"/>
            <w:vMerge w:val="restart"/>
          </w:tcPr>
          <w:p>
            <w:pPr>
              <w:jc w:val="center"/>
              <w:ind w:left="117"/>
              <w:spacing w:after="0"/>
              <w:rPr>
                <w:sz w:val="20"/>
                <w:szCs w:val="20"/>
                <w:color w:val="auto"/>
              </w:rPr>
            </w:pPr>
            <w:r>
              <w:rPr>
                <w:rFonts w:ascii="Arial" w:cs="Arial" w:eastAsia="Arial" w:hAnsi="Arial"/>
                <w:sz w:val="18"/>
                <w:szCs w:val="18"/>
                <w:color w:val="auto"/>
                <w:w w:val="96"/>
              </w:rPr>
              <w:t>NUMBER OF</w:t>
            </w:r>
          </w:p>
        </w:tc>
        <w:tc>
          <w:tcPr>
            <w:tcW w:w="220" w:type="dxa"/>
            <w:vAlign w:val="bottom"/>
            <w:tcBorders>
              <w:right w:val="single" w:sz="8" w:color="auto"/>
            </w:tcBorders>
          </w:tcPr>
          <w:p>
            <w:pPr>
              <w:spacing w:after="0"/>
              <w:rPr>
                <w:sz w:val="23"/>
                <w:szCs w:val="23"/>
                <w:color w:val="auto"/>
              </w:rPr>
            </w:pPr>
          </w:p>
        </w:tc>
        <w:tc>
          <w:tcPr>
            <w:tcW w:w="56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7</w:t>
            </w:r>
          </w:p>
        </w:tc>
        <w:tc>
          <w:tcPr>
            <w:tcW w:w="80" w:type="dxa"/>
            <w:vAlign w:val="bottom"/>
          </w:tcPr>
          <w:p>
            <w:pPr>
              <w:spacing w:after="0"/>
              <w:rPr>
                <w:sz w:val="23"/>
                <w:szCs w:val="23"/>
                <w:color w:val="auto"/>
              </w:rPr>
            </w:pPr>
          </w:p>
        </w:tc>
        <w:tc>
          <w:tcPr>
            <w:tcW w:w="92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97"/>
        </w:trPr>
        <w:tc>
          <w:tcPr>
            <w:tcW w:w="1300" w:type="dxa"/>
            <w:vAlign w:val="bottom"/>
            <w:tcBorders>
              <w:left w:val="single" w:sz="8" w:color="auto"/>
            </w:tcBorders>
            <w:gridSpan w:val="3"/>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8,261,853</w:t>
            </w:r>
          </w:p>
        </w:tc>
        <w:tc>
          <w:tcPr>
            <w:tcW w:w="0" w:type="dxa"/>
            <w:vAlign w:val="bottom"/>
          </w:tcPr>
          <w:p>
            <w:pPr>
              <w:spacing w:after="0"/>
              <w:rPr>
                <w:sz w:val="1"/>
                <w:szCs w:val="1"/>
                <w:color w:val="auto"/>
              </w:rPr>
            </w:pPr>
          </w:p>
        </w:tc>
      </w:tr>
      <w:tr>
        <w:trPr>
          <w:trHeight w:val="136"/>
        </w:trPr>
        <w:tc>
          <w:tcPr>
            <w:tcW w:w="380" w:type="dxa"/>
            <w:vAlign w:val="bottom"/>
            <w:tcBorders>
              <w:left w:val="single" w:sz="8" w:color="auto"/>
            </w:tcBorders>
          </w:tcPr>
          <w:p>
            <w:pPr>
              <w:spacing w:after="0"/>
              <w:rPr>
                <w:sz w:val="11"/>
                <w:szCs w:val="11"/>
                <w:color w:val="auto"/>
              </w:rPr>
            </w:pPr>
          </w:p>
        </w:tc>
        <w:tc>
          <w:tcPr>
            <w:tcW w:w="920" w:type="dxa"/>
            <w:vAlign w:val="bottom"/>
            <w:gridSpan w:val="2"/>
            <w:vMerge w:val="restart"/>
          </w:tcPr>
          <w:p>
            <w:pPr>
              <w:jc w:val="center"/>
              <w:ind w:right="70"/>
              <w:spacing w:after="0"/>
              <w:rPr>
                <w:sz w:val="20"/>
                <w:szCs w:val="20"/>
                <w:color w:val="auto"/>
              </w:rPr>
            </w:pPr>
            <w:r>
              <w:rPr>
                <w:rFonts w:ascii="Arial" w:cs="Arial" w:eastAsia="Arial" w:hAnsi="Arial"/>
                <w:sz w:val="18"/>
                <w:szCs w:val="18"/>
                <w:color w:val="auto"/>
                <w:w w:val="91"/>
              </w:rPr>
              <w:t>SHARES</w:t>
            </w:r>
          </w:p>
        </w:tc>
        <w:tc>
          <w:tcPr>
            <w:tcW w:w="220" w:type="dxa"/>
            <w:vAlign w:val="bottom"/>
            <w:tcBorders>
              <w:right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60" w:type="dxa"/>
            <w:vAlign w:val="bottom"/>
            <w:tcBorders>
              <w:bottom w:val="single" w:sz="8" w:color="auto"/>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380" w:type="dxa"/>
            <w:vAlign w:val="bottom"/>
            <w:tcBorders>
              <w:left w:val="single" w:sz="8" w:color="auto"/>
            </w:tcBorders>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8</w:t>
            </w:r>
          </w:p>
        </w:tc>
        <w:tc>
          <w:tcPr>
            <w:tcW w:w="80" w:type="dxa"/>
            <w:vAlign w:val="bottom"/>
          </w:tcPr>
          <w:p>
            <w:pPr>
              <w:spacing w:after="0"/>
              <w:rPr>
                <w:sz w:val="5"/>
                <w:szCs w:val="5"/>
                <w:color w:val="auto"/>
              </w:rPr>
            </w:pPr>
          </w:p>
        </w:tc>
        <w:tc>
          <w:tcPr>
            <w:tcW w:w="9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Borders>
              <w:left w:val="single" w:sz="8" w:color="auto"/>
            </w:tcBorders>
            <w:gridSpan w:val="3"/>
          </w:tcPr>
          <w:p>
            <w:pPr>
              <w:jc w:val="center"/>
              <w:ind w:left="117"/>
              <w:spacing w:after="0"/>
              <w:rPr>
                <w:sz w:val="20"/>
                <w:szCs w:val="20"/>
                <w:color w:val="auto"/>
              </w:rPr>
            </w:pPr>
            <w:r>
              <w:rPr>
                <w:rFonts w:ascii="Arial" w:cs="Arial" w:eastAsia="Arial" w:hAnsi="Arial"/>
                <w:sz w:val="18"/>
                <w:szCs w:val="18"/>
                <w:color w:val="auto"/>
                <w:w w:val="97"/>
              </w:rPr>
              <w:t>OWNED BY</w:t>
            </w:r>
          </w:p>
        </w:tc>
        <w:tc>
          <w:tcPr>
            <w:tcW w:w="220" w:type="dxa"/>
            <w:vAlign w:val="bottom"/>
            <w:tcBorders>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0" w:type="dxa"/>
            <w:vAlign w:val="bottom"/>
            <w:tcBorders>
              <w:left w:val="single" w:sz="8" w:color="auto"/>
            </w:tcBorders>
          </w:tcPr>
          <w:p>
            <w:pPr>
              <w:spacing w:after="0"/>
              <w:rPr>
                <w:sz w:val="17"/>
                <w:szCs w:val="17"/>
                <w:color w:val="auto"/>
              </w:rPr>
            </w:pPr>
          </w:p>
        </w:tc>
        <w:tc>
          <w:tcPr>
            <w:tcW w:w="920" w:type="dxa"/>
            <w:vAlign w:val="bottom"/>
            <w:gridSpan w:val="2"/>
          </w:tcPr>
          <w:p>
            <w:pPr>
              <w:jc w:val="center"/>
              <w:ind w:right="70"/>
              <w:spacing w:after="0" w:line="198" w:lineRule="exact"/>
              <w:rPr>
                <w:sz w:val="20"/>
                <w:szCs w:val="20"/>
                <w:color w:val="auto"/>
              </w:rPr>
            </w:pPr>
            <w:r>
              <w:rPr>
                <w:rFonts w:ascii="Arial" w:cs="Arial" w:eastAsia="Arial" w:hAnsi="Arial"/>
                <w:sz w:val="18"/>
                <w:szCs w:val="18"/>
                <w:color w:val="auto"/>
                <w:w w:val="95"/>
              </w:rPr>
              <w:t>EACH</w:t>
            </w:r>
          </w:p>
        </w:tc>
        <w:tc>
          <w:tcPr>
            <w:tcW w:w="2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22"/>
                <w:szCs w:val="22"/>
                <w:b w:val="1"/>
                <w:bCs w:val="1"/>
                <w:color w:val="auto"/>
              </w:rPr>
              <w:t>9</w:t>
            </w:r>
          </w:p>
        </w:tc>
        <w:tc>
          <w:tcPr>
            <w:tcW w:w="80" w:type="dxa"/>
            <w:vAlign w:val="bottom"/>
          </w:tcPr>
          <w:p>
            <w:pPr>
              <w:spacing w:after="0"/>
              <w:rPr>
                <w:sz w:val="17"/>
                <w:szCs w:val="17"/>
                <w:color w:val="auto"/>
              </w:rPr>
            </w:pPr>
          </w:p>
        </w:tc>
        <w:tc>
          <w:tcPr>
            <w:tcW w:w="9260" w:type="dxa"/>
            <w:vAlign w:val="bottom"/>
            <w:tcBorders>
              <w:right w:val="single" w:sz="8" w:color="auto"/>
            </w:tcBorders>
            <w:gridSpan w:val="2"/>
          </w:tcPr>
          <w:p>
            <w:pPr>
              <w:ind w:left="20"/>
              <w:spacing w:after="0" w:line="19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0"/>
        </w:trPr>
        <w:tc>
          <w:tcPr>
            <w:tcW w:w="1300" w:type="dxa"/>
            <w:vAlign w:val="bottom"/>
            <w:tcBorders>
              <w:left w:val="single" w:sz="8" w:color="auto"/>
            </w:tcBorders>
            <w:gridSpan w:val="3"/>
          </w:tcPr>
          <w:p>
            <w:pPr>
              <w:jc w:val="center"/>
              <w:ind w:left="117"/>
              <w:spacing w:after="0" w:line="200" w:lineRule="exact"/>
              <w:rPr>
                <w:sz w:val="20"/>
                <w:szCs w:val="20"/>
                <w:color w:val="auto"/>
              </w:rPr>
            </w:pPr>
            <w:r>
              <w:rPr>
                <w:rFonts w:ascii="Arial" w:cs="Arial" w:eastAsia="Arial" w:hAnsi="Arial"/>
                <w:sz w:val="18"/>
                <w:szCs w:val="18"/>
                <w:color w:val="auto"/>
                <w:w w:val="93"/>
              </w:rPr>
              <w:t>REPORTING</w:t>
            </w:r>
          </w:p>
        </w:tc>
        <w:tc>
          <w:tcPr>
            <w:tcW w:w="2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8,261,853</w:t>
            </w:r>
          </w:p>
        </w:tc>
        <w:tc>
          <w:tcPr>
            <w:tcW w:w="0" w:type="dxa"/>
            <w:vAlign w:val="bottom"/>
          </w:tcPr>
          <w:p>
            <w:pPr>
              <w:spacing w:after="0"/>
              <w:rPr>
                <w:sz w:val="1"/>
                <w:szCs w:val="1"/>
                <w:color w:val="auto"/>
              </w:rPr>
            </w:pPr>
          </w:p>
        </w:tc>
      </w:tr>
      <w:tr>
        <w:trPr>
          <w:trHeight w:val="109"/>
        </w:trPr>
        <w:tc>
          <w:tcPr>
            <w:tcW w:w="380" w:type="dxa"/>
            <w:vAlign w:val="bottom"/>
            <w:tcBorders>
              <w:left w:val="single" w:sz="8" w:color="auto"/>
            </w:tcBorders>
          </w:tcPr>
          <w:p>
            <w:pPr>
              <w:spacing w:after="0"/>
              <w:rPr>
                <w:sz w:val="9"/>
                <w:szCs w:val="9"/>
                <w:color w:val="auto"/>
              </w:rPr>
            </w:pPr>
          </w:p>
        </w:tc>
        <w:tc>
          <w:tcPr>
            <w:tcW w:w="920" w:type="dxa"/>
            <w:vAlign w:val="bottom"/>
            <w:gridSpan w:val="2"/>
            <w:vMerge w:val="restart"/>
          </w:tcPr>
          <w:p>
            <w:pPr>
              <w:jc w:val="center"/>
              <w:ind w:right="70"/>
              <w:spacing w:after="0"/>
              <w:rPr>
                <w:sz w:val="20"/>
                <w:szCs w:val="20"/>
                <w:color w:val="auto"/>
              </w:rPr>
            </w:pPr>
            <w:r>
              <w:rPr>
                <w:rFonts w:ascii="Arial" w:cs="Arial" w:eastAsia="Arial" w:hAnsi="Arial"/>
                <w:sz w:val="18"/>
                <w:szCs w:val="18"/>
                <w:color w:val="auto"/>
                <w:w w:val="89"/>
              </w:rPr>
              <w:t>PERSON</w:t>
            </w:r>
          </w:p>
        </w:tc>
        <w:tc>
          <w:tcPr>
            <w:tcW w:w="220" w:type="dxa"/>
            <w:vAlign w:val="bottom"/>
            <w:tcBorders>
              <w:right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60" w:type="dxa"/>
            <w:vAlign w:val="bottom"/>
            <w:tcBorders>
              <w:bottom w:val="single" w:sz="8" w:color="auto"/>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80" w:type="dxa"/>
            <w:vAlign w:val="bottom"/>
            <w:tcBorders>
              <w:left w:val="single" w:sz="8" w:color="auto"/>
            </w:tcBorders>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10</w:t>
            </w:r>
          </w:p>
        </w:tc>
        <w:tc>
          <w:tcPr>
            <w:tcW w:w="80" w:type="dxa"/>
            <w:vAlign w:val="bottom"/>
          </w:tcPr>
          <w:p>
            <w:pPr>
              <w:spacing w:after="0"/>
              <w:rPr>
                <w:sz w:val="7"/>
                <w:szCs w:val="7"/>
                <w:color w:val="auto"/>
              </w:rPr>
            </w:pPr>
          </w:p>
        </w:tc>
        <w:tc>
          <w:tcPr>
            <w:tcW w:w="9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9"/>
        </w:trPr>
        <w:tc>
          <w:tcPr>
            <w:tcW w:w="380" w:type="dxa"/>
            <w:vAlign w:val="bottom"/>
            <w:tcBorders>
              <w:left w:val="single" w:sz="8" w:color="auto"/>
            </w:tcBorders>
          </w:tcPr>
          <w:p>
            <w:pPr>
              <w:spacing w:after="0"/>
              <w:rPr>
                <w:sz w:val="16"/>
                <w:szCs w:val="16"/>
                <w:color w:val="auto"/>
              </w:rPr>
            </w:pPr>
          </w:p>
        </w:tc>
        <w:tc>
          <w:tcPr>
            <w:tcW w:w="920" w:type="dxa"/>
            <w:vAlign w:val="bottom"/>
            <w:gridSpan w:val="2"/>
          </w:tcPr>
          <w:p>
            <w:pPr>
              <w:jc w:val="center"/>
              <w:ind w:right="70"/>
              <w:spacing w:after="0" w:line="189" w:lineRule="exact"/>
              <w:rPr>
                <w:sz w:val="20"/>
                <w:szCs w:val="20"/>
                <w:color w:val="auto"/>
              </w:rPr>
            </w:pPr>
            <w:r>
              <w:rPr>
                <w:rFonts w:ascii="Arial" w:cs="Arial" w:eastAsia="Arial" w:hAnsi="Arial"/>
                <w:sz w:val="18"/>
                <w:szCs w:val="18"/>
                <w:color w:val="auto"/>
              </w:rPr>
              <w:t>WITH</w:t>
            </w:r>
          </w:p>
        </w:tc>
        <w:tc>
          <w:tcPr>
            <w:tcW w:w="22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26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22"/>
                <w:szCs w:val="22"/>
                <w:b w:val="1"/>
                <w:bCs w:val="1"/>
                <w:color w:val="auto"/>
                <w:w w:val="97"/>
              </w:rPr>
              <w:t>11</w:t>
            </w:r>
          </w:p>
        </w:tc>
        <w:tc>
          <w:tcPr>
            <w:tcW w:w="220" w:type="dxa"/>
            <w:vAlign w:val="bottom"/>
            <w:tcBorders>
              <w:right w:val="single" w:sz="8" w:color="auto"/>
            </w:tcBorders>
          </w:tcPr>
          <w:p>
            <w:pPr>
              <w:spacing w:after="0"/>
              <w:rPr>
                <w:sz w:val="23"/>
                <w:szCs w:val="23"/>
                <w:color w:val="auto"/>
              </w:rPr>
            </w:pP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3"/>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7"/>
              </w:rPr>
              <w:t>8,261,853</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80" w:type="dxa"/>
            <w:vAlign w:val="bottom"/>
            <w:tcBorders>
              <w:left w:val="single" w:sz="8" w:color="auto"/>
            </w:tcBorders>
          </w:tcPr>
          <w:p>
            <w:pPr>
              <w:ind w:left="120"/>
              <w:spacing w:after="0" w:line="244" w:lineRule="exact"/>
              <w:rPr>
                <w:sz w:val="20"/>
                <w:szCs w:val="20"/>
                <w:color w:val="auto"/>
              </w:rPr>
            </w:pPr>
            <w:r>
              <w:rPr>
                <w:rFonts w:ascii="Arial" w:cs="Arial" w:eastAsia="Arial" w:hAnsi="Arial"/>
                <w:sz w:val="22"/>
                <w:szCs w:val="22"/>
                <w:b w:val="1"/>
                <w:bCs w:val="1"/>
                <w:color w:val="auto"/>
                <w:w w:val="97"/>
              </w:rPr>
              <w:t>12</w:t>
            </w:r>
          </w:p>
        </w:tc>
        <w:tc>
          <w:tcPr>
            <w:tcW w:w="220" w:type="dxa"/>
            <w:vAlign w:val="bottom"/>
            <w:tcBorders>
              <w:right w:val="single" w:sz="8" w:color="auto"/>
            </w:tcBorders>
          </w:tcPr>
          <w:p>
            <w:pPr>
              <w:spacing w:after="0"/>
              <w:rPr>
                <w:sz w:val="21"/>
                <w:szCs w:val="21"/>
                <w:color w:val="auto"/>
              </w:rPr>
            </w:pP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63"/>
        </w:trPr>
        <w:tc>
          <w:tcPr>
            <w:tcW w:w="380" w:type="dxa"/>
            <w:vAlign w:val="bottom"/>
            <w:tcBorders>
              <w:left w:val="single" w:sz="8" w:color="auto"/>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8560" w:type="dxa"/>
            <w:vAlign w:val="bottom"/>
            <w:tcBorders>
              <w:bottom w:val="single" w:sz="8" w:color="auto"/>
              <w:right w:val="single" w:sz="8" w:color="auto"/>
            </w:tcBorders>
          </w:tcPr>
          <w:p>
            <w:pPr>
              <w:ind w:left="82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4"/>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22"/>
                <w:szCs w:val="22"/>
                <w:b w:val="1"/>
                <w:bCs w:val="1"/>
                <w:color w:val="auto"/>
                <w:w w:val="97"/>
              </w:rPr>
              <w:t>13</w:t>
            </w:r>
          </w:p>
        </w:tc>
        <w:tc>
          <w:tcPr>
            <w:tcW w:w="220" w:type="dxa"/>
            <w:vAlign w:val="bottom"/>
            <w:tcBorders>
              <w:right w:val="single" w:sz="8" w:color="auto"/>
            </w:tcBorders>
          </w:tcPr>
          <w:p>
            <w:pPr>
              <w:spacing w:after="0"/>
              <w:rPr>
                <w:sz w:val="23"/>
                <w:szCs w:val="23"/>
                <w:color w:val="auto"/>
              </w:rPr>
            </w:pP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3"/>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17.37%</w:t>
            </w: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22"/>
                <w:szCs w:val="22"/>
                <w:b w:val="1"/>
                <w:bCs w:val="1"/>
                <w:color w:val="auto"/>
                <w:w w:val="97"/>
              </w:rPr>
              <w:t>14</w:t>
            </w:r>
          </w:p>
        </w:tc>
        <w:tc>
          <w:tcPr>
            <w:tcW w:w="220" w:type="dxa"/>
            <w:vAlign w:val="bottom"/>
            <w:tcBorders>
              <w:right w:val="single" w:sz="8" w:color="auto"/>
            </w:tcBorders>
          </w:tcPr>
          <w:p>
            <w:pPr>
              <w:spacing w:after="0"/>
              <w:rPr>
                <w:sz w:val="23"/>
                <w:szCs w:val="23"/>
                <w:color w:val="auto"/>
              </w:rPr>
            </w:pPr>
          </w:p>
        </w:tc>
        <w:tc>
          <w:tcPr>
            <w:tcW w:w="108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3"/>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w:t>
            </w: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*Includes (i) 6,060,783 shares acquired in the merger with Marker Cell Therapy, Inc. (“Marker Cell”); (ii) warrants to acquire 2,197, 944 shares of common stock acquired in the merger; and (iii) 3,126 option shares able to be acquired upon the exercise of currently exercisable stock options granted to the Reporting Person in his capacity as a director and excludes 9,374 option shares which have not yet vested.</w:t>
      </w:r>
    </w:p>
    <w:p>
      <w:pPr>
        <w:spacing w:after="0" w:line="181"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**Such percentage was calculated based upon an aggregate of 47,571,765 Issuer shares of common stock outstanding, consisting of (i) 45,370,695 Issuer shares of common stock outstanding as of as of November 8, 2018 as represented by the Issuer’s Report on Form 10-Q filed with the Securities and Exchange Commission on November 13, 2018, and (ii) 2,201,070 shares of common stock able to be acquired by the Reporting Person upon exercise of warrants or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260" w:type="dxa"/>
            <w:vAlign w:val="bottom"/>
          </w:tcPr>
          <w:p>
            <w:pPr>
              <w:spacing w:after="0"/>
              <w:rPr>
                <w:sz w:val="20"/>
                <w:szCs w:val="20"/>
                <w:color w:val="auto"/>
              </w:rPr>
            </w:pPr>
            <w:r>
              <w:rPr>
                <w:rFonts w:ascii="Arial" w:cs="Arial" w:eastAsia="Arial" w:hAnsi="Arial"/>
                <w:sz w:val="22"/>
                <w:szCs w:val="22"/>
                <w:b w:val="1"/>
                <w:bCs w:val="1"/>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b w:val="1"/>
                <w:bCs w:val="1"/>
                <w:color w:val="auto"/>
                <w:w w:val="89"/>
              </w:rPr>
              <w:t>57055L 107</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Statement on Schedule 13D (this “Schedule”) relates to the common stock, par value $0.001 per share (“Common Stock”), of Marker Therapeutics, Inc., a Delaware corporation (the “Issuer”). The principal executive offices of the Issuer are located at 3200 Southwest Freeway, Suite 2240, Houston, Texas.</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56" w:lineRule="exact"/>
        <w:rPr>
          <w:sz w:val="20"/>
          <w:szCs w:val="20"/>
          <w:color w:val="auto"/>
        </w:rPr>
      </w:pPr>
    </w:p>
    <w:p>
      <w:pPr>
        <w:ind w:left="980" w:hanging="648"/>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Schedule is being filed by John R. Wilson, an individual</w:t>
      </w:r>
    </w:p>
    <w:p>
      <w:pPr>
        <w:spacing w:after="0" w:line="232" w:lineRule="exact"/>
        <w:rPr>
          <w:rFonts w:ascii="Arial" w:cs="Arial" w:eastAsia="Arial" w:hAnsi="Arial"/>
          <w:sz w:val="18"/>
          <w:szCs w:val="18"/>
          <w:color w:val="auto"/>
        </w:rPr>
      </w:pPr>
    </w:p>
    <w:p>
      <w:pPr>
        <w:ind w:left="980" w:hanging="648"/>
        <w:spacing w:after="0"/>
        <w:tabs>
          <w:tab w:leader="none" w:pos="980" w:val="left"/>
        </w:tabs>
        <w:numPr>
          <w:ilvl w:val="0"/>
          <w:numId w:val="1"/>
        </w:numPr>
        <w:rPr>
          <w:rFonts w:ascii="Arial" w:cs="Arial" w:eastAsia="Arial" w:hAnsi="Arial"/>
          <w:sz w:val="36"/>
          <w:szCs w:val="36"/>
          <w:color w:val="auto"/>
          <w:vertAlign w:val="superscript"/>
        </w:rPr>
      </w:pPr>
      <w:r>
        <w:rPr>
          <w:rFonts w:ascii="Arial" w:cs="Arial" w:eastAsia="Arial" w:hAnsi="Arial"/>
          <w:sz w:val="18"/>
          <w:szCs w:val="18"/>
          <w:color w:val="auto"/>
        </w:rPr>
        <w:t>The Reporting Person’s business address is 33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 N.W., Suite 800, Saint Paul, MN 55112</w:t>
      </w:r>
    </w:p>
    <w:p>
      <w:pPr>
        <w:spacing w:after="0" w:line="105" w:lineRule="exact"/>
        <w:rPr>
          <w:rFonts w:ascii="Arial" w:cs="Arial" w:eastAsia="Arial" w:hAnsi="Arial"/>
          <w:sz w:val="36"/>
          <w:szCs w:val="36"/>
          <w:color w:val="auto"/>
          <w:vertAlign w:val="superscript"/>
        </w:rPr>
      </w:pPr>
    </w:p>
    <w:p>
      <w:pPr>
        <w:ind w:left="980" w:hanging="648"/>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Reporting Person is employed as the Chief Executive Officer of Wilson Wolf Manufacturing Corporation.</w:t>
      </w:r>
    </w:p>
    <w:p>
      <w:pPr>
        <w:spacing w:after="0" w:line="252"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Reporting Person has not been convicted in a criminal proceeding in the last five years (excluding traffic violations or similar misdemeanors).</w:t>
      </w:r>
    </w:p>
    <w:p>
      <w:pPr>
        <w:spacing w:after="0" w:line="197" w:lineRule="exact"/>
        <w:rPr>
          <w:rFonts w:ascii="Arial" w:cs="Arial" w:eastAsia="Arial" w:hAnsi="Arial"/>
          <w:sz w:val="18"/>
          <w:szCs w:val="18"/>
          <w:color w:val="auto"/>
        </w:rPr>
      </w:pPr>
    </w:p>
    <w:p>
      <w:pPr>
        <w:jc w:val="both"/>
        <w:ind w:left="980" w:hanging="648"/>
        <w:spacing w:after="0" w:line="286"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Reporting Person has not,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92" w:lineRule="exact"/>
        <w:rPr>
          <w:rFonts w:ascii="Arial" w:cs="Arial" w:eastAsia="Arial" w:hAnsi="Arial"/>
          <w:sz w:val="17"/>
          <w:szCs w:val="17"/>
          <w:color w:val="auto"/>
        </w:rPr>
      </w:pPr>
    </w:p>
    <w:p>
      <w:pPr>
        <w:ind w:left="980" w:hanging="648"/>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Reporting Person is a citizen of the United States of America.</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Reporting Person received 6,060,783 shares of Common Stock and warrants to acquire 2,197, 944 shares of Common Stock of the Issuer aacquired pursuant to a merger with Marker Cell Therapy, Inc. (“Marker Cell”). The Reporting Person was appointed to the Board of Directors of the Issuer. The Reporting Person was granted 12,500 options to acquire Common Stock of the Issuer upon joining the Board consistent with the Issuer’s Non-Employee Director Compensation program. Of the 12,500 option shares granted 3,126 of those options have vested and 9,374 remain unvested.</w:t>
      </w:r>
    </w:p>
    <w:p>
      <w:pPr>
        <w:spacing w:after="0" w:line="19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Items 3 and 6 is hereby incorporated by reference.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the securities of the Issuer were acquired for investment purposes. The Reporting Person intends to review on a continuing basis the investment in the Issuer. Based on such review, the Reporting Person may acquire, or cause to be disposed, such securities at any time (subject to the Voting and Lock Up Agreement and any applicable Issuer policies) or formulate other purposes, plans or proposals regarding the Issuer or any of its securities, to the extent deemed advisable in light of general investment and trading policies of the Reporting Person, the Issuer’s business, financial condition and operating results, general market and industry conditions or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1260" w:type="dxa"/>
            <w:vAlign w:val="bottom"/>
          </w:tcPr>
          <w:p>
            <w:pPr>
              <w:spacing w:after="0"/>
              <w:rPr>
                <w:sz w:val="20"/>
                <w:szCs w:val="20"/>
                <w:color w:val="auto"/>
              </w:rPr>
            </w:pPr>
            <w:r>
              <w:rPr>
                <w:rFonts w:ascii="Arial" w:cs="Arial" w:eastAsia="Arial" w:hAnsi="Arial"/>
                <w:sz w:val="22"/>
                <w:szCs w:val="22"/>
                <w:b w:val="1"/>
                <w:bCs w:val="1"/>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b w:val="1"/>
                <w:bCs w:val="1"/>
                <w:color w:val="auto"/>
                <w:w w:val="89"/>
              </w:rPr>
              <w:t>57055L 107</w:t>
            </w:r>
          </w:p>
        </w:tc>
      </w:tr>
    </w:tbl>
    <w:p>
      <w:pPr>
        <w:spacing w:after="0" w:line="200" w:lineRule="exact"/>
        <w:rPr>
          <w:sz w:val="20"/>
          <w:szCs w:val="20"/>
          <w:color w:val="auto"/>
        </w:rPr>
      </w:pP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Except as otherwise described in this Schedule 13D, the Reporting Person currently has no plans or proposals that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assets of the Issuer or any of its subsidiaries; (d) any change in the present Board of Directors or management of the Issuer, including any plans or proposals to change the number or term of directors or to fill any existing vacancies on the Board except as may be required for the Issuer to comply with exchange listing requirements with respect to the number of independent directors; (e) any material change in the present capitalization or dividend policy of the Issuer; (f) any other material change in the Issuer’s business or corporate structure; (g) any changes in the Issuer’s charter or by-laws or other actions which may impede the acquisition or control of the Issuer by any person; (h) causing a class of securities of the Issuer to be delisted from a national securities exchange or cease to be authorized to be quoted in an interdealer quotation system of a registered national securities association; (i) causing a class of equity securities of the Issuer to become eligible for termination of registration pursuant to Section 12(g)(4) of the Securities Exchange Act of 1934; or (j) any action similar to those enumerated above.</w:t>
      </w:r>
    </w:p>
    <w:p>
      <w:pPr>
        <w:spacing w:after="0" w:line="1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56" w:lineRule="exact"/>
        <w:rPr>
          <w:sz w:val="20"/>
          <w:szCs w:val="20"/>
          <w:color w:val="auto"/>
        </w:rPr>
      </w:pPr>
    </w:p>
    <w:p>
      <w:pPr>
        <w:jc w:val="both"/>
        <w:ind w:left="660" w:hanging="652"/>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Reporting Person beneficially owns 8,261,783 shares of Common Stock (including 2,197,783 shares issuable upon the exercise of warrants and 3,126 shares upon the exercise of Options, exercisable within 60 days), which comprises 17.37% of the Common Stock of the Issuer. As of, November 8, there were 45,370,695 shares of Common Stock of the Issuer issued and outstanding as represented by the Issuer’s Report on Form 10-Q filed with the Securities and Exchange Commission on November 13, 2018.</w:t>
      </w:r>
    </w:p>
    <w:p>
      <w:pPr>
        <w:spacing w:after="0" w:line="213"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Reporting Person has the sole power to vote the shares beneficially owned.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transactions have been effected during the past 60 days by the Reporting Person</w:t>
      </w:r>
    </w:p>
    <w:p>
      <w:pPr>
        <w:spacing w:after="0" w:line="25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Only the Reporting Person has the right to receive or the power to direct the receipt of dividends from, or proceeds from the sale of, the shares of Common Stock reported by this statement.</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Merger Agreement. </w:t>
      </w:r>
      <w:r>
        <w:rPr>
          <w:rFonts w:ascii="Arial" w:cs="Arial" w:eastAsia="Arial" w:hAnsi="Arial"/>
          <w:sz w:val="18"/>
          <w:szCs w:val="18"/>
          <w:color w:val="auto"/>
        </w:rPr>
        <w:t>On October 17, 2018, Issuer completed its business combination with Marker Cell Therapy, Inc., (formerly known as Marker</w:t>
      </w:r>
      <w:r>
        <w:rPr>
          <w:rFonts w:ascii="Arial" w:cs="Arial" w:eastAsia="Arial" w:hAnsi="Arial"/>
          <w:sz w:val="18"/>
          <w:szCs w:val="18"/>
          <w:i w:val="1"/>
          <w:iCs w:val="1"/>
          <w:color w:val="auto"/>
        </w:rPr>
        <w:t xml:space="preserve"> </w:t>
      </w:r>
      <w:r>
        <w:rPr>
          <w:rFonts w:ascii="Arial" w:cs="Arial" w:eastAsia="Arial" w:hAnsi="Arial"/>
          <w:sz w:val="18"/>
          <w:szCs w:val="18"/>
          <w:color w:val="auto"/>
        </w:rPr>
        <w:t>Therapeutics, Inc., a privately-held Delaware corporation “Marker Cell”), in accordance with the terms of an Agreement and Plan of Merger and Reorganization dated as of May 15, 2018 (the “Merger Agreement”) by and among the Issuer, Timberwolf Merger Sub, Inc., a Delaware corporation and wholly-owned subsidiary of the Issuer (“Merger Sub”), and Marker Cell. On October 17, 2018, pursuant to the Merger Agreement, Merger Sub was merged with and into Marker Cell (the “Merger”), with Marker Cell being the surviving corporation and becoming a wholly-owned subsidiary of the Issuer. At the effective time of the Merger, the former Marker Cell stockholders (inclusive of the Reporting Person) received (i) an aggregate of 13,914,255 shares of the Issuer’s Common Stock which equaled the number of shares of the Issuer’s Common Stock issued and outstanding immediately prior to the effective time of the Merger, and (ii) an aggregate of 5,046,003 warrants which equaled the number of the Issuer’s warrants and stock options issued and outstanding immediately prior to the effective time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1"/>
        </w:trPr>
        <w:tc>
          <w:tcPr>
            <w:tcW w:w="1260" w:type="dxa"/>
            <w:vAlign w:val="bottom"/>
          </w:tcPr>
          <w:p>
            <w:pPr>
              <w:spacing w:after="0"/>
              <w:rPr>
                <w:sz w:val="20"/>
                <w:szCs w:val="20"/>
                <w:color w:val="auto"/>
              </w:rPr>
            </w:pPr>
            <w:r>
              <w:rPr>
                <w:rFonts w:ascii="Arial" w:cs="Arial" w:eastAsia="Arial" w:hAnsi="Arial"/>
                <w:sz w:val="22"/>
                <w:szCs w:val="22"/>
                <w:b w:val="1"/>
                <w:bCs w:val="1"/>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b w:val="1"/>
                <w:bCs w:val="1"/>
                <w:color w:val="auto"/>
                <w:w w:val="89"/>
              </w:rPr>
              <w:t>57055L 107</w:t>
            </w:r>
          </w:p>
        </w:tc>
      </w:tr>
    </w:tbl>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Voting and Lock Up Agreement</w:t>
      </w:r>
      <w:r>
        <w:rPr>
          <w:rFonts w:ascii="Arial" w:cs="Arial" w:eastAsia="Arial" w:hAnsi="Arial"/>
          <w:sz w:val="18"/>
          <w:szCs w:val="18"/>
          <w:color w:val="auto"/>
        </w:rPr>
        <w:t>. On May 15, 2018, in connection with the execution of the Merger Agreement, the Reporting Person entered into a voting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lock up agreement which provided, the Reporting Person would vote in favor of the Merger and would be subject to a voting and lock-up agreement on the transfer of Issuer shares acquired by reason of the Merger for a 180-days after the consummation of the Merger.</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Registration Rights Agreement</w:t>
      </w:r>
      <w:r>
        <w:rPr>
          <w:rFonts w:ascii="Arial" w:cs="Arial" w:eastAsia="Arial" w:hAnsi="Arial"/>
          <w:sz w:val="16"/>
          <w:szCs w:val="16"/>
          <w:color w:val="auto"/>
        </w:rPr>
        <w:t>. In connection with the Merger Agreement, the Issuer entered into a registration rights agreement with the former Marker Cell</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inclusive of the Reporting Person (the “Registration Rights Agreement”). Pursuant to the Registration Rights Agreement, if the Issuer registered any shares of Issuer’s common stock for resale pursuant to the financing transaction which occurred concurrently with the Merger, the former Marker Cell stockholders had the right to include in the registration statement their common stock issued or issuable to such stockholders pursuant to the Merger. Such Registration Statement was field by the Issuer on October 30, 2018 pursuant to Form S-3 and declared effective on November 16, 2018.</w:t>
      </w:r>
    </w:p>
    <w:p>
      <w:pPr>
        <w:spacing w:after="0" w:line="15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56"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Merger Agreement (incorporated by reference to Exhibit 2.1 to Current Report on Form 8-K filed by the Issuer with the Securities and Exchange Commission on May 15, 2018).</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Voting and Lock Up Agreement (incorporated by reference to Exhibit 2.1 to Current Report on Form 8-K filed by the Issuer with the Securities and Exchange Commission on May 15, 2018).</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of Registration Rights Agreement (incorporated by reference to Exhibit 2.1 to Current Report on Form 8-K filed by Issuer with the Securities and Exchange Commission on May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1"/>
        </w:trPr>
        <w:tc>
          <w:tcPr>
            <w:tcW w:w="1260" w:type="dxa"/>
            <w:vAlign w:val="bottom"/>
          </w:tcPr>
          <w:p>
            <w:pPr>
              <w:spacing w:after="0"/>
              <w:rPr>
                <w:sz w:val="20"/>
                <w:szCs w:val="20"/>
                <w:color w:val="auto"/>
              </w:rPr>
            </w:pPr>
            <w:r>
              <w:rPr>
                <w:rFonts w:ascii="Arial" w:cs="Arial" w:eastAsia="Arial" w:hAnsi="Arial"/>
                <w:sz w:val="22"/>
                <w:szCs w:val="22"/>
                <w:b w:val="1"/>
                <w:bCs w:val="1"/>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b w:val="1"/>
                <w:bCs w:val="1"/>
                <w:color w:val="auto"/>
                <w:w w:val="89"/>
              </w:rPr>
              <w:t>57055L 107</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780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John R.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780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2020-01-09T20:46:23Z</dcterms:created>
  <dcterms:modified xsi:type="dcterms:W3CDTF">2020-01-09T20:46:23Z</dcterms:modified>
</cp:coreProperties>
</file>