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4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3742690</wp:posOffset>
            </wp:positionH>
            <wp:positionV relativeFrom="paragraph">
              <wp:posOffset>-19050</wp:posOffset>
            </wp:positionV>
            <wp:extent cx="118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4380" w:space="340"/>
            <w:col w:w="5159"/>
          </w:cols>
          <w:pgMar w:left="580" w:top="205" w:right="1440" w:bottom="1440" w:gutter="0" w:footer="0" w:header="0"/>
          <w:type w:val="continuous"/>
        </w:sectPr>
      </w:pPr>
    </w:p>
    <w:p>
      <w:pPr>
        <w:spacing w:after="0" w:line="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9879"/>
          </w:cols>
          <w:pgMar w:left="580" w:top="205" w:right="1440" w:bottom="1440" w:gutter="0" w:footer="0" w:header="0"/>
          <w:type w:val="continuous"/>
        </w:sectPr>
      </w:pPr>
    </w:p>
    <w:p>
      <w:pPr>
        <w:spacing w:after="0" w:line="225" w:lineRule="exact"/>
        <w:rPr>
          <w:sz w:val="24"/>
          <w:szCs w:val="24"/>
          <w:color w:val="auto"/>
        </w:rPr>
      </w:pPr>
    </w:p>
    <w:p>
      <w:pPr>
        <w:ind w:left="1940" w:hanging="680"/>
        <w:spacing w:after="0"/>
        <w:tabs>
          <w:tab w:leader="none" w:pos="1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 w:lineRule="exact"/>
        <w:rPr>
          <w:sz w:val="24"/>
          <w:szCs w:val="24"/>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5"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1940" w:hanging="680"/>
        <w:spacing w:after="0"/>
        <w:tabs>
          <w:tab w:leader="none" w:pos="1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0"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3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940" w:hanging="680"/>
        <w:spacing w:after="0"/>
        <w:tabs>
          <w:tab w:leader="none" w:pos="19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1940" w:hanging="680"/>
        <w:spacing w:after="0"/>
        <w:tabs>
          <w:tab w:leader="none" w:pos="19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1940" w:right="419" w:hanging="680"/>
        <w:spacing w:after="0" w:line="249" w:lineRule="auto"/>
        <w:tabs>
          <w:tab w:leader="none" w:pos="19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4513580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509905</wp:posOffset>
            </wp:positionV>
            <wp:extent cx="257175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2450 Holcombe Blvd, Suite BCM-A, MS: BCM251</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TX 77021</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March 21, 2025</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0"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 xml:space="preserve">You are cordially invited to attend the Special Meeting of Stockholders of </w:t>
      </w:r>
      <w:r>
        <w:rPr>
          <w:rFonts w:ascii="Times New Roman" w:cs="Times New Roman" w:eastAsia="Times New Roman" w:hAnsi="Times New Roman"/>
          <w:sz w:val="18"/>
          <w:szCs w:val="18"/>
          <w:b w:val="1"/>
          <w:bCs w:val="1"/>
          <w:color w:val="auto"/>
        </w:rPr>
        <w:t>Marker Therapeutics, Inc.,</w:t>
      </w:r>
      <w:r>
        <w:rPr>
          <w:rFonts w:ascii="Times New Roman" w:cs="Times New Roman" w:eastAsia="Times New Roman" w:hAnsi="Times New Roman"/>
          <w:sz w:val="18"/>
          <w:szCs w:val="18"/>
          <w:color w:val="auto"/>
        </w:rPr>
        <w:t xml:space="preserve"> a Delaware corporation (the “Company”). The meeting will be held on Friday, March 21, 2025 at 9:00 a.m. Central Time and will be a virtual stockholder meeting through which you can listen to the meeting, submit questions and vote online. You must register for the virtual meeting via </w:t>
      </w:r>
      <w:r>
        <w:rPr>
          <w:rFonts w:ascii="Times New Roman" w:cs="Times New Roman" w:eastAsia="Times New Roman" w:hAnsi="Times New Roman"/>
          <w:sz w:val="18"/>
          <w:szCs w:val="18"/>
          <w:i w:val="1"/>
          <w:iCs w:val="1"/>
          <w:color w:val="auto"/>
        </w:rPr>
        <w:t xml:space="preserve">https://web.viewproxy.com/markertherapeutics/2025SM </w:t>
      </w:r>
      <w:r>
        <w:rPr>
          <w:rFonts w:ascii="Times New Roman" w:cs="Times New Roman" w:eastAsia="Times New Roman" w:hAnsi="Times New Roman"/>
          <w:sz w:val="18"/>
          <w:szCs w:val="18"/>
          <w:color w:val="auto"/>
        </w:rPr>
        <w:t>no later than 11:59 p.m. Eastern Time on Thursday,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 2025. The meeting will be held for the following purposes:</w:t>
      </w:r>
    </w:p>
    <w:p>
      <w:pPr>
        <w:spacing w:after="0" w:line="119" w:lineRule="exact"/>
        <w:rPr>
          <w:sz w:val="20"/>
          <w:szCs w:val="20"/>
          <w:color w:val="auto"/>
        </w:rPr>
      </w:pPr>
    </w:p>
    <w:p>
      <w:pPr>
        <w:jc w:val="both"/>
        <w:ind w:left="1980" w:right="419" w:hanging="360"/>
        <w:spacing w:after="0" w:line="261" w:lineRule="auto"/>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the shares issuable upon exercise of (i) Series A Warrants to acquire 5,031,250 shares of Common Stock (the “</w:t>
      </w:r>
      <w:r>
        <w:rPr>
          <w:rFonts w:ascii="Times New Roman" w:cs="Times New Roman" w:eastAsia="Times New Roman" w:hAnsi="Times New Roman"/>
          <w:sz w:val="18"/>
          <w:szCs w:val="18"/>
          <w:b w:val="1"/>
          <w:b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Placement Warrants</w:t>
      </w:r>
      <w:r>
        <w:rPr>
          <w:rFonts w:ascii="Times New Roman" w:cs="Times New Roman" w:eastAsia="Times New Roman" w:hAnsi="Times New Roman"/>
          <w:sz w:val="18"/>
          <w:szCs w:val="18"/>
          <w:color w:val="auto"/>
        </w:rPr>
        <w:t>”) and (ii) Series B Warrants to acquire 3,247,445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5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record date for the Special Meeting is January 27, 2025. Only stockholders of record at the close of business on that date may vote at the meeting or any adjournment thereof.</w:t>
      </w:r>
    </w:p>
    <w:p>
      <w:pPr>
        <w:spacing w:after="0" w:line="119" w:lineRule="exact"/>
        <w:rPr>
          <w:sz w:val="20"/>
          <w:szCs w:val="20"/>
          <w:color w:val="auto"/>
        </w:rPr>
      </w:pPr>
    </w:p>
    <w:tbl>
      <w:tblPr>
        <w:tblLayout w:type="fixed"/>
        <w:tblInd w:w="1270" w:type="dxa"/>
        <w:tblCellMar>
          <w:top w:w="0" w:type="dxa"/>
          <w:left w:w="0" w:type="dxa"/>
          <w:bottom w:w="0" w:type="dxa"/>
          <w:right w:w="0" w:type="dxa"/>
        </w:tblCellMar>
      </w:tblPr>
      <w:tr>
        <w:trPr>
          <w:trHeight w:val="275"/>
        </w:trPr>
        <w:tc>
          <w:tcPr>
            <w:tcW w:w="760" w:type="dxa"/>
            <w:vAlign w:val="bottom"/>
            <w:tcBorders>
              <w:top w:val="single" w:sz="8" w:color="auto"/>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Important Notice Regarding the Availability of Proxy Materials</w:t>
            </w:r>
          </w:p>
        </w:tc>
        <w:tc>
          <w:tcPr>
            <w:tcW w:w="780" w:type="dxa"/>
            <w:vAlign w:val="bottom"/>
            <w:tcBorders>
              <w:top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760" w:type="dxa"/>
            <w:vAlign w:val="bottom"/>
            <w:tcBorders>
              <w:left w:val="single" w:sz="8" w:color="auto"/>
            </w:tcBorders>
          </w:tcPr>
          <w:p>
            <w:pPr>
              <w:spacing w:after="0"/>
              <w:rPr>
                <w:sz w:val="18"/>
                <w:szCs w:val="18"/>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for the Virtual Special Meeting of Stockholders</w:t>
            </w:r>
          </w:p>
        </w:tc>
        <w:tc>
          <w:tcPr>
            <w:tcW w:w="780" w:type="dxa"/>
            <w:vAlign w:val="bottom"/>
            <w:tcBorders>
              <w:right w:val="single" w:sz="8" w:color="auto"/>
            </w:tcBorders>
          </w:tcPr>
          <w:p>
            <w:pPr>
              <w:spacing w:after="0"/>
              <w:rPr>
                <w:sz w:val="18"/>
                <w:szCs w:val="18"/>
                <w:color w:val="auto"/>
              </w:rPr>
            </w:pPr>
          </w:p>
        </w:tc>
      </w:tr>
      <w:tr>
        <w:trPr>
          <w:trHeight w:val="238"/>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 Be Held on Friday, March 21, 2025 at 9:00 a.m. Central Time.</w:t>
            </w:r>
          </w:p>
        </w:tc>
        <w:tc>
          <w:tcPr>
            <w:tcW w:w="780" w:type="dxa"/>
            <w:vAlign w:val="bottom"/>
            <w:tcBorders>
              <w:right w:val="single" w:sz="8" w:color="auto"/>
            </w:tcBorders>
          </w:tcPr>
          <w:p>
            <w:pPr>
              <w:spacing w:after="0"/>
              <w:rPr>
                <w:sz w:val="20"/>
                <w:szCs w:val="20"/>
                <w:color w:val="auto"/>
              </w:rPr>
            </w:pPr>
          </w:p>
        </w:tc>
      </w:tr>
      <w:tr>
        <w:trPr>
          <w:trHeight w:val="302"/>
        </w:trPr>
        <w:tc>
          <w:tcPr>
            <w:tcW w:w="760" w:type="dxa"/>
            <w:vAlign w:val="bottom"/>
            <w:tcBorders>
              <w:left w:val="single" w:sz="8" w:color="auto"/>
            </w:tcBorders>
          </w:tcPr>
          <w:p>
            <w:pPr>
              <w:spacing w:after="0"/>
              <w:rPr>
                <w:sz w:val="24"/>
                <w:szCs w:val="24"/>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Register for the virtual Special Meeting</w:t>
            </w:r>
          </w:p>
        </w:tc>
        <w:tc>
          <w:tcPr>
            <w:tcW w:w="780" w:type="dxa"/>
            <w:vAlign w:val="bottom"/>
            <w:tcBorders>
              <w:right w:val="single" w:sz="8" w:color="auto"/>
            </w:tcBorders>
          </w:tcPr>
          <w:p>
            <w:pPr>
              <w:spacing w:after="0"/>
              <w:rPr>
                <w:sz w:val="24"/>
                <w:szCs w:val="24"/>
                <w:color w:val="auto"/>
              </w:rPr>
            </w:pPr>
          </w:p>
        </w:tc>
      </w:tr>
      <w:tr>
        <w:trPr>
          <w:trHeight w:val="238"/>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 xml:space="preserve">vía </w:t>
            </w:r>
            <w:r>
              <w:rPr>
                <w:rFonts w:ascii="Times New Roman" w:cs="Times New Roman" w:eastAsia="Times New Roman" w:hAnsi="Times New Roman"/>
                <w:sz w:val="18"/>
                <w:szCs w:val="18"/>
                <w:b w:val="1"/>
                <w:bCs w:val="1"/>
                <w:i w:val="1"/>
                <w:iCs w:val="1"/>
                <w:color w:val="auto"/>
                <w:w w:val="95"/>
              </w:rPr>
              <w:t>https://web.viewproxy.com/markertherapeutics/2025SM</w:t>
            </w:r>
          </w:p>
        </w:tc>
        <w:tc>
          <w:tcPr>
            <w:tcW w:w="780" w:type="dxa"/>
            <w:vAlign w:val="bottom"/>
            <w:tcBorders>
              <w:right w:val="single" w:sz="8" w:color="auto"/>
            </w:tcBorders>
          </w:tcPr>
          <w:p>
            <w:pPr>
              <w:spacing w:after="0"/>
              <w:rPr>
                <w:sz w:val="20"/>
                <w:szCs w:val="20"/>
                <w:color w:val="auto"/>
              </w:rPr>
            </w:pPr>
          </w:p>
        </w:tc>
      </w:tr>
      <w:tr>
        <w:trPr>
          <w:trHeight w:val="304"/>
        </w:trPr>
        <w:tc>
          <w:tcPr>
            <w:tcW w:w="760" w:type="dxa"/>
            <w:vAlign w:val="bottom"/>
            <w:tcBorders>
              <w:left w:val="single" w:sz="8" w:color="auto"/>
            </w:tcBorders>
          </w:tcPr>
          <w:p>
            <w:pPr>
              <w:spacing w:after="0"/>
              <w:rPr>
                <w:sz w:val="24"/>
                <w:szCs w:val="24"/>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w:t>
            </w:r>
          </w:p>
        </w:tc>
        <w:tc>
          <w:tcPr>
            <w:tcW w:w="780" w:type="dxa"/>
            <w:vAlign w:val="bottom"/>
            <w:tcBorders>
              <w:right w:val="single" w:sz="8" w:color="auto"/>
            </w:tcBorders>
          </w:tcPr>
          <w:p>
            <w:pPr>
              <w:spacing w:after="0"/>
              <w:rPr>
                <w:sz w:val="24"/>
                <w:szCs w:val="24"/>
                <w:color w:val="auto"/>
              </w:rPr>
            </w:pPr>
          </w:p>
        </w:tc>
      </w:tr>
      <w:tr>
        <w:trPr>
          <w:trHeight w:val="236"/>
        </w:trPr>
        <w:tc>
          <w:tcPr>
            <w:tcW w:w="760" w:type="dxa"/>
            <w:vAlign w:val="bottom"/>
            <w:tcBorders>
              <w:left w:val="single" w:sz="8" w:color="auto"/>
            </w:tcBorders>
          </w:tcPr>
          <w:p>
            <w:pPr>
              <w:spacing w:after="0"/>
              <w:rPr>
                <w:sz w:val="20"/>
                <w:szCs w:val="20"/>
                <w:color w:val="auto"/>
              </w:rPr>
            </w:pPr>
          </w:p>
        </w:tc>
        <w:tc>
          <w:tcPr>
            <w:tcW w:w="66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https://web.viewproxy.com/markertherapeutics/2025SM</w:t>
            </w:r>
          </w:p>
        </w:tc>
        <w:tc>
          <w:tcPr>
            <w:tcW w:w="780" w:type="dxa"/>
            <w:vAlign w:val="bottom"/>
            <w:tcBorders>
              <w:right w:val="single" w:sz="8" w:color="auto"/>
            </w:tcBorders>
          </w:tcPr>
          <w:p>
            <w:pPr>
              <w:spacing w:after="0"/>
              <w:rPr>
                <w:sz w:val="20"/>
                <w:szCs w:val="20"/>
                <w:color w:val="auto"/>
              </w:rPr>
            </w:pPr>
          </w:p>
        </w:tc>
      </w:tr>
      <w:tr>
        <w:trPr>
          <w:trHeight w:val="68"/>
        </w:trPr>
        <w:tc>
          <w:tcPr>
            <w:tcW w:w="760" w:type="dxa"/>
            <w:vAlign w:val="bottom"/>
            <w:tcBorders>
              <w:left w:val="single" w:sz="8" w:color="auto"/>
              <w:bottom w:val="single" w:sz="8" w:color="auto"/>
            </w:tcBorders>
          </w:tcPr>
          <w:p>
            <w:pPr>
              <w:spacing w:after="0"/>
              <w:rPr>
                <w:sz w:val="5"/>
                <w:szCs w:val="5"/>
                <w:color w:val="auto"/>
              </w:rPr>
            </w:pPr>
          </w:p>
        </w:tc>
        <w:tc>
          <w:tcPr>
            <w:tcW w:w="6680" w:type="dxa"/>
            <w:vAlign w:val="bottom"/>
            <w:tcBorders>
              <w:bottom w:val="single" w:sz="8" w:color="auto"/>
            </w:tcBorders>
          </w:tcPr>
          <w:p>
            <w:pPr>
              <w:spacing w:after="0"/>
              <w:rPr>
                <w:sz w:val="5"/>
                <w:szCs w:val="5"/>
                <w:color w:val="auto"/>
              </w:rPr>
            </w:pPr>
          </w:p>
        </w:tc>
        <w:tc>
          <w:tcPr>
            <w:tcW w:w="780" w:type="dxa"/>
            <w:vAlign w:val="bottom"/>
            <w:tcBorders>
              <w:bottom w:val="single" w:sz="8" w:color="auto"/>
              <w:right w:val="single" w:sz="8" w:color="auto"/>
            </w:tcBorders>
          </w:tcPr>
          <w:p>
            <w:pPr>
              <w:spacing w:after="0"/>
              <w:rPr>
                <w:sz w:val="5"/>
                <w:szCs w:val="5"/>
                <w:color w:val="auto"/>
              </w:rPr>
            </w:pPr>
          </w:p>
        </w:tc>
      </w:tr>
    </w:tbl>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660400</wp:posOffset>
            </wp:positionV>
            <wp:extent cx="137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Secretary</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TX</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1150620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360" w:right="479" w:hanging="93"/>
        <w:spacing w:after="0" w:line="235" w:lineRule="auto"/>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You are cordially invited to attend the virtual Special Meeting. You will not be able to attend the Special</w:t>
      </w: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xml:space="preserve">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-1144905</wp:posOffset>
            </wp:positionV>
            <wp:extent cx="5212080" cy="120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2001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6994525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77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6"/>
          </w:tcPr>
          <w:p>
            <w:pPr>
              <w:ind w:left="1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16"/>
        </w:trPr>
        <w:tc>
          <w:tcPr>
            <w:tcW w:w="20" w:type="dxa"/>
            <w:vAlign w:val="bottom"/>
          </w:tcPr>
          <w:p>
            <w:pPr>
              <w:spacing w:after="0"/>
              <w:rPr>
                <w:sz w:val="18"/>
                <w:szCs w:val="18"/>
                <w:color w:val="auto"/>
              </w:rPr>
            </w:pPr>
          </w:p>
        </w:tc>
        <w:tc>
          <w:tcPr>
            <w:tcW w:w="17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STATEMENT</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6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PROPOSAL 1 TO APPROVE, IN ACCORDANCE WITH NASDAQ LISTING RULE 5635(D), THE</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5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ISSUANCE OF THE SHARES ISSUABLE UPON EXERCISE OF PRIVATE PLACEMENT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WARRANTS TO ACQUIRE 5,031,250 SHARES OF COMMON STOCK AND PRE-FUNED</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0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WARRANTS TO ACQUIRE 3,247,445 SHARES OF COMMON STOCK</w:t>
            </w:r>
          </w:p>
        </w:tc>
        <w:tc>
          <w:tcPr>
            <w:tcW w:w="420" w:type="dxa"/>
            <w:vAlign w:val="bottom"/>
            <w:gridSpan w:val="2"/>
          </w:tcPr>
          <w:p>
            <w:pPr>
              <w:spacing w:after="0"/>
              <w:rPr>
                <w:sz w:val="17"/>
                <w:szCs w:val="17"/>
                <w:color w:val="auto"/>
              </w:rPr>
            </w:pPr>
          </w:p>
        </w:tc>
        <w:tc>
          <w:tcPr>
            <w:tcW w:w="24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0000EE"/>
              </w:rPr>
              <w:t>6</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7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12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RELATED STOCKHOLDER MATTERS</w:t>
            </w:r>
          </w:p>
        </w:tc>
        <w:tc>
          <w:tcPr>
            <w:tcW w:w="4100" w:type="dxa"/>
            <w:vAlign w:val="bottom"/>
            <w:tcBorders>
              <w:top w:val="single" w:sz="8" w:color="0000EE"/>
            </w:tcBorders>
            <w:gridSpan w:val="6"/>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4"/>
          </w:tcPr>
          <w:p>
            <w:pPr>
              <w:jc w:val="right"/>
              <w:spacing w:after="0" w:line="182"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5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HOUSEHOLDING OF PROXY MATERIALS</w:t>
            </w:r>
          </w:p>
        </w:tc>
        <w:tc>
          <w:tcPr>
            <w:tcW w:w="4180" w:type="dxa"/>
            <w:vAlign w:val="bottom"/>
            <w:gridSpan w:val="6"/>
          </w:tcPr>
          <w:p>
            <w:pPr>
              <w:spacing w:after="0"/>
              <w:rPr>
                <w:sz w:val="22"/>
                <w:szCs w:val="22"/>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88"/>
              </w:rPr>
              <w:t>10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6180" w:type="dxa"/>
            <w:vAlign w:val="bottom"/>
            <w:gridSpan w:val="9"/>
          </w:tcPr>
          <w:p>
            <w:pPr>
              <w:spacing w:after="0"/>
              <w:rPr>
                <w:sz w:val="21"/>
                <w:szCs w:val="21"/>
                <w:color w:val="auto"/>
              </w:rPr>
            </w:pP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21"/>
                <w:szCs w:val="21"/>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77"/>
              </w:rPr>
              <w:t>11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-1533525</wp:posOffset>
            </wp:positionV>
            <wp:extent cx="521208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-1207770</wp:posOffset>
            </wp:positionV>
            <wp:extent cx="5212080" cy="57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57467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2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2450 Holcombe Blvd, Suite BCM-A, MS: BCM251</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Houston, TX 77021</w:t>
      </w:r>
    </w:p>
    <w:p>
      <w:pPr>
        <w:spacing w:after="0" w:line="18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6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MARCH 21, 2025</w:t>
      </w:r>
    </w:p>
    <w:p>
      <w:pPr>
        <w:spacing w:after="0" w:line="18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Marker Therapeutics, Inc. (sometimes referred to as the “Company” or “Marker”) is soliciting your proxy to vote at the Special Meeting of Stockholders, including at any adjournments or postponements of the meeting. You are invited to attend the Special Meeting to vote on the proposals described in this proxy statement. However, you do not need to attend the meeting to vote your shares. Instead, you may simply complete, sign and return the enclosed proxy card, or follow the instructions below to submit your proxy over the telephone or through the internet.</w:t>
      </w:r>
    </w:p>
    <w:p>
      <w:pPr>
        <w:spacing w:after="0" w:line="11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intend to mail these proxy materials on or about [                ], 2025, to all stockholders of record entitled to vote at the Special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attend the Special Meeting?</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The Special Meeting will be a virtual stockholder meeting through which you can listen to the meeting, submit questions and vote online. In order to attend the Special Meeting, you must first register at </w:t>
      </w:r>
      <w:r>
        <w:rPr>
          <w:rFonts w:ascii="Times New Roman" w:cs="Times New Roman" w:eastAsia="Times New Roman" w:hAnsi="Times New Roman"/>
          <w:sz w:val="18"/>
          <w:szCs w:val="18"/>
          <w:i w:val="1"/>
          <w:iCs w:val="1"/>
          <w:color w:val="auto"/>
        </w:rPr>
        <w:t xml:space="preserve">https://web.viewproxy.com/markertherapeutics/2025SM </w:t>
      </w:r>
      <w:r>
        <w:rPr>
          <w:rFonts w:ascii="Times New Roman" w:cs="Times New Roman" w:eastAsia="Times New Roman" w:hAnsi="Times New Roman"/>
          <w:sz w:val="18"/>
          <w:szCs w:val="18"/>
          <w:color w:val="auto"/>
        </w:rPr>
        <w:t>by 11:59 p.m. Eastern Time on Thursday, March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Please follow the instructions on the registration page. You will then receive a meeting invitation by email with your unique link to join the Special Meeting along with a password prior to the meeting date. We recommend that you log on a few minutes before the Special Meeting to ensure that you are logged in when the meeting begins. Information on how to vote online during the Special Meeting is discussed below.</w:t>
      </w:r>
    </w:p>
    <w:p>
      <w:pPr>
        <w:spacing w:after="0" w:line="114"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have decided to hold a virtual stockholder meeting to enable our stockholders to participate from any location around the world that is convenient to them. Stockholders that attend the virtual meeting will be afforded the same rights and opportunities to participate as they would at an in-person meeting. You will not be able to attend the Special Meeting in person.</w:t>
      </w:r>
    </w:p>
    <w:p>
      <w:pPr>
        <w:spacing w:after="0" w:line="11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Both stockholders of record and street name stockholders will be able to attend the Special Meeting via live audio webcast, submit their questions during the meeting and vote their shares electronically at the Special Meeting.</w:t>
      </w:r>
    </w:p>
    <w:p>
      <w:pPr>
        <w:spacing w:after="0" w:line="3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148"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Only stockholders of record at the close of business on January 27, 2025 will be entitled to vote at the Special Meeting. On this record date, there were 10,707,295 shares of common stock outstanding and entitled to vote.</w:t>
      </w:r>
    </w:p>
    <w:p>
      <w:pPr>
        <w:spacing w:after="0" w:line="3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If on January 27, 2025, your shares were registered directly in your name with Marker’s transfer agent, Equiniti Trust Company, LLC, then you are a stockholder of record. As a stockholder of record, you may vote online during the meeting or vote by proxy. Whether or not you plan to attend the meeting, we urge you to fill out and return the enclosed proxy card or vote by proxy over the telephone or internet as instructed below to ensure your vote is counted. If you are a stockholder of record, your virtual control number will be on your Notice of Internet Availability of Proxy Materials or proxy card.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6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If on January 27, 2025, your shares were held, not in your name, but rather in an account at a brokerage firm, bank or other similar organization, then you are the beneficial owner of shares held in “street name” and these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 xml:space="preserve">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However, since you are not the stockholder of record, you may not vote your shares online during the Special Meeting unless you request and obtain a legal proxy from your broker, bank or other agent. During the registration process, you will be asked to upload or email the legal proxy provided to you by your broker, bank or other agent. You are also invited to attend the Special Meeting so long as you demonstrate proof of stock ownership. Instructions on how to demonstrate proof of stock ownership are posted at </w:t>
      </w:r>
      <w:r>
        <w:rPr>
          <w:rFonts w:ascii="Times New Roman" w:cs="Times New Roman" w:eastAsia="Times New Roman" w:hAnsi="Times New Roman"/>
          <w:sz w:val="18"/>
          <w:szCs w:val="18"/>
          <w:i w:val="1"/>
          <w:iCs w:val="1"/>
          <w:color w:val="auto"/>
        </w:rPr>
        <w:t>https://web.viewproxy.com/markertherapeutics/2025SM.</w:t>
      </w:r>
      <w:r>
        <w:rPr>
          <w:rFonts w:ascii="Times New Roman" w:cs="Times New Roman" w:eastAsia="Times New Roman" w:hAnsi="Times New Roman"/>
          <w:sz w:val="18"/>
          <w:szCs w:val="18"/>
          <w:color w:val="auto"/>
        </w:rPr>
        <w:t xml:space="preserve"> On the day of the Special Meeting, if you are a beneficial holder, you may vote during the meeting only if, during registration and in advance of the meeting, you emailed or uploaded a copy of your legal proxy to </w:t>
      </w:r>
      <w:r>
        <w:rPr>
          <w:rFonts w:ascii="Times New Roman" w:cs="Times New Roman" w:eastAsia="Times New Roman" w:hAnsi="Times New Roman"/>
          <w:sz w:val="18"/>
          <w:szCs w:val="18"/>
          <w:i w:val="1"/>
          <w:iCs w:val="1"/>
          <w:color w:val="auto"/>
        </w:rPr>
        <w:t>VirtualMeeting@viewproxy.com</w:t>
      </w:r>
      <w:r>
        <w:rPr>
          <w:rFonts w:ascii="Times New Roman" w:cs="Times New Roman" w:eastAsia="Times New Roman" w:hAnsi="Times New Roman"/>
          <w:sz w:val="18"/>
          <w:szCs w:val="18"/>
          <w:color w:val="auto"/>
        </w:rPr>
        <w:t xml:space="preserve"> as instructed below.</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is one matter scheduled for a vote:</w:t>
      </w:r>
    </w:p>
    <w:p>
      <w:pPr>
        <w:spacing w:after="0" w:line="131" w:lineRule="exact"/>
        <w:rPr>
          <w:sz w:val="20"/>
          <w:szCs w:val="20"/>
          <w:color w:val="auto"/>
        </w:rPr>
      </w:pPr>
    </w:p>
    <w:p>
      <w:pPr>
        <w:jc w:val="both"/>
        <w:ind w:left="1800" w:right="419" w:hanging="180"/>
        <w:spacing w:after="0" w:line="259"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5635(d), the issuance of the shares issuable upon exercise of (i) Series A Warrants to acquire 5,031,250 shares of Common Stock (the “</w:t>
      </w:r>
      <w:r>
        <w:rPr>
          <w:rFonts w:ascii="Times New Roman" w:cs="Times New Roman" w:eastAsia="Times New Roman" w:hAnsi="Times New Roman"/>
          <w:sz w:val="18"/>
          <w:szCs w:val="18"/>
          <w:b w:val="1"/>
          <w:bCs w:val="1"/>
          <w:color w:val="auto"/>
        </w:rPr>
        <w:t>Private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Placement Warrants</w:t>
      </w:r>
      <w:r>
        <w:rPr>
          <w:rFonts w:ascii="Times New Roman" w:cs="Times New Roman" w:eastAsia="Times New Roman" w:hAnsi="Times New Roman"/>
          <w:sz w:val="18"/>
          <w:szCs w:val="18"/>
          <w:color w:val="auto"/>
        </w:rPr>
        <w:t>”) and (ii) Series B Warrants to acquire 3,247,445 additional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48" w:lineRule="exact"/>
        <w:rPr>
          <w:sz w:val="20"/>
          <w:szCs w:val="20"/>
          <w:color w:val="auto"/>
        </w:rPr>
      </w:pPr>
    </w:p>
    <w:p>
      <w:pPr>
        <w:jc w:val="both"/>
        <w:ind w:left="1260" w:right="419"/>
        <w:spacing w:after="0" w:line="274"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Proposal 1, you may vote “For” or “Against” or abstain from voting.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Special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8" w:lineRule="exact"/>
        <w:rPr>
          <w:sz w:val="20"/>
          <w:szCs w:val="20"/>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online during the meeting, you may vote using the link that will be provided on the virtual meeting screen, or you may visit </w:t>
      </w:r>
      <w:r>
        <w:rPr>
          <w:rFonts w:ascii="Times New Roman" w:cs="Times New Roman" w:eastAsia="Times New Roman" w:hAnsi="Times New Roman"/>
          <w:sz w:val="18"/>
          <w:szCs w:val="18"/>
          <w:i w:val="1"/>
          <w:iCs w:val="1"/>
          <w:color w:val="auto"/>
        </w:rPr>
        <w:t>www.AALvote.com/MRKRSM</w:t>
      </w:r>
      <w:r>
        <w:rPr>
          <w:rFonts w:ascii="Times New Roman" w:cs="Times New Roman" w:eastAsia="Times New Roman" w:hAnsi="Times New Roman"/>
          <w:sz w:val="18"/>
          <w:szCs w:val="18"/>
          <w:color w:val="auto"/>
        </w:rPr>
        <w:t xml:space="preserve"> while the polls are open. In order to vote during the meeting, you will need your virtual control number, which will be on your Notice of Internet Availability of Proxy Materials or proxy card.</w:t>
      </w:r>
    </w:p>
    <w:p>
      <w:pPr>
        <w:spacing w:after="0" w:line="85"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Special Meeting, we will vote your shares as you direct.</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1-866-804-9616 using a touch-tone phone and follow the recorded instructions. You will be asked to provide the virtual control number from your Notice of Internet Availability of Proxy Materials or proxy card. Your telephone vote must be received by 11:59 p.m. Eastern Time on Thursday, March 20, 2025 to be counted.</w:t>
      </w:r>
    </w:p>
    <w:p>
      <w:pPr>
        <w:spacing w:after="0" w:line="69"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vote through the internet, go to </w:t>
      </w:r>
      <w:r>
        <w:rPr>
          <w:rFonts w:ascii="Times New Roman" w:cs="Times New Roman" w:eastAsia="Times New Roman" w:hAnsi="Times New Roman"/>
          <w:sz w:val="18"/>
          <w:szCs w:val="18"/>
          <w:i w:val="1"/>
          <w:iCs w:val="1"/>
          <w:color w:val="auto"/>
        </w:rPr>
        <w:t>www.AALVote.com/MRKR</w:t>
      </w:r>
      <w:r>
        <w:rPr>
          <w:rFonts w:ascii="Times New Roman" w:cs="Times New Roman" w:eastAsia="Times New Roman" w:hAnsi="Times New Roman"/>
          <w:sz w:val="18"/>
          <w:szCs w:val="18"/>
          <w:color w:val="auto"/>
        </w:rPr>
        <w:t xml:space="preserve"> to complete an electronic proxy card. Please have your enclosed proxy card available when you access the voting website and follow the prompts to vote your shares. Your internet vote must be received by 11:59 p.m. Eastern Time on Thursday, March 20, 2025 to be counted.</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6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Marker. Simply complete and mail the voting instruction form to ensure that your vote is counted. Alternatively, you may vote by telephone or over the internet as instructed by your broker or bank. To vote online during the Special Meeting, you must obtain a legal proxy from your broker, bank or other agent. Follow the instructions from your broker, bank or other agent included with these proxy materials, or contact that organization to request a proxy form. In advance of the Special Meeting, you will need to upload or email a copy of the legal proxy from your broker, bank or other agent to </w:t>
      </w:r>
      <w:r>
        <w:rPr>
          <w:rFonts w:ascii="Times New Roman" w:cs="Times New Roman" w:eastAsia="Times New Roman" w:hAnsi="Times New Roman"/>
          <w:sz w:val="18"/>
          <w:szCs w:val="18"/>
          <w:i w:val="1"/>
          <w:iCs w:val="1"/>
          <w:color w:val="auto"/>
        </w:rPr>
        <w:t xml:space="preserve">VirtualMeeting@viewproxy.com </w:t>
      </w:r>
      <w:r>
        <w:rPr>
          <w:rFonts w:ascii="Times New Roman" w:cs="Times New Roman" w:eastAsia="Times New Roman" w:hAnsi="Times New Roman"/>
          <w:sz w:val="18"/>
          <w:szCs w:val="18"/>
          <w:color w:val="auto"/>
        </w:rPr>
        <w:t>in order to vote at the Special Meeting. To vote online during the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using the link that will be provided on the virtual meeting screen, or you may visit </w:t>
      </w:r>
      <w:r>
        <w:rPr>
          <w:rFonts w:ascii="Times New Roman" w:cs="Times New Roman" w:eastAsia="Times New Roman" w:hAnsi="Times New Roman"/>
          <w:sz w:val="18"/>
          <w:szCs w:val="18"/>
          <w:i w:val="1"/>
          <w:iCs w:val="1"/>
          <w:color w:val="auto"/>
        </w:rPr>
        <w:t xml:space="preserve">www.AALvote.com/MRKR </w:t>
      </w:r>
      <w:r>
        <w:rPr>
          <w:rFonts w:ascii="Times New Roman" w:cs="Times New Roman" w:eastAsia="Times New Roman" w:hAnsi="Times New Roman"/>
          <w:sz w:val="18"/>
          <w:szCs w:val="18"/>
          <w:color w:val="auto"/>
        </w:rPr>
        <w:t>while the polls are open. You will need your virtual control number, which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assigned to you in your confirmation of registration email, in order to vote during the meeting.</w:t>
      </w:r>
    </w:p>
    <w:p>
      <w:pPr>
        <w:spacing w:after="0" w:line="377" w:lineRule="exact"/>
        <w:rPr>
          <w:sz w:val="20"/>
          <w:szCs w:val="20"/>
          <w:color w:val="auto"/>
        </w:rPr>
      </w:pPr>
    </w:p>
    <w:p>
      <w:pPr>
        <w:jc w:val="both"/>
        <w:ind w:left="1320" w:right="439" w:hanging="39"/>
        <w:spacing w:after="0" w:line="273" w:lineRule="auto"/>
        <w:rPr>
          <w:sz w:val="20"/>
          <w:szCs w:val="20"/>
          <w:color w:val="auto"/>
        </w:rPr>
      </w:pPr>
      <w:r>
        <w:rPr>
          <w:rFonts w:ascii="Times New Roman" w:cs="Times New Roman" w:eastAsia="Times New Roman" w:hAnsi="Times New Roman"/>
          <w:sz w:val="18"/>
          <w:szCs w:val="18"/>
          <w:b w:val="1"/>
          <w:bCs w:val="1"/>
          <w:color w:val="auto"/>
        </w:rPr>
        <w:t>​Internet proxy voting has been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-591820</wp:posOffset>
            </wp:positionV>
            <wp:extent cx="5212080"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651510"/>
                    </a:xfrm>
                    <a:prstGeom prst="rect">
                      <a:avLst/>
                    </a:prstGeom>
                    <a:noFill/>
                  </pic:spPr>
                </pic:pic>
              </a:graphicData>
            </a:graphic>
          </wp:anchor>
        </w:drawing>
      </w: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4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January 27, 2025.</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9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Special Meeting, your shares will not be voted.</w:t>
      </w:r>
    </w:p>
    <w:p>
      <w:pPr>
        <w:spacing w:after="0" w:line="9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“For” the issuance of the shares issuable upon exercise of the Warrants.</w:t>
      </w:r>
    </w:p>
    <w:p>
      <w:pPr>
        <w:spacing w:after="0" w:line="14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meeting, your proxyholder (one of the individuals named on your proxy card) will vote your shares using his or her best judgment.</w:t>
      </w:r>
    </w:p>
    <w:p>
      <w:pPr>
        <w:spacing w:after="0" w:line="158"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91"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Under stock exchange rules, brokers, banks and other securities intermediaries that are subject to such rules may use their discretion to vote your “uninstructed” shares with respect to matters considered to be “routine” under such rules, but not with respect to “non-routine” matters. In this regard, Proposals 1 and 2 are considered to be “non-routine” under such rules, meaning that your broker may not vote your shares on those proposals in the absence of your voting instructions.</w:t>
      </w:r>
    </w:p>
    <w:p>
      <w:pPr>
        <w:spacing w:after="0" w:line="17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60"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meeting. If you are the record holder of your shares, you may revoke your proxy in any one of the following ways:</w:t>
      </w:r>
    </w:p>
    <w:p>
      <w:pPr>
        <w:spacing w:after="0" w:line="54"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Marker Therapeutics, Inc., Attention: Secretary at 2450 Holcombe Blvd, Suite BCM-A, MS: BCM251, Houston, TX 77021.</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virtually and vote online. Simply attending the meeting virtually will not, by itself, revoke your proxy.</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4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votes “For” and “Against,” abstentions and, if applicable, broker non-votes. Abstentions will be counted towards the vote total for the Proposal 1 and will have the same effect as “Against” votes. Broker non-votes will have no effect and will not be counted towards the vote total for Proposal 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these matters. These un-voted shares are counted as “broker non-votes.” Proposal 1 is considered to be “non-routine” under stock exchange rules and we therefore expect broker non-votes on this proposal.</w:t>
      </w:r>
    </w:p>
    <w:p>
      <w:pPr>
        <w:spacing w:after="0" w:line="176"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the proposal?</w:t>
      </w:r>
    </w:p>
    <w:p>
      <w:pPr>
        <w:spacing w:after="0" w:line="148"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Proposal 1, the approval of the share issuance upon the exercise of the Warrants,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one-third of the outstanding shares entitled to vote are present online at the virtual meeting or represented by proxy. On the record date, there were 10,707,295 shares outstanding and entitled to vote. Thus,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holders of 3,569,098 shares must be present online at the virtual meeting or represented by proxy at the meeting to have a quorum.</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the holders of a majority of shares present online at the meeting at the virtual meeting or represented by proxy may adjourn the meeting to another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ask a question at the Special Meeting?</w:t>
      </w:r>
    </w:p>
    <w:p>
      <w:pPr>
        <w:spacing w:after="0" w:line="16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Only stockholders of record as of January 27, 2025 may submit questions or comments at the Special Meeting. If you would like to submit a question, you must first register for the Special Meeting at https://web.viewproxy.com/markertherapeutics/2025SM by 11:59 p.m. Eastern Time on Thursday March 20, 2025 and, once you join the meeting, you can type your question in the questions/chat box in the meeting portal.</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Special Meeting when you log in prior to the start of the Special Meeting. In accordance with the rules of conduct, we ask that you limit your remarks to one brief question or comment that is relevant to the Special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Special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Special Meeting?</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There will be technicians ready to assist you with any technical difficulties you may have accessing the Special Meeting live audio webcast. Please be sure to check in by 8:45 a.m. Central Time on March 21, 2025, the day of the meeting, so that any technical difficulties may be addressed before the Special Meeting live audio webcast begins. If you encounter any difficulties accessing the webcast during the check-in or meeting time, please email VirtualMeeting@viewproxy.com or call 1-866-612-8937.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 list of our record stockholders as of the close of business on the record date will be made available to stockholders during the meeting. In addition, for the ten days prior to the date of the Special Meeting, the list will be available for examination by any stockholder of record for a legally valid purpose at our corporate headquarters during regular business hours.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6"/>
          <w:szCs w:val="16"/>
          <w:b w:val="1"/>
          <w:bCs w:val="1"/>
          <w:color w:val="auto"/>
        </w:rPr>
        <w:t>ROPOSAL</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20"/>
          <w:szCs w:val="20"/>
          <w:b w:val="1"/>
          <w:bCs w:val="1"/>
          <w:color w:val="auto"/>
        </w:rPr>
        <w:t>. 1</w:t>
      </w:r>
    </w:p>
    <w:p>
      <w:pPr>
        <w:spacing w:after="0" w:line="135" w:lineRule="exact"/>
        <w:rPr>
          <w:sz w:val="20"/>
          <w:szCs w:val="20"/>
          <w:color w:val="auto"/>
        </w:rPr>
      </w:pPr>
    </w:p>
    <w:p>
      <w:pPr>
        <w:ind w:left="1660" w:right="799" w:hanging="14"/>
        <w:spacing w:after="0" w:line="300" w:lineRule="auto"/>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5"/>
          <w:szCs w:val="15"/>
          <w:b w:val="1"/>
          <w:bCs w:val="1"/>
          <w:color w:val="auto"/>
        </w:rPr>
        <w:t>PPROVAL</w:t>
      </w:r>
      <w:r>
        <w:rPr>
          <w:rFonts w:ascii="Times New Roman" w:cs="Times New Roman" w:eastAsia="Times New Roman" w:hAnsi="Times New Roman"/>
          <w:sz w:val="19"/>
          <w:szCs w:val="19"/>
          <w:b w:val="1"/>
          <w:bCs w:val="1"/>
          <w:color w:val="auto"/>
        </w:rPr>
        <w:t>, I</w:t>
      </w: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CCORDANCE</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5"/>
          <w:szCs w:val="15"/>
          <w:b w:val="1"/>
          <w:bCs w:val="1"/>
          <w:color w:val="auto"/>
        </w:rPr>
        <w:t>ITH</w:t>
      </w:r>
      <w:r>
        <w:rPr>
          <w:rFonts w:ascii="Times New Roman" w:cs="Times New Roman" w:eastAsia="Times New Roman" w:hAnsi="Times New Roman"/>
          <w:sz w:val="19"/>
          <w:szCs w:val="19"/>
          <w:b w:val="1"/>
          <w:bCs w:val="1"/>
          <w:color w:val="auto"/>
        </w:rPr>
        <w:t xml:space="preserve"> N</w:t>
      </w:r>
      <w:r>
        <w:rPr>
          <w:rFonts w:ascii="Times New Roman" w:cs="Times New Roman" w:eastAsia="Times New Roman" w:hAnsi="Times New Roman"/>
          <w:sz w:val="15"/>
          <w:szCs w:val="15"/>
          <w:b w:val="1"/>
          <w:bCs w:val="1"/>
          <w:color w:val="auto"/>
        </w:rPr>
        <w:t>ASDAQ</w:t>
      </w:r>
      <w:r>
        <w:rPr>
          <w:rFonts w:ascii="Times New Roman" w:cs="Times New Roman" w:eastAsia="Times New Roman" w:hAnsi="Times New Roman"/>
          <w:sz w:val="19"/>
          <w:szCs w:val="19"/>
          <w:b w:val="1"/>
          <w:bCs w:val="1"/>
          <w:color w:val="auto"/>
        </w:rPr>
        <w:t xml:space="preserve"> L</w:t>
      </w:r>
      <w:r>
        <w:rPr>
          <w:rFonts w:ascii="Times New Roman" w:cs="Times New Roman" w:eastAsia="Times New Roman" w:hAnsi="Times New Roman"/>
          <w:sz w:val="15"/>
          <w:szCs w:val="15"/>
          <w:b w:val="1"/>
          <w:bCs w:val="1"/>
          <w:color w:val="auto"/>
        </w:rPr>
        <w:t>ISTING</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ULE</w:t>
      </w:r>
      <w:r>
        <w:rPr>
          <w:rFonts w:ascii="Times New Roman" w:cs="Times New Roman" w:eastAsia="Times New Roman" w:hAnsi="Times New Roman"/>
          <w:sz w:val="19"/>
          <w:szCs w:val="19"/>
          <w:b w:val="1"/>
          <w:bCs w:val="1"/>
          <w:color w:val="auto"/>
        </w:rPr>
        <w:t xml:space="preserve"> 5635(D), O</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HE</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5"/>
          <w:szCs w:val="15"/>
          <w:b w:val="1"/>
          <w:bCs w:val="1"/>
          <w:color w:val="auto"/>
        </w:rPr>
        <w:t>SSUANCE</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OMMON</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9"/>
          <w:szCs w:val="19"/>
          <w:b w:val="1"/>
          <w:bCs w:val="1"/>
          <w:color w:val="auto"/>
        </w:rPr>
        <w:t xml:space="preserve"> U</w:t>
      </w:r>
      <w:r>
        <w:rPr>
          <w:rFonts w:ascii="Times New Roman" w:cs="Times New Roman" w:eastAsia="Times New Roman" w:hAnsi="Times New Roman"/>
          <w:sz w:val="15"/>
          <w:szCs w:val="15"/>
          <w:b w:val="1"/>
          <w:bCs w:val="1"/>
          <w:color w:val="auto"/>
        </w:rPr>
        <w:t>PON</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5"/>
          <w:szCs w:val="15"/>
          <w:b w:val="1"/>
          <w:bCs w:val="1"/>
          <w:color w:val="auto"/>
        </w:rPr>
        <w:t>XERCISE</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ERIES</w:t>
      </w:r>
      <w:r>
        <w:rPr>
          <w:rFonts w:ascii="Times New Roman" w:cs="Times New Roman" w:eastAsia="Times New Roman" w:hAnsi="Times New Roman"/>
          <w:sz w:val="19"/>
          <w:szCs w:val="19"/>
          <w:b w:val="1"/>
          <w:bCs w:val="1"/>
          <w:color w:val="auto"/>
        </w:rPr>
        <w:t xml:space="preserve"> A W</w:t>
      </w:r>
      <w:r>
        <w:rPr>
          <w:rFonts w:ascii="Times New Roman" w:cs="Times New Roman" w:eastAsia="Times New Roman" w:hAnsi="Times New Roman"/>
          <w:sz w:val="15"/>
          <w:szCs w:val="15"/>
          <w:b w:val="1"/>
          <w:bCs w:val="1"/>
          <w:color w:val="auto"/>
        </w:rPr>
        <w:t>ARRANTS</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ND</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5"/>
          <w:szCs w:val="15"/>
          <w:b w:val="1"/>
          <w:bCs w:val="1"/>
          <w:color w:val="auto"/>
        </w:rPr>
        <w:t>RE-FUNDED</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5"/>
          <w:szCs w:val="15"/>
          <w:b w:val="1"/>
          <w:bCs w:val="1"/>
          <w:color w:val="auto"/>
        </w:rPr>
        <w:t>ARRANTS</w:t>
      </w:r>
    </w:p>
    <w:p>
      <w:pPr>
        <w:spacing w:after="0" w:line="8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We are seeking stockholder approval, for purposes of complying with Nasdaq Listing Rule 5635(d), for the issuance of (1) 5,031,250 shares of Common Stock issuable upon exercise of outstanding Series A Warrants, or Private Placement Warrants, issued on December 23, 2024 and (2) 3,247,445 shares of Common Stock issuable upon exercise of outstanding Series B Warrants, or Pre-Funded Warrants, issued on December 23, 2024.</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ACKGROUND</w:t>
      </w:r>
    </w:p>
    <w:p>
      <w:pPr>
        <w:spacing w:after="0" w:line="171" w:lineRule="exact"/>
        <w:rPr>
          <w:sz w:val="20"/>
          <w:szCs w:val="20"/>
          <w:color w:val="auto"/>
        </w:rPr>
      </w:pPr>
    </w:p>
    <w:p>
      <w:pPr>
        <w:jc w:val="both"/>
        <w:ind w:left="1260" w:right="419"/>
        <w:spacing w:after="0" w:line="249" w:lineRule="auto"/>
        <w:rPr>
          <w:sz w:val="20"/>
          <w:szCs w:val="20"/>
          <w:color w:val="auto"/>
        </w:rPr>
      </w:pPr>
      <w:r>
        <w:rPr>
          <w:rFonts w:ascii="Times New Roman" w:cs="Times New Roman" w:eastAsia="Times New Roman" w:hAnsi="Times New Roman"/>
          <w:sz w:val="18"/>
          <w:szCs w:val="18"/>
          <w:color w:val="auto"/>
        </w:rPr>
        <w:t>On December 19, 2024, the Company entered into a securities purchase agreement (the “</w:t>
      </w:r>
      <w:r>
        <w:rPr>
          <w:rFonts w:ascii="Times New Roman" w:cs="Times New Roman" w:eastAsia="Times New Roman" w:hAnsi="Times New Roman"/>
          <w:sz w:val="18"/>
          <w:szCs w:val="18"/>
          <w:b w:val="1"/>
          <w:b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various investors for the issuance and sale in a private placement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of (i) 1,783,805 shares of Common Stock par value $0.001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60" w:right="419"/>
        <w:spacing w:after="0" w:line="246" w:lineRule="auto"/>
        <w:tabs>
          <w:tab w:leader="none" w:pos="15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Warrants to acquire 5,031,250 shares of Common Stock (the “</w:t>
      </w:r>
      <w:r>
        <w:rPr>
          <w:rFonts w:ascii="Times New Roman" w:cs="Times New Roman" w:eastAsia="Times New Roman" w:hAnsi="Times New Roman"/>
          <w:sz w:val="18"/>
          <w:szCs w:val="18"/>
          <w:b w:val="1"/>
          <w:bCs w:val="1"/>
          <w:color w:val="auto"/>
        </w:rPr>
        <w:t>Private Placement Warrants</w:t>
      </w:r>
      <w:r>
        <w:rPr>
          <w:rFonts w:ascii="Times New Roman" w:cs="Times New Roman" w:eastAsia="Times New Roman" w:hAnsi="Times New Roman"/>
          <w:sz w:val="18"/>
          <w:szCs w:val="18"/>
          <w:color w:val="auto"/>
        </w:rPr>
        <w:t>”) and (iii) Series B Warrants to acquire 3,247,445 additional shares of Common Stock (the “</w:t>
      </w:r>
      <w:r>
        <w:rPr>
          <w:rFonts w:ascii="Times New Roman" w:cs="Times New Roman" w:eastAsia="Times New Roman" w:hAnsi="Times New Roman"/>
          <w:sz w:val="18"/>
          <w:szCs w:val="18"/>
          <w:b w:val="1"/>
          <w:bCs w:val="1"/>
          <w:color w:val="auto"/>
        </w:rPr>
        <w:t>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together with the Private Placement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The Private Placement closed on December 23, 2024. The gross proceeds to the Company from the Private Placement were approximately $16.1 million, before deducting placement agent fees and offering expenses payable by the Company. The Company intends to use the net proceeds received from the Private Placement for general corporate purposes and working capital, including to support the clinical advancement of the Company’s Phase 1 APOLLO study investigating MT-601, a multi-antigen recognizing (MAR) T cell product (formerly known as multiTAA-specific T cells), in patients with lymphoma who have relapsed after anti-CD19 chimeric antigen receptor (CAR)-T cell therapy or where anti-CD19 CAR-T cells are not an option.</w:t>
      </w:r>
    </w:p>
    <w:p>
      <w:pPr>
        <w:spacing w:after="0" w:line="329"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Pursuant to the Securities Purchase Agreement, the Company is obligated to call a meeting of its stockholders to obtain stockholder approval for the issuance of the shares issuable upon exercise of the Warrants (the “</w:t>
      </w:r>
      <w:r>
        <w:rPr>
          <w:rFonts w:ascii="Times New Roman" w:cs="Times New Roman" w:eastAsia="Times New Roman" w:hAnsi="Times New Roman"/>
          <w:sz w:val="18"/>
          <w:szCs w:val="18"/>
          <w:b w:val="1"/>
          <w:bCs w:val="1"/>
          <w:color w:val="auto"/>
        </w:rPr>
        <w:t>Stockholder Approval</w:t>
      </w:r>
      <w:r>
        <w:rPr>
          <w:rFonts w:ascii="Times New Roman" w:cs="Times New Roman" w:eastAsia="Times New Roman" w:hAnsi="Times New Roman"/>
          <w:sz w:val="18"/>
          <w:szCs w:val="18"/>
          <w:color w:val="auto"/>
        </w:rPr>
        <w:t>”) within 90 days of the closing date. If the Stockholder Approval is not obtained at such meeting, the Company is required to cause an additional stockholder meeting to be held on or prior to the 180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closing date, and, if despite the Company’s reasonable best efforts the Stockholder Approval is not obtained after such subsequent stockholder meeting, the Company is required to cause an additional stockholder meeting to be held semi-annual thereafter until such Stockholder Approval is obtained.</w:t>
      </w:r>
    </w:p>
    <w:p>
      <w:pPr>
        <w:spacing w:after="0" w:line="268"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In connection therewith, the Company entered into voting agreements with certain stockholders pursuant to which such stockholders, who collectively own approximately 27% of the shares of Common Stock outstanding immediately prior to the closing of the Private Placement, agreed to vote in favor of the Private Placement.</w:t>
      </w:r>
    </w:p>
    <w:p>
      <w:pPr>
        <w:spacing w:after="0" w:line="323"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The Warrants are exercisable at any time on or after the date that the Stockholder Approval is obtained, and are not exercisable prior thereto, in compliance with Nasdaq rules and regulations, and have a term of five years commencing upon the date that the Stockholder Approval is obtained. The Pre-Funded warrants are exercisable at a price of $0.001 per share and the Private Placement Warrants have an exercise price of $4.00 per share.</w:t>
      </w:r>
    </w:p>
    <w:p>
      <w:pPr>
        <w:spacing w:after="0" w:line="32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Warrants provide for a cashless exercise feature after six months from the closing. However, the Series A Warrants can only be exercised on a cashless basis if there is no effective registration statement covering the Series A Warrants at the time of exercise.</w:t>
      </w:r>
    </w:p>
    <w:p>
      <w:pPr>
        <w:spacing w:after="0" w:line="102"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None of the issuances of the shares of Common Stock, the Pre-Funded Warrants, the Private Placement Warrants, or the shares of Common Stock issuable upon exercise of the Warrants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have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any state securities laws. The shares of Common Stock, the Pre-Funded Warrants and the Private Placement Warrants, were issued, and Warrant Shares will be issued, in reliance on the exemptions from registration provided by Section 4(a)(2) under the Securities Act and/or Regulation D promulgated thereunder. The investors who entered into to a Securities Purchase Agreement represented to the Company that they are each an accredited investor, as defined in Rule 501 of Regulation D promulgated under the Securities Act.</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Canaccord Genuity LLC acted as the Company’s lead placement agent and Brookline Capital Markets, a division of Arcadia Securities, LLC, acted as co-placement agent (collectively, the “</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in connection with the Private Placement, pursuant to that certain engagement letter, dated as of June 14, 2024, between the Company and Canaccord Genuity LLC (the “</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Pursuant to the Engagement Letter, the Company paid or agreed to pay the Agents a cash fee equal to (i) 6% of the aggregate gross proceeds of the Private Placement other than from certain identified investors (the “</w:t>
      </w:r>
      <w:r>
        <w:rPr>
          <w:rFonts w:ascii="Times New Roman" w:cs="Times New Roman" w:eastAsia="Times New Roman" w:hAnsi="Times New Roman"/>
          <w:sz w:val="18"/>
          <w:szCs w:val="18"/>
          <w:b w:val="1"/>
          <w:bCs w:val="1"/>
          <w:color w:val="auto"/>
        </w:rPr>
        <w:t>Reduced Fee Investors</w:t>
      </w:r>
      <w:r>
        <w:rPr>
          <w:rFonts w:ascii="Times New Roman" w:cs="Times New Roman" w:eastAsia="Times New Roman" w:hAnsi="Times New Roman"/>
          <w:sz w:val="18"/>
          <w:szCs w:val="18"/>
          <w:color w:val="auto"/>
        </w:rPr>
        <w:t>”), (ii) 3% of the first $5 million of aggregate gross proceeds of the Private Placement form the Reduced Fee Investors, and (iii) 6% of the aggregate gross proceeds of the Private Placement form the Reduced Fee Investors in excess of $5 million. In addition, the Company agreed to pay Wainwright certain expenses.</w:t>
      </w:r>
    </w:p>
    <w:p>
      <w:pPr>
        <w:spacing w:after="0" w:line="121"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foregoing descriptions of terms and conditions of the Securities Purchase Agreement, the Pre-Funded Warrants, the Private Placement Warrants, and the Registration Rights Agreement do not purport to be complete and are qualified in their entirety by the full text of the form of the Purchase Agreement, the form of the Pre-Funded Warrant, the form of Private Placement Warrant, and the form of the Registration Rights Agreement, which are attached hereto as Exhibits 10.1, 4.1, 4.2, and 10.2, respectively, to our Current Report on Form 8-K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December 23, 2024.</w:t>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are urged to carefully read these documents.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EGISTRATION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December 19, 2024, with the investors in the Private Placement, pursuant to which the Company agreed to prepare and file a registration statement with the SEC registering the resale of the shares of Common Stock issued in the Private Placement along with the shares of Common Stock underlying the Warrants no later than January 14, 2025, and to use its best efforts to have the registration statement declared effective as promptly as practical thereafter, and in any event no later than the earlier of (A) February 14, 2024 and (B) the second business day after the date the Company is notified by the SEC that the Registration Statement will not be reviewed or will not be subject to further review.</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OTING</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175"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In connection Private Placement, the Company entered into voting agreements with certain stockholders pursuant to which such stockholders, who collectively own approximately 27% of the shares of Common Stock outstanding immediately prior to the closing of the Private Placement, agreed to vote in favor of this proposal.</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EASONS FOR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 – N</w:t>
      </w:r>
      <w:r>
        <w:rPr>
          <w:rFonts w:ascii="Times New Roman" w:cs="Times New Roman" w:eastAsia="Times New Roman" w:hAnsi="Times New Roman"/>
          <w:sz w:val="12"/>
          <w:szCs w:val="12"/>
          <w:b w:val="1"/>
          <w:bCs w:val="1"/>
          <w:color w:val="auto"/>
        </w:rPr>
        <w:t>ASDAQ</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EQUIREMENT</w:t>
      </w:r>
    </w:p>
    <w:p>
      <w:pPr>
        <w:spacing w:after="0" w:line="175"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are seeking stockholder approval for Proposal No. 1 because, pursuant to the Securities Purchase Agreement, we agreed to issue the Warrants in the Offering, and the Warrants are not exercisable unless and until we receive the Stockholder Approval for the issuance of the shares issuable upon exercise of the Warrants. Nasdaq Listing Rule 5635(d) requires stockholder approval in connection with a transaction, other than a public offering, involving the sale or issuance by the issuer of common stock (or securities convertible into or exchangeable for common stock) equal to 20% or more of the common stock or 20% or more of the voting power of such company outstanding before the issuance for a price that is less than the lower of: (i) the closing price of the common stock immediately preceding the signing of the binding agreement for the issuance of such securities and (ii) the average closing price of the common stock for the five trading days immediately preceding the signing of the binding agreement for the issuance of such securities. Because of Nasdaq Listing Rule 5635(d), the Warrants provide that they may not be exercised unless the Stockholder Approval is obtained.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ONSEQUENCES IF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2"/>
          <w:szCs w:val="12"/>
          <w:b w:val="1"/>
          <w:bCs w:val="1"/>
          <w:color w:val="auto"/>
        </w:rPr>
        <w:t>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w:t>
      </w:r>
    </w:p>
    <w:p>
      <w:pPr>
        <w:spacing w:after="0" w:line="162"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The Board is not seeking the approval of our Stockholders to authorize our entry into or consummation of the transactions contemplated by the Securities Purchase Agreement, as the transactions have already been consummated and the Warrants have already been issued. We are only asking for approval to issue the Warrant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Shares underlying the Warrants upon exercise thereof. The failure of our Stockholders to approve Proposal No. 1 will not negate the existing terms of the documents, which will remain binding obligations of the Company.</w:t>
      </w:r>
    </w:p>
    <w:p>
      <w:pPr>
        <w:spacing w:after="0" w:line="32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ability to successfully implement our business plans and growth strategy and ultimately maximize value for our Stockholders is dependent upon our ability to raise capital and satisfy our ongoing business needs and growth strategy, which we believe would be significantly and adversely affected if our Stockholders do not approve Proposal No. 1. The pricing and terms of the Offering were agreed upon by the investors based on obtaining the Stockholder Approval. Accordingly, the failure of our Stockholders to approve this Proposal No. 1 will mean that: (i) we cannot permit the exercise of the Warrants and (ii) may incur substantial additional costs and expenses. As a result, the Company may need to seek alternative sources of financing, which financing may not be available on advantageous terms, or at all, if we cannot demonstrate to investors that we are able to obtain stockholder approval, and which may result in the incurrence of significant additional transaction expenses.</w:t>
      </w:r>
    </w:p>
    <w:p>
      <w:pPr>
        <w:spacing w:after="0" w:line="337"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If the Warrants cannot be exercised, we will not receive the net proceeds of any Warrants exercised for cash in the future. We currently expect to use such net proceeds, if any, for working capital and general corporate purposes, including to support the clinical advancement of the Company’s Phase 1 APOLLO study investigating MT-601, a multi-antigen recognizing (MAR) T cell product (formerly known as multiTAA-specific T cells), in patients with lymphoma who have relapsed after anti-CD19 chimeric antigen receptor (CAR)-T cell therapy or where anti-CD19 CAR-T cells are not an option.</w:t>
      </w:r>
    </w:p>
    <w:p>
      <w:pPr>
        <w:spacing w:after="0" w:line="106"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the event stockholder approval for Proposal No. 1 is not obtained at the Special Meeting, we will be required to call another meeting of stockholders within 180 days from the Closing Date. If, despite the Company’s reasonable best efforts the Stockholder Approval is not obtained after such subsequent stockholder meetings, the Company is required to cause an additional Stockholder Meeting to be held semi-annually thereafter until such Stockholder Approval is obtained. The costs and expenses associated with seeking such approval could materially adversely impact our ability to fund our operations and advance our clinical development plans.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OTENTIAL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DVERSE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FFECTS OF 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PPROVAL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ROPOSAL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1</w:t>
      </w:r>
    </w:p>
    <w:p>
      <w:pPr>
        <w:spacing w:after="0" w:line="175"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this Proposal No. 1 is approved, existing stockholders will suffer dilution in their ownership interests in the future upon the issuance of the Warrant Shares. Assuming the full exercise of the Warrants, an aggregate of 8,278,695 additional Shares will be outstanding, and the ownership interest of our existing stockholders would be correspondingly reduced. In addition, the sale into the public market of these Warrant Shares also could materially and adversely affect the market price of our Shares.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EQUIRED</w:t>
      </w:r>
    </w:p>
    <w:p>
      <w:pPr>
        <w:spacing w:after="0" w:line="175"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Proposal No. 1, the approval of the share issuance upon the exercise of the Warrants, will be considered to be approved if it receives “For” votes from the holders of a majority of shares present online at the meeting or represented by proxy and entitled to vote on the matter. If you “Abstain” from voting, it will have the same effect as an “Against” vote. Broker non-votes will have no effect.</w:t>
      </w:r>
    </w:p>
    <w:p>
      <w:pPr>
        <w:spacing w:after="0" w:line="95" w:lineRule="exact"/>
        <w:rPr>
          <w:sz w:val="20"/>
          <w:szCs w:val="20"/>
          <w:color w:val="auto"/>
        </w:rPr>
      </w:pPr>
    </w:p>
    <w:p>
      <w:pPr>
        <w:jc w:val="center"/>
        <w:ind w:left="1820" w:right="700"/>
        <w:spacing w:after="0" w:line="284"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ECOMMENDS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“FOR”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UTHORIZATION</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URPOSES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OMPLYING</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w:t>
      </w:r>
      <w:r>
        <w:rPr>
          <w:rFonts w:ascii="Times New Roman" w:cs="Times New Roman" w:eastAsia="Times New Roman" w:hAnsi="Times New Roman"/>
          <w:sz w:val="18"/>
          <w:szCs w:val="18"/>
          <w:b w:val="1"/>
          <w:bCs w:val="1"/>
          <w:color w:val="auto"/>
        </w:rPr>
        <w:t xml:space="preserve"> NASDAQ L</w:t>
      </w:r>
      <w:r>
        <w:rPr>
          <w:rFonts w:ascii="Times New Roman" w:cs="Times New Roman" w:eastAsia="Times New Roman" w:hAnsi="Times New Roman"/>
          <w:sz w:val="12"/>
          <w:szCs w:val="12"/>
          <w:b w:val="1"/>
          <w:bCs w:val="1"/>
          <w:color w:val="auto"/>
        </w:rPr>
        <w:t>ISTING</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ULE</w:t>
      </w:r>
      <w:r>
        <w:rPr>
          <w:rFonts w:ascii="Times New Roman" w:cs="Times New Roman" w:eastAsia="Times New Roman" w:hAnsi="Times New Roman"/>
          <w:sz w:val="18"/>
          <w:szCs w:val="18"/>
          <w:b w:val="1"/>
          <w:bCs w:val="1"/>
          <w:color w:val="auto"/>
        </w:rPr>
        <w:t xml:space="preserve"> 5635(</w:t>
      </w:r>
      <w:r>
        <w:rPr>
          <w:rFonts w:ascii="Times New Roman" w:cs="Times New Roman" w:eastAsia="Times New Roman" w:hAnsi="Times New Roman"/>
          <w:sz w:val="12"/>
          <w:szCs w:val="12"/>
          <w:b w:val="1"/>
          <w:bCs w:val="1"/>
          <w:color w:val="auto"/>
        </w:rPr>
        <w:t>D</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SSUANCE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NDERLYING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ECURITY</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ERTAIN</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6"/>
          <w:szCs w:val="16"/>
          <w:b w:val="1"/>
          <w:bCs w:val="1"/>
          <w:color w:val="auto"/>
        </w:rPr>
        <w:t>ENEFICIAL</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ANAGEMENT</w:t>
      </w:r>
    </w:p>
    <w:p>
      <w:pPr>
        <w:spacing w:after="0" w:line="17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December 31, 2024 by: (i) each director and nominee for director; (ii) each named executive officer;</w:t>
      </w:r>
    </w:p>
    <w:p>
      <w:pPr>
        <w:jc w:val="both"/>
        <w:ind w:left="1260" w:right="419"/>
        <w:spacing w:after="0" w:line="253" w:lineRule="auto"/>
        <w:tabs>
          <w:tab w:leader="none" w:pos="1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 and (iv) all those known by the Company to be beneficial owners of more than five percent of its common stock. Beneficial ownership, for purposes of this table, includes options and warrants to purchase common stock that are either currently exercisable or will be exercisable within 60 days of December 31,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6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0" w:type="dxa"/>
            <w:vAlign w:val="bottom"/>
          </w:tcPr>
          <w:p>
            <w:pPr>
              <w:spacing w:after="0"/>
              <w:rPr>
                <w:sz w:val="1"/>
                <w:szCs w:val="1"/>
                <w:color w:val="auto"/>
              </w:rPr>
            </w:pPr>
          </w:p>
        </w:tc>
      </w:tr>
      <w:tr>
        <w:trPr>
          <w:trHeight w:val="40"/>
        </w:trPr>
        <w:tc>
          <w:tcPr>
            <w:tcW w:w="960" w:type="dxa"/>
            <w:vAlign w:val="bottom"/>
            <w:tcBorders>
              <w:bottom w:val="single" w:sz="8" w:color="auto"/>
            </w:tcBorders>
            <w:vMerge w:val="continue"/>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i w:val="1"/>
          <w:iCs w:val="1"/>
          <w:color w:val="auto"/>
        </w:rPr>
        <w:t>5%​ or greater stockholders:</w:t>
      </w:r>
    </w:p>
    <w:p>
      <w:pPr>
        <w:ind w:left="1260"/>
        <w:spacing w:after="0" w:line="203" w:lineRule="auto"/>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New Enterprise Associates</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i w:val="1"/>
          <w:iCs w:val="1"/>
          <w:color w:val="auto"/>
        </w:rPr>
        <w:t>Named​ executive officers and directors</w:t>
      </w:r>
      <w:r>
        <w:rPr>
          <w:rFonts w:ascii="Times New Roman" w:cs="Times New Roman" w:eastAsia="Times New Roman" w:hAnsi="Times New Roman"/>
          <w:sz w:val="18"/>
          <w:szCs w:val="18"/>
          <w:color w:val="auto"/>
        </w:rPr>
        <w:t>:</w:t>
      </w:r>
    </w:p>
    <w:p>
      <w:pPr>
        <w:ind w:left="1440" w:hanging="180"/>
        <w:spacing w:after="0" w:line="193" w:lineRule="auto"/>
        <w:tabs>
          <w:tab w:leader="none" w:pos="1440" w:val="left"/>
        </w:tabs>
        <w:numPr>
          <w:ilvl w:val="0"/>
          <w:numId w:val="11"/>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David Eansor</w:t>
      </w:r>
      <w:r>
        <w:rPr>
          <w:rFonts w:ascii="Times New Roman" w:cs="Times New Roman" w:eastAsia="Times New Roman" w:hAnsi="Times New Roman"/>
          <w:sz w:val="23"/>
          <w:szCs w:val="23"/>
          <w:color w:val="auto"/>
          <w:vertAlign w:val="superscript"/>
        </w:rPr>
        <w:t>(3)</w:t>
      </w:r>
    </w:p>
    <w:p>
      <w:pPr>
        <w:ind w:left="1440" w:hanging="180"/>
        <w:spacing w:after="0" w:line="183" w:lineRule="auto"/>
        <w:tabs>
          <w:tab w:leader="none" w:pos="1440" w:val="left"/>
        </w:tabs>
        <w:numPr>
          <w:ilvl w:val="0"/>
          <w:numId w:val="11"/>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Steven Elms</w:t>
      </w:r>
      <w:r>
        <w:rPr>
          <w:rFonts w:ascii="Times New Roman" w:cs="Times New Roman" w:eastAsia="Times New Roman" w:hAnsi="Times New Roman"/>
          <w:sz w:val="20"/>
          <w:szCs w:val="20"/>
          <w:color w:val="auto"/>
          <w:vertAlign w:val="superscript"/>
        </w:rPr>
        <w:t>(4)</w:t>
      </w:r>
    </w:p>
    <w:p>
      <w:pPr>
        <w:ind w:left="1440" w:hanging="180"/>
        <w:spacing w:after="0" w:line="180" w:lineRule="auto"/>
        <w:tabs>
          <w:tab w:leader="none" w:pos="1440" w:val="left"/>
        </w:tabs>
        <w:numPr>
          <w:ilvl w:val="0"/>
          <w:numId w:val="1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Juan Vera</w:t>
      </w:r>
      <w:r>
        <w:rPr>
          <w:rFonts w:ascii="Times New Roman" w:cs="Times New Roman" w:eastAsia="Times New Roman" w:hAnsi="Times New Roman"/>
          <w:sz w:val="22"/>
          <w:szCs w:val="22"/>
          <w:color w:val="auto"/>
          <w:vertAlign w:val="superscript"/>
        </w:rPr>
        <w:t>(5)</w:t>
      </w:r>
    </w:p>
    <w:p>
      <w:pPr>
        <w:spacing w:after="0" w:line="1" w:lineRule="exact"/>
        <w:rPr>
          <w:rFonts w:ascii="Times New Roman" w:cs="Times New Roman" w:eastAsia="Times New Roman" w:hAnsi="Times New Roman"/>
          <w:sz w:val="34"/>
          <w:szCs w:val="34"/>
          <w:color w:val="auto"/>
          <w:vertAlign w:val="subscript"/>
        </w:rPr>
      </w:pPr>
    </w:p>
    <w:p>
      <w:pPr>
        <w:ind w:left="1440" w:hanging="180"/>
        <w:spacing w:after="0" w:line="184" w:lineRule="auto"/>
        <w:tabs>
          <w:tab w:leader="none" w:pos="1440" w:val="left"/>
        </w:tabs>
        <w:numPr>
          <w:ilvl w:val="0"/>
          <w:numId w:val="11"/>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John Wilson</w:t>
      </w:r>
      <w:r>
        <w:rPr>
          <w:rFonts w:ascii="Times New Roman" w:cs="Times New Roman" w:eastAsia="Times New Roman" w:hAnsi="Times New Roman"/>
          <w:sz w:val="21"/>
          <w:szCs w:val="21"/>
          <w:color w:val="auto"/>
          <w:vertAlign w:val="superscript"/>
        </w:rPr>
        <w:t>(6)</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4" w:lineRule="auto"/>
        <w:tabs>
          <w:tab w:leader="none" w:pos="1440" w:val="left"/>
        </w:tabs>
        <w:numPr>
          <w:ilvl w:val="0"/>
          <w:numId w:val="11"/>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Katharine Knobil</w:t>
      </w:r>
      <w:r>
        <w:rPr>
          <w:rFonts w:ascii="Times New Roman" w:cs="Times New Roman" w:eastAsia="Times New Roman" w:hAnsi="Times New Roman"/>
          <w:sz w:val="21"/>
          <w:szCs w:val="21"/>
          <w:color w:val="auto"/>
          <w:vertAlign w:val="superscript"/>
        </w:rPr>
        <w:t>(7)</w:t>
      </w:r>
    </w:p>
    <w:p>
      <w:pPr>
        <w:spacing w:after="0" w:line="1" w:lineRule="exact"/>
        <w:rPr>
          <w:rFonts w:ascii="Times New Roman" w:cs="Times New Roman" w:eastAsia="Times New Roman" w:hAnsi="Times New Roman"/>
          <w:sz w:val="32"/>
          <w:szCs w:val="32"/>
          <w:color w:val="auto"/>
          <w:vertAlign w:val="subscript"/>
        </w:rPr>
      </w:pPr>
    </w:p>
    <w:p>
      <w:pPr>
        <w:ind w:left="1440" w:hanging="180"/>
        <w:spacing w:after="0" w:line="183" w:lineRule="auto"/>
        <w:tabs>
          <w:tab w:leader="none" w:pos="1440" w:val="left"/>
        </w:tabs>
        <w:numPr>
          <w:ilvl w:val="0"/>
          <w:numId w:val="11"/>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5"/>
          <w:szCs w:val="15"/>
          <w:color w:val="auto"/>
        </w:rPr>
        <w:t>All executive officers and directors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-882015</wp:posOffset>
            </wp:positionV>
            <wp:extent cx="52120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-521970</wp:posOffset>
            </wp:positionV>
            <wp:extent cx="521208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-161925</wp:posOffset>
            </wp:positionV>
            <wp:extent cx="52120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w w:val="92"/>
              </w:rPr>
              <w:t>Beneficial Ownership</w:t>
            </w:r>
            <w:r>
              <w:rPr>
                <w:rFonts w:ascii="Times New Roman" w:cs="Times New Roman" w:eastAsia="Times New Roman" w:hAnsi="Times New Roman"/>
                <w:sz w:val="23"/>
                <w:szCs w:val="23"/>
                <w:b w:val="1"/>
                <w:bCs w:val="1"/>
                <w:color w:val="auto"/>
                <w:w w:val="92"/>
                <w:vertAlign w:val="superscript"/>
              </w:rPr>
              <w:t>(1)</w:t>
            </w:r>
          </w:p>
        </w:tc>
        <w:tc>
          <w:tcPr>
            <w:tcW w:w="4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4"/>
        </w:trPr>
        <w:tc>
          <w:tcPr>
            <w:tcW w:w="16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Borders>
              <w:bottom w:val="single" w:sz="8" w:color="auto"/>
            </w:tcBorders>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2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​1,625,678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i w:val="1"/>
                <w:i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337,588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3.2%</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398,824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3.7%</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790,450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7.4%</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28,650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5"/>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​1,576,456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5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​14.5%</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470" w:lineRule="exact"/>
        <w:rPr>
          <w:sz w:val="20"/>
          <w:szCs w:val="20"/>
          <w:color w:val="auto"/>
        </w:rPr>
      </w:pPr>
    </w:p>
    <w:p>
      <w:pPr>
        <w:sectPr>
          <w:pgSz w:w="11900" w:h="16838" w:orient="portrait"/>
          <w:cols w:equalWidth="0" w:num="2">
            <w:col w:w="6280" w:space="60"/>
            <w:col w:w="3539"/>
          </w:cols>
          <w:pgMar w:left="580" w:top="97" w:right="1440" w:bottom="1440" w:gutter="0" w:footer="0" w:header="0"/>
          <w:type w:val="continuous"/>
        </w:sectPr>
      </w:pPr>
    </w:p>
    <w:p>
      <w:pPr>
        <w:jc w:val="both"/>
        <w:ind w:left="1620" w:right="419" w:hanging="360"/>
        <w:spacing w:after="0" w:line="25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 13D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10,707,295 shares outstanding on December 31, 2024, adjusted as required by rules promulgated by the SEC.</w:t>
      </w:r>
    </w:p>
    <w:p>
      <w:pPr>
        <w:spacing w:after="0" w:line="52"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has been obtained from a Schedule 13D/A filed on December 23, 2024, with the SEC by New Enterprise Associates 16, L.P. (“NEA 16”) and its affiliates. Consists of 1,625,678 shares of common stock held directly by NEA 16 (“NEA Partners 16”) is the sole general partner of NEA 16, and NEA 16 GP, LLC (“NEA 16 LLC”) is the sole general partner of NEA Partners 16. The managers of NEA 16 LLC are Forest Baskett, Ali Behbahani, Carmen Chang, Anthony A. Florence, Jr., Mohamad H. Makhzoumi, Scott D. Sandell, and Paul Walker (collectively, the “NEA 16 Managers”). NEA 16, NEA Partners 16, NEA 16 LLC and the NEA 16 Managers share voting and dispositive power with regard to the shares owned directly by NEA 16. The principal business address for all entities and individuals affiliated with NEA 16 is New Enterprise Associates, 1954 Greenspring Drive, Suite 600, Timonium, MD 21093.</w:t>
      </w:r>
    </w:p>
    <w:p>
      <w:pPr>
        <w:spacing w:after="0" w:line="269"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3,694 shares of common stock and (b) 17,250 shares of common stock issuable upon exercise of options within 60 days of December 31, 2024.</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2,968 shares of common stock held directly by Mr. Elms, (b) 325,370 shares of common stock held directly by Aisling Capital for which Mr. Elms shares voting and dispositive power, and</w:t>
      </w:r>
    </w:p>
    <w:p>
      <w:pPr>
        <w:ind w:left="1620" w:right="419"/>
        <w:spacing w:after="0" w:line="250" w:lineRule="auto"/>
        <w:tabs>
          <w:tab w:leader="none" w:pos="18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9,250 shares of common stock issuable upon exercise of options within 60 days of December 31, 2024.</w:t>
      </w:r>
    </w:p>
    <w:p>
      <w:pPr>
        <w:spacing w:after="0" w:line="279"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267,184 shares of common stock, and (b) 131,640 shares of common stock issuable upon exercise of options within 60 days of December 31, 2024.</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781,200 shares of common stock, and (b) 9,250 shares of common stock issuable upon exercise of options within 60 days of December 31, 2024.</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150 shares of common stock and (b) 28,500 shares of common stock issuable upon exercise of options within 60 days of December 31, 2024.</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H</w:t>
      </w:r>
      <w:r>
        <w:rPr>
          <w:rFonts w:ascii="Times New Roman" w:cs="Times New Roman" w:eastAsia="Times New Roman" w:hAnsi="Times New Roman"/>
          <w:sz w:val="16"/>
          <w:szCs w:val="16"/>
          <w:b w:val="1"/>
          <w:bCs w:val="1"/>
          <w:color w:val="auto"/>
        </w:rPr>
        <w:t>OUSEHOLDING</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ROXY</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ATERIALS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the delivery requirements for Notices of Internet Availability of Proxy Materials or other Special Meeting materials with respect to two or more stockholders sharing the same address by delivering a single Notice of Internet Availability of Proxy Materials or other Special Meeting materials addressed to those stockholders. This process, which is commonly referred to as “householding,” potentially means extra convenience for stockholders and cost savings for companies.</w:t>
      </w:r>
    </w:p>
    <w:p>
      <w:pPr>
        <w:spacing w:after="0" w:line="120"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We expect that a number of brokers with account holders who are Marker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us. Direct your written request to Marker Therapeutics, Inc., Attn: Secretary, 2450 Holcombe Blvd, Suite BCM-A, MS: BCM251, Houston, TX 77021.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TOCKHOLDER</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ROPOSALS</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ND</w:t>
      </w:r>
      <w:r>
        <w:rPr>
          <w:rFonts w:ascii="Times New Roman" w:cs="Times New Roman" w:eastAsia="Times New Roman" w:hAnsi="Times New Roman"/>
          <w:sz w:val="20"/>
          <w:szCs w:val="20"/>
          <w:b w:val="1"/>
          <w:bCs w:val="1"/>
          <w:color w:val="auto"/>
        </w:rPr>
        <w:t xml:space="preserve"> N</w:t>
      </w:r>
      <w:r>
        <w:rPr>
          <w:rFonts w:ascii="Times New Roman" w:cs="Times New Roman" w:eastAsia="Times New Roman" w:hAnsi="Times New Roman"/>
          <w:sz w:val="16"/>
          <w:szCs w:val="16"/>
          <w:b w:val="1"/>
          <w:bCs w:val="1"/>
          <w:color w:val="auto"/>
        </w:rPr>
        <w:t>OMINATIONS</w:t>
      </w:r>
    </w:p>
    <w:p>
      <w:pPr>
        <w:spacing w:after="0" w:line="170"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To be considered for inclusion in the 2025 annual proxy materials, your written proposal must be received by our Secretary by December 30, 2024. If you wish to submit a proposal (including a director nomination) at the meeting that is not to be included in the 2025 annual proxy materials, you must do so not earlier than February 7, 2025 and not later than March 7, 2025. Stockholder proposals and director nominations should be addressed to Marker Therapeutics, Inc., Attention: Secretary, 2450 Holcombe Blvd, Suite BCM-A, MS: BCM251, Houston, TX 77021. Your notice to the Secretary must set forth information specified in our bylaws.</w:t>
      </w:r>
    </w:p>
    <w:p>
      <w:pPr>
        <w:spacing w:after="0" w:line="336"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propose to bring business before an annual meeting of stockholders other than a director nomination, your notice must include, as to each matter proposed, the following: (1) a brief description of the business desired to be brought before such annual meeting and the reasons for conducting that business at the annual meeting, (2) the text of the proposal, including the text of any resolutions proposed for consideration and (3) any material interest you have in that proposal.</w:t>
      </w:r>
    </w:p>
    <w:p>
      <w:pPr>
        <w:spacing w:after="0" w:line="10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If you propose to nominate an individual for election as a director, your notice must also include, as to each person you propose to nominate for election as a director, the following: (1) all information related to such nominee that would be required to be disclosed in solicitations of proxies for the election of such nominee as a director pursuant to Regulation 14A under the Securities and Exchange Act of 1934, as amended (the “Exchange Act”), including such person’s written consent to being named in the proxy statement as a nominee and serving as a director, if elected, and (2) a description of all direct and indirect compensation and other material monetary arrangements, agreements or understandings during the past three years, and any other material relationship, if any, between or concerning you and your affiliates, on the one hand, and the proposed nominee or any of his or her affiliates, on the other hand. We may require any proposed nominee to furnish other information as we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2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For more information, and for more detailed requirements, please refer to our bylaws filed as Exhibit 3.6 to our Current Report on Form 8-K (File No. 001-37939), filed with the SEC on October 17, 2018.</w:t>
      </w:r>
    </w:p>
    <w:p>
      <w:pPr>
        <w:spacing w:after="0" w:line="9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provide notice and the additional information required by Rule 14a-19 under the Exchange Act.</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ATTERS</w:t>
      </w:r>
    </w:p>
    <w:p>
      <w:pPr>
        <w:spacing w:after="0" w:line="170"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w:t>
      </w:r>
    </w:p>
    <w:p>
      <w:pPr>
        <w:spacing w:after="0" w:line="1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548640</wp:posOffset>
            </wp:positionV>
            <wp:extent cx="13716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Juan Vera, M.D.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[                     ], 2025</w:t>
      </w:r>
    </w:p>
    <w:p>
      <w:pPr>
        <w:spacing w:after="0" w:line="221"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color w:val="auto"/>
        </w:rPr>
        <w:t>A copy of the Company’s Annual Report to the Securities and Exchange Commission on Form 10-K for the fiscal year ended December 31, 2023 is available without charge upon written request to Marker Therapeutics, Inc., Attention: Secretary, Marker Therapeutics, Inc., 2450 Holcombe Blvd, Suite BCM-A, MS: BCM251, Houston, TX 77054.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93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404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84048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9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89192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Roman"/>
      <w:start w:val="2"/>
    </w:lvl>
  </w:abstractNum>
  <w:abstractNum w:abstractNumId="9">
    <w:nsid w:val="1190CDE7"/>
    <w:multiLevelType w:val="hybridMultilevel"/>
    <w:lvl w:ilvl="0">
      <w:lvlJc w:val="left"/>
      <w:lvlText w:val="(%1)"/>
      <w:numFmt w:val="lowerRoman"/>
      <w:start w:val="3"/>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2025-01-13T15:14:33Z</dcterms:created>
  <dcterms:modified xsi:type="dcterms:W3CDTF">2025-01-13T15:14:33Z</dcterms:modified>
</cp:coreProperties>
</file>