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4551 Kennedy Commerce Drive</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Houston, Texas 77032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December 29,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140"/>
          </w:cols>
          <w:pgMar w:left="320" w:top="445" w:right="4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333-268979</w:t>
      </w:r>
    </w:p>
    <w:p>
      <w:pPr>
        <w:spacing w:after="0" w:line="200" w:lineRule="exact"/>
        <w:rPr>
          <w:sz w:val="24"/>
          <w:szCs w:val="24"/>
          <w:color w:val="auto"/>
        </w:rPr>
      </w:pPr>
    </w:p>
    <w:p>
      <w:pPr>
        <w:sectPr>
          <w:pgSz w:w="11900" w:h="16838" w:orient="portrait"/>
          <w:cols w:equalWidth="0" w:num="2">
            <w:col w:w="320" w:space="660"/>
            <w:col w:w="10160"/>
          </w:cols>
          <w:pgMar w:left="320" w:top="445" w:right="4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firstLine="648"/>
        <w:spacing w:after="0" w:line="281" w:lineRule="auto"/>
        <w:rPr>
          <w:sz w:val="20"/>
          <w:szCs w:val="20"/>
          <w:color w:val="auto"/>
        </w:rPr>
      </w:pPr>
      <w:r>
        <w:rPr>
          <w:rFonts w:ascii="Arial" w:cs="Arial" w:eastAsia="Arial" w:hAnsi="Arial"/>
          <w:sz w:val="17"/>
          <w:szCs w:val="17"/>
          <w:color w:val="auto"/>
        </w:rPr>
        <w:t>Marker Therapeutics, Inc. (the “</w:t>
      </w:r>
      <w:r>
        <w:rPr>
          <w:rFonts w:ascii="Arial" w:cs="Arial" w:eastAsia="Arial" w:hAnsi="Arial"/>
          <w:sz w:val="17"/>
          <w:szCs w:val="17"/>
          <w:b w:val="1"/>
          <w:bCs w:val="1"/>
          <w:color w:val="auto"/>
        </w:rPr>
        <w:t>Registrant</w:t>
      </w:r>
      <w:r>
        <w:rPr>
          <w:rFonts w:ascii="Arial" w:cs="Arial" w:eastAsia="Arial" w:hAnsi="Arial"/>
          <w:sz w:val="17"/>
          <w:szCs w:val="17"/>
          <w:color w:val="auto"/>
        </w:rPr>
        <w:t>”) hereby requests that the 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take appropriate action to cause the above-referenced Registration Statement on Form S-1 to become effective on December 30, 2022, at 4:00 p.m., Eastern Time, or as soon thereafter as is practicable or at such later time as the Registrant may orally request via telephone call to the staff of the Commission. The Registrant hereby authorizes Madison Jones of Cooley LLP, counsel to the Registrant, to make such request on its behalf.</w:t>
      </w:r>
    </w:p>
    <w:p>
      <w:pPr>
        <w:spacing w:after="0" w:line="169"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Madison Jones of Cooley LLP, counsel to the Registrant, at (202) 728-7087, or in her absence, Paul Alexander at (202) 776-2118.</w:t>
      </w:r>
    </w:p>
    <w:p>
      <w:pPr>
        <w:spacing w:after="0" w:line="170"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MARKER THERAPEUTICS, INC.</w:t>
      </w:r>
    </w:p>
    <w:p>
      <w:pPr>
        <w:spacing w:after="0" w:line="200" w:lineRule="exact"/>
        <w:rPr>
          <w:sz w:val="24"/>
          <w:szCs w:val="24"/>
          <w:color w:val="auto"/>
        </w:rPr>
      </w:pPr>
    </w:p>
    <w:p>
      <w:pPr>
        <w:spacing w:after="0" w:line="245"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Loiacono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Name: Michael Loiacono</w:t>
      </w:r>
    </w:p>
    <w:p>
      <w:pPr>
        <w:spacing w:after="0" w:line="23"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Chief Accounting Officer</w:t>
      </w:r>
    </w:p>
    <w:p>
      <w:pPr>
        <w:spacing w:after="0" w:line="211" w:lineRule="exact"/>
        <w:rPr>
          <w:sz w:val="24"/>
          <w:szCs w:val="24"/>
          <w:color w:val="auto"/>
        </w:rPr>
      </w:pPr>
    </w:p>
    <w:p>
      <w:pPr>
        <w:ind w:left="660" w:right="7640" w:hanging="652"/>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Peter Hoang, Marker Therapeutics, Inc. Madison Jones, Cooley LLP Divakar Gupta, Cooley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44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2023-02-06T04:27:36Z</dcterms:created>
  <dcterms:modified xsi:type="dcterms:W3CDTF">2023-02-06T04:27:36Z</dcterms:modified>
</cp:coreProperties>
</file>