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975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975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vMerge w:val="restart"/>
          </w:tcPr>
          <w:p>
            <w:pPr>
              <w:ind w:left="20"/>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Hoang Peter L.</w:t>
              </w:r>
            </w:hyperlink>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8"/>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Marker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20" w:type="dxa"/>
            <w:vAlign w:val="bottom"/>
            <w:vMerge w:val="restart"/>
          </w:tcPr>
          <w:p>
            <w:pPr>
              <w:ind w:left="140"/>
              <w:spacing w:after="0" w:line="129"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vMerge w:val="restart"/>
          </w:tcPr>
          <w:p>
            <w:pPr>
              <w:ind w:left="18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gridSpan w:val="4"/>
            <w:vMerge w:val="restart"/>
          </w:tcPr>
          <w:p>
            <w:pPr>
              <w:ind w:left="440"/>
              <w:spacing w:after="0"/>
              <w:rPr>
                <w:sz w:val="20"/>
                <w:szCs w:val="20"/>
                <w:color w:val="auto"/>
              </w:rPr>
            </w:pPr>
            <w:r>
              <w:rPr>
                <w:rFonts w:ascii="Arial" w:cs="Arial" w:eastAsia="Arial" w:hAnsi="Arial"/>
                <w:sz w:val="17"/>
                <w:szCs w:val="17"/>
                <w:color w:val="0000FF"/>
              </w:rPr>
              <w:t>Chief Executive Officer</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6"/>
          </w:tcPr>
          <w:p>
            <w:pPr>
              <w:ind w:left="20"/>
              <w:spacing w:after="0"/>
              <w:rPr>
                <w:sz w:val="20"/>
                <w:szCs w:val="20"/>
                <w:color w:val="auto"/>
              </w:rPr>
            </w:pPr>
            <w:r>
              <w:rPr>
                <w:rFonts w:ascii="Arial" w:cs="Arial" w:eastAsia="Arial" w:hAnsi="Arial"/>
                <w:sz w:val="17"/>
                <w:szCs w:val="17"/>
                <w:color w:val="0000FF"/>
              </w:rPr>
              <w:t>5 WEST FORSYTH STREET, SUITE 200</w:t>
            </w:r>
          </w:p>
        </w:tc>
        <w:tc>
          <w:tcPr>
            <w:tcW w:w="1480" w:type="dxa"/>
            <w:vAlign w:val="bottom"/>
            <w:gridSpan w:val="5"/>
          </w:tcPr>
          <w:p>
            <w:pPr>
              <w:ind w:left="380"/>
              <w:spacing w:after="0"/>
              <w:rPr>
                <w:sz w:val="20"/>
                <w:szCs w:val="20"/>
                <w:color w:val="auto"/>
              </w:rPr>
            </w:pPr>
            <w:r>
              <w:rPr>
                <w:rFonts w:ascii="Arial" w:cs="Arial" w:eastAsia="Arial" w:hAnsi="Arial"/>
                <w:sz w:val="17"/>
                <w:szCs w:val="17"/>
                <w:color w:val="0000FF"/>
              </w:rPr>
              <w:t>10/19/2018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gridSpan w:val="4"/>
            <w:vMerge w:val="continue"/>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gridSpan w:val="5"/>
            <w:vMerge w:val="restart"/>
          </w:tcPr>
          <w:p>
            <w:pPr>
              <w:ind w:left="20"/>
              <w:spacing w:after="0"/>
              <w:rPr>
                <w:sz w:val="20"/>
                <w:szCs w:val="20"/>
                <w:color w:val="auto"/>
              </w:rPr>
            </w:pPr>
            <w:r>
              <w:rPr>
                <w:rFonts w:ascii="Arial" w:cs="Arial" w:eastAsia="Arial" w:hAnsi="Arial"/>
                <w:sz w:val="17"/>
                <w:szCs w:val="17"/>
                <w:color w:val="0000FF"/>
              </w:rPr>
              <w:t>JACKSONVILLE FL</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32202</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6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2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90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9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3"/>
              </w:rPr>
              <w:t>(A) or</w:t>
            </w:r>
          </w:p>
        </w:tc>
        <w:tc>
          <w:tcPr>
            <w:tcW w:w="78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2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7"/>
              </w:rPr>
              <w:t>1,359,855</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Option</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9.18</w:t>
            </w:r>
          </w:p>
        </w:tc>
        <w:tc>
          <w:tcPr>
            <w:tcW w:w="120" w:type="dxa"/>
            <w:vAlign w:val="bottom"/>
          </w:tcPr>
          <w:p>
            <w:pPr>
              <w:spacing w:after="0"/>
              <w:rPr>
                <w:sz w:val="12"/>
                <w:szCs w:val="12"/>
                <w:color w:val="auto"/>
              </w:rPr>
            </w:pPr>
          </w:p>
        </w:tc>
        <w:tc>
          <w:tcPr>
            <w:tcW w:w="1120" w:type="dxa"/>
            <w:vAlign w:val="bottom"/>
          </w:tcPr>
          <w:p>
            <w:pPr>
              <w:jc w:val="right"/>
              <w:ind w:right="215"/>
              <w:spacing w:after="0" w:line="139" w:lineRule="exact"/>
              <w:rPr>
                <w:sz w:val="20"/>
                <w:szCs w:val="20"/>
                <w:color w:val="auto"/>
              </w:rPr>
            </w:pPr>
            <w:r>
              <w:rPr>
                <w:rFonts w:ascii="Arial" w:cs="Arial" w:eastAsia="Arial" w:hAnsi="Arial"/>
                <w:sz w:val="13"/>
                <w:szCs w:val="13"/>
                <w:color w:val="0000FF"/>
              </w:rPr>
              <w:t>10/19/2018</w:t>
            </w:r>
          </w:p>
        </w:tc>
        <w:tc>
          <w:tcPr>
            <w:tcW w:w="1060" w:type="dxa"/>
            <w:vAlign w:val="bottom"/>
          </w:tcPr>
          <w:p>
            <w:pPr>
              <w:spacing w:after="0"/>
              <w:rPr>
                <w:sz w:val="12"/>
                <w:szCs w:val="12"/>
                <w:color w:val="auto"/>
              </w:rPr>
            </w:pPr>
          </w:p>
        </w:tc>
        <w:tc>
          <w:tcPr>
            <w:tcW w:w="840" w:type="dxa"/>
            <w:vAlign w:val="bottom"/>
            <w:gridSpan w:val="4"/>
          </w:tcPr>
          <w:p>
            <w:pPr>
              <w:ind w:left="160"/>
              <w:spacing w:after="0" w:line="139" w:lineRule="exact"/>
              <w:rPr>
                <w:sz w:val="20"/>
                <w:szCs w:val="20"/>
                <w:color w:val="auto"/>
              </w:rPr>
            </w:pPr>
            <w:r>
              <w:rPr>
                <w:rFonts w:ascii="Arial" w:cs="Arial" w:eastAsia="Arial" w:hAnsi="Arial"/>
                <w:sz w:val="13"/>
                <w:szCs w:val="13"/>
                <w:color w:val="0000FF"/>
              </w:rPr>
              <w:t>A</w:t>
            </w:r>
          </w:p>
        </w:tc>
        <w:tc>
          <w:tcPr>
            <w:tcW w:w="640" w:type="dxa"/>
            <w:vAlign w:val="bottom"/>
          </w:tcPr>
          <w:p>
            <w:pPr>
              <w:jc w:val="right"/>
              <w:ind w:right="21"/>
              <w:spacing w:after="0" w:line="139" w:lineRule="exact"/>
              <w:rPr>
                <w:sz w:val="20"/>
                <w:szCs w:val="20"/>
                <w:color w:val="auto"/>
              </w:rPr>
            </w:pPr>
            <w:r>
              <w:rPr>
                <w:rFonts w:ascii="Arial" w:cs="Arial" w:eastAsia="Arial" w:hAnsi="Arial"/>
                <w:sz w:val="13"/>
                <w:szCs w:val="13"/>
                <w:color w:val="0000FF"/>
                <w:w w:val="93"/>
              </w:rPr>
              <w:t>1,359,855</w:t>
            </w:r>
          </w:p>
        </w:tc>
        <w:tc>
          <w:tcPr>
            <w:tcW w:w="340" w:type="dxa"/>
            <w:vAlign w:val="bottom"/>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2"/>
                <w:szCs w:val="12"/>
                <w:color w:val="auto"/>
              </w:rPr>
            </w:pPr>
          </w:p>
        </w:tc>
        <w:tc>
          <w:tcPr>
            <w:tcW w:w="760" w:type="dxa"/>
            <w:vAlign w:val="bottom"/>
          </w:tcPr>
          <w:p>
            <w:pPr>
              <w:ind w:left="40"/>
              <w:spacing w:after="0" w:line="139" w:lineRule="exact"/>
              <w:rPr>
                <w:sz w:val="20"/>
                <w:szCs w:val="20"/>
                <w:color w:val="auto"/>
              </w:rPr>
            </w:pPr>
            <w:r>
              <w:rPr>
                <w:rFonts w:ascii="Arial" w:cs="Arial" w:eastAsia="Arial" w:hAnsi="Arial"/>
                <w:sz w:val="13"/>
                <w:szCs w:val="13"/>
                <w:color w:val="0000FF"/>
              </w:rPr>
              <w:t>10/19/2028</w:t>
            </w:r>
          </w:p>
        </w:tc>
        <w:tc>
          <w:tcPr>
            <w:tcW w:w="6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162"/>
              <w:spacing w:after="0" w:line="139" w:lineRule="exact"/>
              <w:rPr>
                <w:sz w:val="20"/>
                <w:szCs w:val="20"/>
                <w:color w:val="auto"/>
              </w:rPr>
            </w:pPr>
            <w:r>
              <w:rPr>
                <w:rFonts w:ascii="Arial" w:cs="Arial" w:eastAsia="Arial" w:hAnsi="Arial"/>
                <w:sz w:val="13"/>
                <w:szCs w:val="13"/>
                <w:color w:val="0000FF"/>
              </w:rPr>
              <w:t>1,359,855</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gridSpan w:val="3"/>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right"/>
              <w:ind w:right="65"/>
              <w:spacing w:after="0"/>
              <w:rPr>
                <w:sz w:val="20"/>
                <w:szCs w:val="20"/>
                <w:color w:val="auto"/>
              </w:rPr>
            </w:pPr>
            <w:r>
              <w:rPr>
                <w:rFonts w:ascii="Arial" w:cs="Arial" w:eastAsia="Arial" w:hAnsi="Arial"/>
                <w:sz w:val="17"/>
                <w:szCs w:val="17"/>
                <w:color w:val="0000FF"/>
                <w:w w:val="94"/>
              </w:rPr>
              <w:t>200,000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9.18</w:t>
            </w:r>
          </w:p>
        </w:tc>
        <w:tc>
          <w:tcPr>
            <w:tcW w:w="120" w:type="dxa"/>
            <w:vAlign w:val="bottom"/>
          </w:tcPr>
          <w:p>
            <w:pPr>
              <w:spacing w:after="0"/>
              <w:rPr>
                <w:sz w:val="6"/>
                <w:szCs w:val="6"/>
                <w:color w:val="auto"/>
              </w:rPr>
            </w:pPr>
          </w:p>
        </w:tc>
        <w:tc>
          <w:tcPr>
            <w:tcW w:w="1120" w:type="dxa"/>
            <w:vAlign w:val="bottom"/>
            <w:vMerge w:val="restart"/>
          </w:tcPr>
          <w:p>
            <w:pPr>
              <w:jc w:val="right"/>
              <w:ind w:right="215"/>
              <w:spacing w:after="0" w:line="143" w:lineRule="exact"/>
              <w:rPr>
                <w:sz w:val="20"/>
                <w:szCs w:val="20"/>
                <w:color w:val="auto"/>
              </w:rPr>
            </w:pPr>
            <w:r>
              <w:rPr>
                <w:rFonts w:ascii="Arial" w:cs="Arial" w:eastAsia="Arial" w:hAnsi="Arial"/>
                <w:sz w:val="13"/>
                <w:szCs w:val="13"/>
                <w:color w:val="0000FF"/>
              </w:rPr>
              <w:t>10/19/2018</w:t>
            </w:r>
          </w:p>
        </w:tc>
        <w:tc>
          <w:tcPr>
            <w:tcW w:w="1060" w:type="dxa"/>
            <w:vAlign w:val="bottom"/>
          </w:tcPr>
          <w:p>
            <w:pPr>
              <w:spacing w:after="0"/>
              <w:rPr>
                <w:sz w:val="6"/>
                <w:szCs w:val="6"/>
                <w:color w:val="auto"/>
              </w:rPr>
            </w:pPr>
          </w:p>
        </w:tc>
        <w:tc>
          <w:tcPr>
            <w:tcW w:w="840" w:type="dxa"/>
            <w:vAlign w:val="bottom"/>
            <w:gridSpan w:val="4"/>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61"/>
              <w:spacing w:after="0" w:line="143" w:lineRule="exact"/>
              <w:rPr>
                <w:sz w:val="20"/>
                <w:szCs w:val="20"/>
                <w:color w:val="auto"/>
              </w:rPr>
            </w:pPr>
            <w:r>
              <w:rPr>
                <w:rFonts w:ascii="Arial" w:cs="Arial" w:eastAsia="Arial" w:hAnsi="Arial"/>
                <w:sz w:val="13"/>
                <w:szCs w:val="13"/>
                <w:color w:val="0000FF"/>
              </w:rPr>
              <w:t>200,000</w:t>
            </w:r>
          </w:p>
        </w:tc>
        <w:tc>
          <w:tcPr>
            <w:tcW w:w="340" w:type="dxa"/>
            <w:vAlign w:val="bottom"/>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6"/>
                <w:szCs w:val="6"/>
                <w:color w:val="auto"/>
              </w:rPr>
            </w:pPr>
          </w:p>
        </w:tc>
        <w:tc>
          <w:tcPr>
            <w:tcW w:w="7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10/19/2028</w:t>
            </w: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jc w:val="right"/>
              <w:ind w:right="202"/>
              <w:spacing w:after="0" w:line="143" w:lineRule="exact"/>
              <w:rPr>
                <w:sz w:val="20"/>
                <w:szCs w:val="20"/>
                <w:color w:val="auto"/>
              </w:rPr>
            </w:pPr>
            <w:r>
              <w:rPr>
                <w:rFonts w:ascii="Arial" w:cs="Arial" w:eastAsia="Arial" w:hAnsi="Arial"/>
                <w:sz w:val="13"/>
                <w:szCs w:val="13"/>
                <w:color w:val="0000FF"/>
              </w:rPr>
              <w:t>200,000</w:t>
            </w:r>
          </w:p>
        </w:tc>
        <w:tc>
          <w:tcPr>
            <w:tcW w:w="6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line="143" w:lineRule="exact"/>
              <w:rPr>
                <w:sz w:val="20"/>
                <w:szCs w:val="20"/>
                <w:color w:val="auto"/>
              </w:rPr>
            </w:pPr>
            <w:r>
              <w:rPr>
                <w:rFonts w:ascii="Arial" w:cs="Arial" w:eastAsia="Arial" w:hAnsi="Arial"/>
                <w:sz w:val="13"/>
                <w:szCs w:val="13"/>
                <w:color w:val="0000FF"/>
              </w:rPr>
              <w:t>By Wife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options granted under the Company's 2014 Omnibus Stock Ownership Plan, as amended. These options vest and are exercisable immediately. The option exercise price is the closing price on the date of the grant, October 19, 2018.</w:t>
      </w:r>
    </w:p>
    <w:p>
      <w:pPr>
        <w:spacing w:after="0" w:line="23"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options granted under the Company's 2014 Omnibus Stock Ownership Plan, as amended to Tsvetelina Hoang, Mr. Hoang's wife who serves as the Company's Vice President, Research and Development. One fifth of the shares vest ten months after the grant date, the remainder of the shares vest in monthly installments thereafter upon the continued employment of Dr. Hoang by the Company through the vesting dates. The option exercise price is the closing price on the date of the grant, October 19, 2018.</w:t>
      </w:r>
    </w:p>
    <w:p>
      <w:pPr>
        <w:spacing w:after="0" w:line="5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Mark A. Catchur,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-10795</wp:posOffset>
            </wp:positionV>
            <wp:extent cx="996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Attorney-in-Fact for Peter L.</w:t>
      </w:r>
      <w:r>
        <w:rPr>
          <w:sz w:val="20"/>
          <w:szCs w:val="20"/>
          <w:color w:val="auto"/>
        </w:rPr>
        <w:tab/>
      </w:r>
      <w:r>
        <w:rPr>
          <w:rFonts w:ascii="Arial" w:cs="Arial" w:eastAsia="Arial" w:hAnsi="Arial"/>
          <w:sz w:val="15"/>
          <w:szCs w:val="15"/>
          <w:color w:val="0000FF"/>
        </w:rPr>
        <w:t>10/23/2018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-15240</wp:posOffset>
            </wp:positionV>
            <wp:extent cx="1940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-15240</wp:posOffset>
            </wp:positionV>
            <wp:extent cx="285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93"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2020-01-11T19:26:53Z</dcterms:created>
  <dcterms:modified xsi:type="dcterms:W3CDTF">2020-01-11T19:26:53Z</dcterms:modified>
</cp:coreProperties>
</file>