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8,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2500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On June 8, 2021, Marker Therapeutics, Inc. (the “Company”) held its 2021 Annual Meeting of Stockholders (the “Annual Meeting”). The stockholders considered three proposals, each of which is described in more detail in the Company’s definitive proxy statement filed with the Securities and Exchange Commission on April 23, 2021. Of the 83,013,929 shares outstanding as of the record date, 55,809,862 shares, or 67.2%, were present or represented by proxy at the Annual Meeting. Set forth below are the results of the matters submitted for a vote of stockholders at the Annual Meeting.</w:t>
      </w:r>
    </w:p>
    <w:p>
      <w:pPr>
        <w:spacing w:after="0" w:line="15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Proposal No. 1</w:t>
      </w:r>
      <w:r>
        <w:rPr>
          <w:rFonts w:ascii="Arial" w:cs="Arial" w:eastAsia="Arial" w:hAnsi="Arial"/>
          <w:sz w:val="18"/>
          <w:szCs w:val="18"/>
          <w:color w:val="auto"/>
        </w:rPr>
        <w:t>: Election of seven nominees to serve as directors until the 2022 annual meeting of stockholders and until their respective successors are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qualified. The votes were cast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Votes For</w:t>
            </w: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Votes Withheld</w:t>
            </w:r>
          </w:p>
        </w:tc>
      </w:tr>
      <w:tr>
        <w:trPr>
          <w:trHeight w:val="209"/>
        </w:trPr>
        <w:tc>
          <w:tcPr>
            <w:tcW w:w="8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Eansor</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37,046,054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Steven Elms</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37,102,548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523,756</w:t>
            </w:r>
          </w:p>
        </w:tc>
      </w:tr>
      <w:tr>
        <w:trPr>
          <w:trHeight w:val="21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 Hoang</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36,931,391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694,913</w:t>
            </w:r>
          </w:p>
        </w:tc>
      </w:tr>
      <w:tr>
        <w:trPr>
          <w:trHeight w:val="21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David Laskow-Pooley</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37,083,968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542,336</w:t>
            </w:r>
          </w:p>
        </w:tc>
      </w:tr>
      <w:tr>
        <w:trPr>
          <w:trHeight w:val="21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Frederick Wasserman</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37,040,678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585,626</w:t>
            </w:r>
          </w:p>
        </w:tc>
      </w:tr>
      <w:tr>
        <w:trPr>
          <w:trHeight w:val="21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John Wilson</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30,358,150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7,268,154</w:t>
            </w:r>
          </w:p>
        </w:tc>
      </w:tr>
      <w:tr>
        <w:trPr>
          <w:trHeight w:val="21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Juan Vera</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37,128,076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498,228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18,183,378.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nominees were elected.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No. 2</w:t>
      </w:r>
      <w:r>
        <w:rPr>
          <w:rFonts w:ascii="Arial" w:cs="Arial" w:eastAsia="Arial" w:hAnsi="Arial"/>
          <w:sz w:val="17"/>
          <w:szCs w:val="17"/>
          <w:color w:val="auto"/>
        </w:rPr>
        <w:t>: Approval, on an advisory basis, of the compensation of the Company’s named executive officers. The votes were cast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Arial" w:cs="Arial" w:eastAsia="Arial" w:hAnsi="Arial"/>
                <w:sz w:val="18"/>
                <w:szCs w:val="18"/>
                <w:b w:val="1"/>
                <w:bCs w:val="1"/>
                <w:color w:val="auto"/>
              </w:rPr>
              <w:t>Votes For</w:t>
            </w: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Votes Against</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Abstained</w:t>
            </w: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Advisory approval of named executive officer compensation</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36,123,667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916,275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586,362</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Broker Non-Votes: 18,184,378.</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Proposal No. 3</w:t>
      </w:r>
      <w:r>
        <w:rPr>
          <w:rFonts w:ascii="Arial" w:cs="Arial" w:eastAsia="Arial" w:hAnsi="Arial"/>
          <w:sz w:val="18"/>
          <w:szCs w:val="18"/>
          <w:color w:val="auto"/>
        </w:rPr>
        <w:t>: Ratification of the selection of Marcum LLP as independent registered public accounting firm for the fiscal year ending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The votes were cast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Arial" w:cs="Arial" w:eastAsia="Arial" w:hAnsi="Arial"/>
                <w:sz w:val="18"/>
                <w:szCs w:val="18"/>
                <w:b w:val="1"/>
                <w:bCs w:val="1"/>
                <w:color w:val="auto"/>
              </w:rPr>
              <w:t>Votes For</w:t>
            </w: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Votes Against</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Abstained</w:t>
            </w: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Ratification of appointment of Marcum LLP</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55,059,247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210,448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539,987</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Broker Non-Votes: 0.</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11, 2021</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Anthony Kim</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i w:val="1"/>
                <w:iCs w:val="1"/>
                <w:color w:val="auto"/>
              </w:rPr>
              <w:t>Chief Financial Officer</w:t>
            </w:r>
          </w:p>
        </w:tc>
      </w:tr>
      <w:tr>
        <w:trPr>
          <w:trHeight w:val="648"/>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2021-06-11T07:02:35Z</dcterms:created>
  <dcterms:modified xsi:type="dcterms:W3CDTF">2021-06-11T07:02:35Z</dcterms:modified>
</cp:coreProperties>
</file>