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 for the quarterly period ended March 31, 2015</w:t>
      </w:r>
    </w:p>
    <w:p>
      <w:pPr>
        <w:spacing w:after="0" w:line="1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Under Section 13 or 15(d) of the Securities Exchange Act of 1934 for the transition period from</w:t>
      </w:r>
    </w:p>
    <w:p>
      <w:pPr>
        <w:spacing w:after="0" w:line="48" w:lineRule="exact"/>
        <w:rPr>
          <w:rFonts w:ascii="MS PGothic" w:cs="MS PGothic" w:eastAsia="MS PGothic" w:hAnsi="MS PGothic"/>
          <w:sz w:val="19"/>
          <w:szCs w:val="19"/>
          <w:color w:val="auto"/>
        </w:rPr>
      </w:pPr>
    </w:p>
    <w:p>
      <w:pPr>
        <w:ind w:left="1160"/>
        <w:spacing w:after="0"/>
        <w:rPr>
          <w:rFonts w:ascii="MS PGothic" w:cs="MS PGothic" w:eastAsia="MS PGothic" w:hAnsi="MS PGothic"/>
          <w:sz w:val="19"/>
          <w:szCs w:val="19"/>
          <w:color w:val="auto"/>
        </w:rPr>
      </w:pPr>
      <w:r>
        <w:rPr>
          <w:rFonts w:ascii="Arial" w:cs="Arial" w:eastAsia="Arial" w:hAnsi="Arial"/>
          <w:sz w:val="22"/>
          <w:szCs w:val="22"/>
          <w:b w:val="1"/>
          <w:bCs w:val="1"/>
          <w:color w:val="auto"/>
        </w:rPr>
        <w:t>to</w:t>
      </w:r>
      <w:r>
        <w:rPr>
          <w:rFonts w:ascii="Arial" w:cs="Arial" w:eastAsia="Arial" w:hAnsi="Arial"/>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1006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171"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6380" w:type="dxa"/>
            <w:vAlign w:val="bottom"/>
            <w:gridSpan w:val="3"/>
          </w:tcPr>
          <w:p>
            <w:pPr>
              <w:jc w:val="center"/>
              <w:ind w:left="2023"/>
              <w:spacing w:after="0"/>
              <w:rPr>
                <w:sz w:val="20"/>
                <w:szCs w:val="20"/>
                <w:color w:val="auto"/>
              </w:rPr>
            </w:pPr>
            <w:r>
              <w:rPr>
                <w:rFonts w:ascii="Arial" w:cs="Arial" w:eastAsia="Arial" w:hAnsi="Arial"/>
                <w:sz w:val="18"/>
                <w:szCs w:val="18"/>
                <w:b w:val="1"/>
                <w:bCs w:val="1"/>
                <w:color w:val="auto"/>
                <w:w w:val="91"/>
              </w:rPr>
              <w:t>Commission File Number: 000-27239</w:t>
            </w:r>
          </w:p>
        </w:tc>
        <w:tc>
          <w:tcPr>
            <w:tcW w:w="1380" w:type="dxa"/>
            <w:vAlign w:val="bottom"/>
          </w:tcPr>
          <w:p>
            <w:pPr>
              <w:spacing w:after="0"/>
              <w:rPr>
                <w:sz w:val="20"/>
                <w:szCs w:val="20"/>
                <w:color w:val="auto"/>
              </w:rPr>
            </w:pPr>
          </w:p>
        </w:tc>
      </w:tr>
      <w:tr>
        <w:trPr>
          <w:trHeight w:val="351"/>
        </w:trPr>
        <w:tc>
          <w:tcPr>
            <w:tcW w:w="30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91"/>
        </w:trPr>
        <w:tc>
          <w:tcPr>
            <w:tcW w:w="6380" w:type="dxa"/>
            <w:vAlign w:val="bottom"/>
            <w:gridSpan w:val="3"/>
          </w:tcPr>
          <w:p>
            <w:pPr>
              <w:jc w:val="center"/>
              <w:ind w:left="2023"/>
              <w:spacing w:after="0"/>
              <w:rPr>
                <w:sz w:val="20"/>
                <w:szCs w:val="20"/>
                <w:color w:val="auto"/>
              </w:rPr>
            </w:pPr>
            <w:r>
              <w:rPr>
                <w:rFonts w:ascii="Arial" w:cs="Arial" w:eastAsia="Arial" w:hAnsi="Arial"/>
                <w:sz w:val="43"/>
                <w:szCs w:val="43"/>
                <w:b w:val="1"/>
                <w:bCs w:val="1"/>
                <w:color w:val="auto"/>
              </w:rPr>
              <w:t>TAPIMMUNE INC.</w:t>
            </w:r>
          </w:p>
        </w:tc>
        <w:tc>
          <w:tcPr>
            <w:tcW w:w="1380" w:type="dxa"/>
            <w:vAlign w:val="bottom"/>
          </w:tcPr>
          <w:p>
            <w:pPr>
              <w:spacing w:after="0"/>
              <w:rPr>
                <w:sz w:val="24"/>
                <w:szCs w:val="24"/>
                <w:color w:val="auto"/>
              </w:rPr>
            </w:pPr>
          </w:p>
        </w:tc>
      </w:tr>
      <w:tr>
        <w:trPr>
          <w:trHeight w:val="234"/>
        </w:trPr>
        <w:tc>
          <w:tcPr>
            <w:tcW w:w="6380" w:type="dxa"/>
            <w:vAlign w:val="bottom"/>
            <w:gridSpan w:val="3"/>
          </w:tcPr>
          <w:p>
            <w:pPr>
              <w:jc w:val="center"/>
              <w:ind w:left="2043"/>
              <w:spacing w:after="0"/>
              <w:rPr>
                <w:sz w:val="20"/>
                <w:szCs w:val="20"/>
                <w:color w:val="auto"/>
              </w:rPr>
            </w:pPr>
            <w:r>
              <w:rPr>
                <w:rFonts w:ascii="Arial" w:cs="Arial" w:eastAsia="Arial" w:hAnsi="Arial"/>
                <w:sz w:val="18"/>
                <w:szCs w:val="18"/>
                <w:b w:val="1"/>
                <w:bCs w:val="1"/>
                <w:color w:val="auto"/>
                <w:w w:val="91"/>
              </w:rPr>
              <w:t>(Name of registrant in its charter)</w:t>
            </w:r>
          </w:p>
        </w:tc>
        <w:tc>
          <w:tcPr>
            <w:tcW w:w="1380" w:type="dxa"/>
            <w:vAlign w:val="bottom"/>
          </w:tcPr>
          <w:p>
            <w:pPr>
              <w:spacing w:after="0"/>
              <w:rPr>
                <w:sz w:val="20"/>
                <w:szCs w:val="20"/>
                <w:color w:val="auto"/>
              </w:rPr>
            </w:pPr>
          </w:p>
        </w:tc>
      </w:tr>
      <w:tr>
        <w:trPr>
          <w:trHeight w:val="351"/>
        </w:trPr>
        <w:tc>
          <w:tcPr>
            <w:tcW w:w="30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70"/>
        </w:trPr>
        <w:tc>
          <w:tcPr>
            <w:tcW w:w="638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7"/>
              </w:rPr>
              <w:t>NEVADA</w:t>
            </w:r>
          </w:p>
        </w:tc>
        <w:tc>
          <w:tcPr>
            <w:tcW w:w="1380" w:type="dxa"/>
            <w:vAlign w:val="bottom"/>
          </w:tcPr>
          <w:p>
            <w:pPr>
              <w:jc w:val="right"/>
              <w:ind w:right="61"/>
              <w:spacing w:after="0"/>
              <w:rPr>
                <w:sz w:val="20"/>
                <w:szCs w:val="20"/>
                <w:color w:val="auto"/>
              </w:rPr>
            </w:pPr>
            <w:r>
              <w:rPr>
                <w:rFonts w:ascii="Arial" w:cs="Arial" w:eastAsia="Arial" w:hAnsi="Arial"/>
                <w:sz w:val="18"/>
                <w:szCs w:val="18"/>
                <w:b w:val="1"/>
                <w:bCs w:val="1"/>
                <w:color w:val="auto"/>
              </w:rPr>
              <w:t>88-0277072</w:t>
            </w:r>
          </w:p>
        </w:tc>
      </w:tr>
      <w:tr>
        <w:trPr>
          <w:trHeight w:val="149"/>
        </w:trPr>
        <w:tc>
          <w:tcPr>
            <w:tcW w:w="6380" w:type="dxa"/>
            <w:vAlign w:val="bottom"/>
            <w:gridSpan w:val="3"/>
          </w:tcPr>
          <w:p>
            <w:pPr>
              <w:jc w:val="center"/>
              <w:ind w:right="35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8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gridSpan w:val="3"/>
          </w:tcPr>
          <w:p>
            <w:pPr>
              <w:jc w:val="center"/>
              <w:ind w:right="3500"/>
              <w:spacing w:after="0"/>
              <w:rPr>
                <w:sz w:val="20"/>
                <w:szCs w:val="20"/>
                <w:color w:val="auto"/>
              </w:rPr>
            </w:pPr>
            <w:r>
              <w:rPr>
                <w:rFonts w:ascii="Arial" w:cs="Arial" w:eastAsia="Arial" w:hAnsi="Arial"/>
                <w:sz w:val="14"/>
                <w:szCs w:val="14"/>
                <w:b w:val="1"/>
                <w:bCs w:val="1"/>
                <w:color w:val="auto"/>
                <w:w w:val="94"/>
              </w:rPr>
              <w:t>incorporation or organization)</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38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89"/>
              </w:rPr>
              <w:t>1551 Eastlake Avenue East, Suite 100</w:t>
            </w:r>
          </w:p>
        </w:tc>
        <w:tc>
          <w:tcPr>
            <w:tcW w:w="1380" w:type="dxa"/>
            <w:vAlign w:val="bottom"/>
          </w:tcPr>
          <w:p>
            <w:pPr>
              <w:spacing w:after="0"/>
              <w:rPr>
                <w:sz w:val="24"/>
                <w:szCs w:val="24"/>
                <w:color w:val="auto"/>
              </w:rPr>
            </w:pPr>
          </w:p>
        </w:tc>
      </w:tr>
      <w:tr>
        <w:trPr>
          <w:trHeight w:val="225"/>
        </w:trPr>
        <w:tc>
          <w:tcPr>
            <w:tcW w:w="638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89"/>
              </w:rPr>
              <w:t>Seattle, Washington</w:t>
            </w:r>
          </w:p>
        </w:tc>
        <w:tc>
          <w:tcPr>
            <w:tcW w:w="1380" w:type="dxa"/>
            <w:vAlign w:val="bottom"/>
          </w:tcPr>
          <w:p>
            <w:pPr>
              <w:jc w:val="right"/>
              <w:ind w:right="261"/>
              <w:spacing w:after="0"/>
              <w:rPr>
                <w:sz w:val="20"/>
                <w:szCs w:val="20"/>
                <w:color w:val="auto"/>
              </w:rPr>
            </w:pPr>
            <w:r>
              <w:rPr>
                <w:rFonts w:ascii="Arial" w:cs="Arial" w:eastAsia="Arial" w:hAnsi="Arial"/>
                <w:sz w:val="18"/>
                <w:szCs w:val="18"/>
                <w:b w:val="1"/>
                <w:bCs w:val="1"/>
                <w:color w:val="auto"/>
              </w:rPr>
              <w:t>98102</w:t>
            </w:r>
          </w:p>
        </w:tc>
      </w:tr>
      <w:tr>
        <w:trPr>
          <w:trHeight w:val="186"/>
        </w:trPr>
        <w:tc>
          <w:tcPr>
            <w:tcW w:w="6380" w:type="dxa"/>
            <w:vAlign w:val="bottom"/>
            <w:gridSpan w:val="3"/>
          </w:tcPr>
          <w:p>
            <w:pPr>
              <w:jc w:val="center"/>
              <w:ind w:right="3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440" w:type="dxa"/>
            <w:vAlign w:val="bottom"/>
            <w:gridSpan w:val="2"/>
          </w:tcPr>
          <w:p>
            <w:pPr>
              <w:jc w:val="center"/>
              <w:ind w:left="2963"/>
              <w:spacing w:after="0"/>
              <w:rPr>
                <w:sz w:val="20"/>
                <w:szCs w:val="20"/>
                <w:color w:val="auto"/>
              </w:rPr>
            </w:pPr>
            <w:r>
              <w:rPr>
                <w:rFonts w:ascii="Arial" w:cs="Arial" w:eastAsia="Arial" w:hAnsi="Arial"/>
                <w:sz w:val="18"/>
                <w:szCs w:val="18"/>
                <w:b w:val="1"/>
                <w:bCs w:val="1"/>
                <w:color w:val="auto"/>
                <w:w w:val="90"/>
              </w:rPr>
              <w:t>(206) 504 7278</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6"/>
        </w:trPr>
        <w:tc>
          <w:tcPr>
            <w:tcW w:w="3060" w:type="dxa"/>
            <w:vAlign w:val="bottom"/>
          </w:tcPr>
          <w:p>
            <w:pPr>
              <w:spacing w:after="0"/>
              <w:rPr>
                <w:sz w:val="16"/>
                <w:szCs w:val="16"/>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(Issuer’s telephone number)</w:t>
            </w:r>
          </w:p>
        </w:tc>
        <w:tc>
          <w:tcPr>
            <w:tcW w:w="13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0"/>
        <w:spacing w:after="0" w:line="287" w:lineRule="auto"/>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540" w:val="left"/>
          <w:tab w:leader="none" w:pos="1240" w:val="left"/>
        </w:tabs>
        <w:rPr>
          <w:sz w:val="20"/>
          <w:szCs w:val="20"/>
          <w:color w:val="auto"/>
        </w:rPr>
      </w:pPr>
      <w:r>
        <w:rPr>
          <w:rFonts w:ascii="Arial" w:cs="Arial" w:eastAsia="Arial" w:hAnsi="Arial"/>
          <w:sz w:val="18"/>
          <w:szCs w:val="18"/>
          <w:color w:val="auto"/>
        </w:rPr>
        <w:t>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5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May 15, 2015, the Company had 32,638,811 shares of common stock issued and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Amendment No. 1 on Form 10-Q/A (the “Form 10-Q/A”) to the Quarterly Report on Form 10-Q for TapImmune Inc. (“we” or the “Company”) for the quarterly period ended March 31, 2015, initially filed with the Securities and Exchange Commission (the “SEC”) on May 15, 2015 (the “Original Filing”), is being filed to restate accounting for the share purchase warrants and recording the fair value of the warrants under “Derivative liability- warrants” on its balance sheet with changes in the fair value over time reflected in the statements of operations as “Changes in fair value of derivative liabilities”. The restatement of the Company’s accounting for the share purchase warrants arose after a review by the Company’s management.</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the Board of Directors of the Company has determined that the Company’s previously issued consolidated unaudited financial statements and reports filed with the SEC for the quarterly period ended March 31, 2015 should not be relied upon. For a more detailed description of the effects of the restatement, see further discussion in Note 1A, “Amendment to Previously Reported Quarterly Financial Statements” to our consolidated financial statements included in Part I, Item 1 of this report.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convenience of the reader, this Form 10-Q/A sets forth the Original Filings in their entirety. However, this Form 10-Q/A only amends and restates Items 1 and 2 of Part I of the Original Filing, in each case, solely as a result of, and to reflect, the restatement, and no other information in the Original Filing is amended hereby. The foregoing items have not been updated to reflect other events occurring after the Original Filings or to modify or update those disclosures affected by subsequent events. In addition, pursuant to the rules of the SEC, Item 6 of Part II of the Original Filings has been amended to contain currently dated certifications from the Company’s Chief Executive Officer and Chief Financial Officer, as required by Sections 302 and 906 of the Sarbanes-Oxley Act of 2002, and are attached as Exhibits 31.1 and 32.1 to this report. We have also updated our financial statements formatted in Extensible Business Reporting Language (</w:t>
      </w:r>
      <w:r>
        <w:rPr>
          <w:rFonts w:ascii="Arial" w:cs="Arial" w:eastAsia="Arial" w:hAnsi="Arial"/>
          <w:sz w:val="18"/>
          <w:szCs w:val="18"/>
          <w:b w:val="1"/>
          <w:bCs w:val="1"/>
          <w:color w:val="auto"/>
        </w:rPr>
        <w:t>XBRL</w:t>
      </w:r>
      <w:r>
        <w:rPr>
          <w:rFonts w:ascii="Arial" w:cs="Arial" w:eastAsia="Arial" w:hAnsi="Arial"/>
          <w:sz w:val="18"/>
          <w:szCs w:val="18"/>
          <w:color w:val="auto"/>
        </w:rPr>
        <w:t>) in Exhibits 101.</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Except for the foregoing amended information, this Form 10-Q/A continues to speak as of the dates of the Original Filings, and the Company has not updated the disclosures contained herein to reflect events that occurred at a later date. Other events occurring after the filings of the Original Filings or other disclosures necessary to reflect subsequent events will be addressed in any reports filed with the SEC subsequent to the date of this filing.</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7"/>
          </w:tcPr>
          <w:p>
            <w:pPr>
              <w:spacing w:after="0"/>
              <w:rPr>
                <w:sz w:val="20"/>
                <w:szCs w:val="20"/>
                <w:color w:val="auto"/>
              </w:rPr>
            </w:pPr>
            <w:r>
              <w:rPr>
                <w:rFonts w:ascii="Arial" w:cs="Arial" w:eastAsia="Arial" w:hAnsi="Arial"/>
                <w:sz w:val="18"/>
                <w:szCs w:val="18"/>
                <w:color w:val="auto"/>
              </w:rPr>
              <w:t>PART I – FINANCIAL INFORMATION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300" w:type="dxa"/>
            <w:vAlign w:val="bottom"/>
            <w:gridSpan w:val="6"/>
          </w:tcPr>
          <w:p>
            <w:pPr>
              <w:ind w:left="42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
        </w:trPr>
        <w:tc>
          <w:tcPr>
            <w:tcW w:w="720" w:type="dxa"/>
            <w:vAlign w:val="bottom"/>
            <w:tcBorders>
              <w:bottom w:val="single" w:sz="8" w:color="auto"/>
            </w:tcBorders>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446"/>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Page</w:t>
            </w:r>
          </w:p>
        </w:tc>
      </w:tr>
      <w:tr>
        <w:trPr>
          <w:trHeight w:val="298"/>
        </w:trPr>
        <w:tc>
          <w:tcPr>
            <w:tcW w:w="11020" w:type="dxa"/>
            <w:vAlign w:val="bottom"/>
            <w:gridSpan w:val="7"/>
          </w:tcPr>
          <w:p>
            <w:pPr>
              <w:spacing w:after="0"/>
              <w:rPr>
                <w:sz w:val="20"/>
                <w:szCs w:val="20"/>
                <w:color w:val="auto"/>
              </w:rPr>
            </w:pPr>
            <w:r>
              <w:rPr>
                <w:rFonts w:ascii="Arial" w:cs="Arial" w:eastAsia="Arial" w:hAnsi="Arial"/>
                <w:sz w:val="18"/>
                <w:szCs w:val="18"/>
                <w:color w:val="auto"/>
              </w:rPr>
              <w:t>Condensed Interim Financial Statements</w:t>
            </w: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84"/>
        </w:trPr>
        <w:tc>
          <w:tcPr>
            <w:tcW w:w="110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2015 (Unaudited) and December 31, 2014</w:t>
              </w:r>
            </w:hyperlink>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0"/>
        </w:trPr>
        <w:tc>
          <w:tcPr>
            <w:tcW w:w="4800" w:type="dxa"/>
            <w:vAlign w:val="bottom"/>
            <w:gridSpan w:val="2"/>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4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for the Three Months Ended March 31, 2015 and 2014 (Unaudited)</w:t>
              </w:r>
            </w:hyperlink>
          </w:p>
        </w:tc>
        <w:tc>
          <w:tcPr>
            <w:tcW w:w="58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304"/>
        </w:trPr>
        <w:tc>
          <w:tcPr>
            <w:tcW w:w="1102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 (Deficit) for the Three Months Ended March 31, 2015 (Unaudited)</w:t>
              </w:r>
            </w:hyperlink>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304"/>
        </w:trPr>
        <w:tc>
          <w:tcPr>
            <w:tcW w:w="9180" w:type="dxa"/>
            <w:vAlign w:val="bottom"/>
            <w:tcBorders>
              <w:top w:val="single" w:sz="8" w:color="0000EE"/>
            </w:tcBorders>
            <w:gridSpan w:val="5"/>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Consolidated Statements of Cash Flows for the Three Months Ended March 31, 2015 and 2014 (Unaudited)</w:t>
              </w:r>
            </w:hyperlink>
          </w:p>
        </w:tc>
        <w:tc>
          <w:tcPr>
            <w:tcW w:w="1840" w:type="dxa"/>
            <w:vAlign w:val="bottom"/>
            <w:gridSpan w:val="2"/>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304"/>
        </w:trPr>
        <w:tc>
          <w:tcPr>
            <w:tcW w:w="48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Unaudited Notes to Condensed Consolidated Financial Statements</w:t>
              </w:r>
            </w:hyperlink>
          </w:p>
        </w:tc>
        <w:tc>
          <w:tcPr>
            <w:tcW w:w="3820" w:type="dxa"/>
            <w:vAlign w:val="bottom"/>
            <w:tcBorders>
              <w:top w:val="single" w:sz="8" w:color="0000EE"/>
            </w:tcBorders>
            <w:gridSpan w:val="2"/>
          </w:tcPr>
          <w:p>
            <w:pPr>
              <w:spacing w:after="0"/>
              <w:rPr>
                <w:sz w:val="24"/>
                <w:szCs w:val="24"/>
                <w:color w:val="auto"/>
              </w:rPr>
            </w:pPr>
          </w:p>
        </w:tc>
        <w:tc>
          <w:tcPr>
            <w:tcW w:w="2400" w:type="dxa"/>
            <w:vAlign w:val="bottom"/>
            <w:gridSpan w:val="3"/>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w w:val="93"/>
              </w:rPr>
              <w:t>March 31,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96"/>
              </w:rPr>
              <w:t>2015</w:t>
            </w:r>
          </w:p>
        </w:tc>
        <w:tc>
          <w:tcPr>
            <w:tcW w:w="52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8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w w:val="91"/>
              </w:rPr>
              <w:t>As Restated</w:t>
            </w:r>
          </w:p>
        </w:tc>
        <w:tc>
          <w:tcPr>
            <w:tcW w:w="100" w:type="dxa"/>
            <w:vAlign w:val="bottom"/>
          </w:tcPr>
          <w:p>
            <w:pPr>
              <w:spacing w:after="0"/>
              <w:rPr>
                <w:sz w:val="14"/>
                <w:szCs w:val="14"/>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color w:val="auto"/>
                <w:w w:val="95"/>
              </w:rPr>
              <w:t>(Unaudited)</w:t>
            </w: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1,453,505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color w:val="auto"/>
              </w:rPr>
              <w:t>Prepaid expenses and deposits</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82,504</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224,448</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1800"/>
              <w:spacing w:after="0"/>
              <w:rPr>
                <w:sz w:val="20"/>
                <w:szCs w:val="20"/>
                <w:color w:val="auto"/>
              </w:rPr>
            </w:pPr>
            <w:r>
              <w:rPr>
                <w:rFonts w:ascii="Arial" w:cs="Arial" w:eastAsia="Arial" w:hAnsi="Arial"/>
                <w:sz w:val="18"/>
                <w:szCs w:val="18"/>
                <w:b w:val="1"/>
                <w:bCs w:val="1"/>
                <w:color w:val="auto"/>
              </w:rPr>
              <w:t>LIABILITIES AND STOCKHOLDERS’ EQUITY (DEFICIT)</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703,323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693,362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agreement obligations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492,365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Derivative liability – warrants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8,994,975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Promissory notes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52,942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52,942</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10,243,605</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$0.001 par value — 10,000,000 shares authorized: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tcPr>
          <w:p>
            <w:pPr>
              <w:ind w:left="360"/>
              <w:spacing w:after="0" w:line="201" w:lineRule="exact"/>
              <w:rPr>
                <w:sz w:val="20"/>
                <w:szCs w:val="20"/>
                <w:color w:val="auto"/>
              </w:rPr>
            </w:pPr>
            <w:r>
              <w:rPr>
                <w:rFonts w:ascii="Arial" w:cs="Arial" w:eastAsia="Arial" w:hAnsi="Arial"/>
                <w:sz w:val="18"/>
                <w:szCs w:val="18"/>
                <w:color w:val="auto"/>
                <w:w w:val="93"/>
              </w:rPr>
              <w:t>Series A, $0.001 par value, 1,250,000 shares designated, -0- shares issued and outstanding as of March 31,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2015 and December 31, 2014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Series B, $0.001 par value, 1,500,000 shares designated, -0- shares issued and outstanding as of March 31,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2015 and December 31, 2014</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32,638,811 shares issued and outstanding (2014 – 20,318,815)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32,639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20,319</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85,269,526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85,265,776</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(94,009,761)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(86,309,731)</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(8,707,596)</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(1,023,636)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224,448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Three Months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Ended</w:t>
            </w: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4"/>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March 31,</w:t>
            </w: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89"/>
              </w:rPr>
              <w:t>2015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As Restated</w:t>
            </w:r>
          </w:p>
        </w:tc>
        <w:tc>
          <w:tcPr>
            <w:tcW w:w="10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418,786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1,164,098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(1,028,164)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(1,186,598)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327,440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Interest and financing charges</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(27,663,430)</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Net Loss for the Period</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(700,724)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(29,707,230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8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(700,724)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(29,708,479)</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27,611,255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7,631,669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RESTATED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20" w:type="dxa"/>
            <w:vAlign w:val="bottom"/>
            <w:gridSpan w:val="5"/>
            <w:vMerge w:val="restart"/>
          </w:tcPr>
          <w:p>
            <w:pPr>
              <w:ind w:left="420"/>
              <w:spacing w:after="0"/>
              <w:rPr>
                <w:sz w:val="20"/>
                <w:szCs w:val="20"/>
                <w:color w:val="auto"/>
              </w:rPr>
            </w:pPr>
            <w:r>
              <w:rPr>
                <w:rFonts w:ascii="Arial" w:cs="Arial" w:eastAsia="Arial" w:hAnsi="Arial"/>
                <w:sz w:val="14"/>
                <w:szCs w:val="14"/>
                <w:color w:val="auto"/>
              </w:rPr>
              <w:t>Common Stock</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Accumulated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860" w:type="dxa"/>
            <w:vAlign w:val="bottom"/>
          </w:tcPr>
          <w:p>
            <w:pPr>
              <w:spacing w:after="0"/>
              <w:rPr>
                <w:sz w:val="8"/>
                <w:szCs w:val="8"/>
                <w:color w:val="auto"/>
              </w:rPr>
            </w:pPr>
          </w:p>
        </w:tc>
        <w:tc>
          <w:tcPr>
            <w:tcW w:w="2020" w:type="dxa"/>
            <w:vAlign w:val="bottom"/>
            <w:gridSpan w:val="5"/>
            <w:vMerge w:val="continue"/>
          </w:tcPr>
          <w:p>
            <w:pPr>
              <w:spacing w:after="0"/>
              <w:rPr>
                <w:sz w:val="8"/>
                <w:szCs w:val="8"/>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rPr>
              <w:t>Additional</w:t>
            </w: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Other</w:t>
            </w: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8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Paid In</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Accumulated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Comprehensive</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7"/>
              </w:rPr>
              <w:t>Number of</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Amount</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Capital</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Deficit</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Loss</w:t>
            </w:r>
          </w:p>
        </w:tc>
        <w:tc>
          <w:tcPr>
            <w:tcW w:w="3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486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color w:val="auto"/>
                <w:w w:val="85"/>
              </w:rPr>
              <w:t>shares</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1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20,318,816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20,319</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85,265,776</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(86,309,731)</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(1,023,636)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Private placement (net of finders’ fee of $140,000)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12,319,995</w:t>
            </w:r>
          </w:p>
        </w:tc>
        <w:tc>
          <w:tcPr>
            <w:tcW w:w="28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12,320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2,313,694</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2,326,014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recognized as derivative liabilities</w:t>
            </w: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(2,313,694)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(6,999,306)</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(9,313,000)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3,750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(700,724)</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(700,724)</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Balance, March 31, 2015</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32,638,811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32,639</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85,269,526</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(94,009,761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(8,707,596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Three Months Ended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3"/>
              </w:rPr>
              <w:t>March 31,</w:t>
            </w:r>
          </w:p>
        </w:tc>
        <w:tc>
          <w:tcPr>
            <w:tcW w:w="3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9"/>
              </w:rPr>
              <w:t>2015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As Restated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(700,724)</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(29,707,230)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(327,440)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Non-cash interest and finance charges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9, 961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158,913</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(1,014,453)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Issuance of shares, net of issuance costs of $140,000</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2,326,014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 issuance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418,000</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2,326,014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1,311,561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CASH, BEGINNING OF PERIOD</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141,944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48,589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PERIOD</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1,453,505</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4"/>
              </w:rPr>
              <w:t>Three Months</w:t>
            </w: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Ended</w:t>
            </w:r>
          </w:p>
        </w:tc>
        <w:tc>
          <w:tcPr>
            <w:tcW w:w="7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Three Months</w:t>
            </w:r>
          </w:p>
        </w:tc>
      </w:tr>
      <w:tr>
        <w:trPr>
          <w:trHeight w:val="149"/>
        </w:trPr>
        <w:tc>
          <w:tcPr>
            <w:tcW w:w="7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9" w:lineRule="exact"/>
              <w:rPr>
                <w:sz w:val="20"/>
                <w:szCs w:val="20"/>
                <w:color w:val="auto"/>
              </w:rPr>
            </w:pPr>
            <w:r>
              <w:rPr>
                <w:rFonts w:ascii="Arial" w:cs="Arial" w:eastAsia="Arial" w:hAnsi="Arial"/>
                <w:sz w:val="14"/>
                <w:szCs w:val="14"/>
                <w:color w:val="auto"/>
                <w:w w:val="93"/>
              </w:rPr>
              <w:t>March 31,</w:t>
            </w:r>
          </w:p>
        </w:tc>
        <w:tc>
          <w:tcPr>
            <w:tcW w:w="7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Ended</w:t>
            </w:r>
          </w:p>
        </w:tc>
      </w:tr>
      <w:tr>
        <w:trPr>
          <w:trHeight w:val="149"/>
        </w:trPr>
        <w:tc>
          <w:tcPr>
            <w:tcW w:w="7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2015</w:t>
            </w:r>
          </w:p>
        </w:tc>
        <w:tc>
          <w:tcPr>
            <w:tcW w:w="7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March 31,</w:t>
            </w:r>
          </w:p>
        </w:tc>
      </w:tr>
      <w:tr>
        <w:trPr>
          <w:trHeight w:val="167"/>
        </w:trPr>
        <w:tc>
          <w:tcPr>
            <w:tcW w:w="7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1"/>
              </w:rPr>
              <w:t>As Restated</w:t>
            </w:r>
          </w:p>
        </w:tc>
        <w:tc>
          <w:tcPr>
            <w:tcW w:w="1540" w:type="dxa"/>
            <w:vAlign w:val="bottom"/>
            <w:gridSpan w:val="2"/>
          </w:tcPr>
          <w:p>
            <w:pPr>
              <w:jc w:val="center"/>
              <w:ind w:left="632"/>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4"/>
                <w:szCs w:val="14"/>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 ACTIVITIES</w:t>
            </w:r>
          </w:p>
        </w:tc>
        <w:tc>
          <w:tcPr>
            <w:tcW w:w="1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513,000</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7"/>
              </w:rPr>
              <w:t>9,313,000</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476,000</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3,293,000</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Loans payable, related party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42,000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369,000</w:t>
            </w:r>
          </w:p>
        </w:tc>
        <w:tc>
          <w:tcPr>
            <w:tcW w:w="100" w:type="dxa"/>
            <w:vAlign w:val="bottom"/>
            <w:shd w:val="clear" w:color="auto" w:fill="CCEEFF"/>
          </w:tcPr>
          <w:p>
            <w:pPr>
              <w:spacing w:after="0"/>
              <w:rPr>
                <w:sz w:val="18"/>
                <w:szCs w:val="18"/>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708,000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TAPIMMUNE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2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1A:</w:t>
        <w:tab/>
        <w:t>AMENDMENT TO PREVIOUSLY REPORTED QUARTERLY FINANCIAL STATEMENTS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previously issued consolidated financial statements for the three months ended March 31, 2015 have been restated related to the Company’s accounting for share purchase warrants issued as part of two registered transactions in January 2015 and March 2015. Previously, the fair value of certain series of the share purchase warrants (Series B, B-1, C, C-1, D, D-1, E and E-1) was concluded by management to be classified within stockholders’ equity (deficit). The Company has reviewed the terms and conditions underlying its outstanding share purchase warrants and determined that the accounting for certain series of the warrants should be amended.</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Management reviewed ASC 480-10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Contracts in an Entity’s Own Equity</w:t>
      </w:r>
      <w:r>
        <w:rPr>
          <w:rFonts w:ascii="Arial" w:cs="Arial" w:eastAsia="Arial" w:hAnsi="Arial"/>
          <w:sz w:val="18"/>
          <w:szCs w:val="18"/>
          <w:color w:val="auto"/>
        </w:rPr>
        <w:t xml:space="preserve"> to arrive at this conclusion that the common stock purchase warrants should be classified as a liability, not equity, as the Company cannot control their ability to gross settle the financial instruments with registered securities.</w:t>
      </w:r>
    </w:p>
    <w:p>
      <w:pPr>
        <w:spacing w:after="0" w:line="1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Company has restated its accounting for certain series of the share purchase warrants and recorded the fair value of the warrants under “Derivative liability- warrants” on its balance sheet with changes in the fair value over time reflected in the statements of operations as “Changes in fair value of derivative liabilities”.</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As a result of these adjustments, net loss for the three months ended March 31, 2015 was reduced by $281,000. The Company has reported an amended net loss of $701,000 versus the previously reported net loss of approximately $982,000 for the three months ended March 31, 2015.</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 of the restatement on the consolidated statement of operations for the three months ended March 31, 2015:</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320" w:type="dxa"/>
            <w:vAlign w:val="bottom"/>
            <w:gridSpan w:val="6"/>
          </w:tcPr>
          <w:p>
            <w:pPr>
              <w:jc w:val="right"/>
              <w:ind w:right="900"/>
              <w:spacing w:after="0"/>
              <w:rPr>
                <w:sz w:val="20"/>
                <w:szCs w:val="20"/>
                <w:color w:val="auto"/>
              </w:rPr>
            </w:pPr>
            <w:r>
              <w:rPr>
                <w:rFonts w:ascii="Arial" w:cs="Arial" w:eastAsia="Arial" w:hAnsi="Arial"/>
                <w:sz w:val="14"/>
                <w:szCs w:val="14"/>
                <w:color w:val="auto"/>
              </w:rPr>
              <w:t>March 31, 2015 (Unaudited)</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As Previously</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0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color w:val="auto"/>
              </w:rPr>
              <w:t>Reported</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Adjustment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196"/>
        </w:trPr>
        <w:tc>
          <w:tcPr>
            <w:tcW w:w="8100" w:type="dxa"/>
            <w:vAlign w:val="bottom"/>
            <w:tcBorders>
              <w:top w:val="single" w:sz="8" w:color="CCEEFF"/>
            </w:tcBorders>
            <w:shd w:val="clear" w:color="auto" w:fill="CCEEFF"/>
          </w:tcPr>
          <w:p>
            <w:pPr>
              <w:ind w:left="3660"/>
              <w:spacing w:after="0" w:line="196" w:lineRule="exact"/>
              <w:rPr>
                <w:sz w:val="20"/>
                <w:szCs w:val="20"/>
                <w:color w:val="auto"/>
              </w:rPr>
            </w:pPr>
            <w:r>
              <w:rPr>
                <w:rFonts w:ascii="Arial" w:cs="Arial" w:eastAsia="Arial" w:hAnsi="Arial"/>
                <w:sz w:val="18"/>
                <w:szCs w:val="18"/>
                <w:b w:val="1"/>
                <w:bCs w:val="1"/>
                <w:color w:val="auto"/>
              </w:rPr>
              <w:t>ASSETS</w:t>
            </w: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1,453,505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1,453,505</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Prepaid expenses and deposits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82,504</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82,504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1,536,009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1,536,009</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703,323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703,323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agreement obligations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492,365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Derivative liability – warrants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2,052,975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6,942,000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8,994,975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Promissory notes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52,942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52,942</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3,301,605</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6,942,000</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10,243,605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$0.001 par value — 10,000,000 shares authorized:</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A, $0.001 par value, 1,250,000 shares designated, -0- shares issued and outstanding as of March</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540"/>
              <w:spacing w:after="0"/>
              <w:rPr>
                <w:sz w:val="20"/>
                <w:szCs w:val="20"/>
                <w:color w:val="auto"/>
              </w:rPr>
            </w:pPr>
            <w:r>
              <w:rPr>
                <w:rFonts w:ascii="Arial" w:cs="Arial" w:eastAsia="Arial" w:hAnsi="Arial"/>
                <w:sz w:val="18"/>
                <w:szCs w:val="18"/>
                <w:color w:val="auto"/>
              </w:rPr>
              <w:t>31, 2015 and December 31, 2014</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Series B, $0.001 par value, 1,500,000 shares designated, -0- shares issued and outstanding as of March</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31, 2015 and December 31, 2014</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00" w:type="dxa"/>
            <w:vAlign w:val="bottom"/>
          </w:tcPr>
          <w:p>
            <w:pPr>
              <w:spacing w:after="0" w:line="201" w:lineRule="exact"/>
              <w:rPr>
                <w:sz w:val="20"/>
                <w:szCs w:val="20"/>
                <w:color w:val="auto"/>
              </w:rPr>
            </w:pPr>
            <w:r>
              <w:rPr>
                <w:rFonts w:ascii="Arial" w:cs="Arial" w:eastAsia="Arial" w:hAnsi="Arial"/>
                <w:sz w:val="18"/>
                <w:szCs w:val="18"/>
                <w:color w:val="auto"/>
                <w:w w:val="93"/>
              </w:rPr>
              <w:t>Common stock, $0.001 par value, 500,000,000 shares authorized 32,638,811 shares issued and outstanding</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(2014 – 20,318,815)</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32,639</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32,639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85,493,220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(223,694)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85,269,526</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Accumulated deficit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(87,291,455)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(6,718,306)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(94,009,761)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(1,765,596)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(6,942,000)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(8,707,596)</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1,536,009</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120" w:type="dxa"/>
            <w:vAlign w:val="bottom"/>
            <w:gridSpan w:val="6"/>
          </w:tcPr>
          <w:p>
            <w:pPr>
              <w:jc w:val="right"/>
              <w:ind w:right="540"/>
              <w:spacing w:after="0"/>
              <w:rPr>
                <w:sz w:val="20"/>
                <w:szCs w:val="20"/>
                <w:color w:val="auto"/>
              </w:rPr>
            </w:pPr>
            <w:r>
              <w:rPr>
                <w:rFonts w:ascii="Arial" w:cs="Arial" w:eastAsia="Arial" w:hAnsi="Arial"/>
                <w:sz w:val="14"/>
                <w:szCs w:val="14"/>
                <w:color w:val="auto"/>
              </w:rPr>
              <w:t>Three Months Ended March 31,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As Previously</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Reported</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Adjustment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As Restated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3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260" w:type="dxa"/>
            <w:vAlign w:val="bottom"/>
            <w:gridSpan w:val="3"/>
          </w:tcPr>
          <w:p>
            <w:pPr>
              <w:jc w:val="right"/>
              <w:ind w:right="220"/>
              <w:spacing w:after="0"/>
              <w:rPr>
                <w:sz w:val="20"/>
                <w:szCs w:val="20"/>
                <w:color w:val="auto"/>
              </w:rPr>
            </w:pPr>
            <w:r>
              <w:rPr>
                <w:rFonts w:ascii="Arial" w:cs="Arial" w:eastAsia="Arial" w:hAnsi="Arial"/>
                <w:sz w:val="18"/>
                <w:szCs w:val="18"/>
                <w:color w:val="auto"/>
              </w:rPr>
              <w:t>418,786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609,378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609,378</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3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(1,028,164)</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(1,028,164)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4260" w:type="dxa"/>
            <w:vAlign w:val="bottom"/>
            <w:gridSpan w:val="3"/>
          </w:tcPr>
          <w:p>
            <w:pPr>
              <w:jc w:val="right"/>
              <w:ind w:right="220"/>
              <w:spacing w:after="0"/>
              <w:rPr>
                <w:sz w:val="20"/>
                <w:szCs w:val="20"/>
                <w:color w:val="auto"/>
              </w:rPr>
            </w:pPr>
            <w:r>
              <w:rPr>
                <w:rFonts w:ascii="Arial" w:cs="Arial" w:eastAsia="Arial" w:hAnsi="Arial"/>
                <w:sz w:val="18"/>
                <w:szCs w:val="18"/>
                <w:color w:val="auto"/>
              </w:rPr>
              <w:t>46,440</w:t>
            </w:r>
          </w:p>
        </w:tc>
        <w:tc>
          <w:tcPr>
            <w:tcW w:w="860" w:type="dxa"/>
            <w:vAlign w:val="bottom"/>
          </w:tcPr>
          <w:p>
            <w:pPr>
              <w:jc w:val="right"/>
              <w:spacing w:after="0"/>
              <w:rPr>
                <w:sz w:val="20"/>
                <w:szCs w:val="20"/>
                <w:color w:val="auto"/>
              </w:rPr>
            </w:pPr>
            <w:r>
              <w:rPr>
                <w:rFonts w:ascii="Arial" w:cs="Arial" w:eastAsia="Arial" w:hAnsi="Arial"/>
                <w:sz w:val="18"/>
                <w:szCs w:val="18"/>
                <w:color w:val="auto"/>
              </w:rPr>
              <w:t>281,000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3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Interest and financing charges</w:t>
            </w:r>
          </w:p>
        </w:tc>
        <w:tc>
          <w:tcPr>
            <w:tcW w:w="3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Net Loss for the Period</w:t>
            </w:r>
          </w:p>
        </w:tc>
        <w:tc>
          <w:tcPr>
            <w:tcW w:w="3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(981,724)</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281,000</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(700,724)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3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31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3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(981,724)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(700,724)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3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3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Weighted Average Number of Common Shares Outstanding</w:t>
            </w:r>
          </w:p>
        </w:tc>
        <w:tc>
          <w:tcPr>
            <w:tcW w:w="4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27,611,255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27,611,255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27,611,255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180" w:type="dxa"/>
            <w:vAlign w:val="bottom"/>
          </w:tcPr>
          <w:p>
            <w:pPr>
              <w:jc w:val="right"/>
              <w:ind w:right="2410"/>
              <w:spacing w:after="0"/>
              <w:rPr>
                <w:sz w:val="20"/>
                <w:szCs w:val="20"/>
                <w:color w:val="auto"/>
              </w:rPr>
            </w:pPr>
            <w:r>
              <w:rPr>
                <w:rFonts w:ascii="Arial" w:cs="Arial" w:eastAsia="Arial" w:hAnsi="Arial"/>
                <w:sz w:val="18"/>
                <w:szCs w:val="18"/>
                <w:color w:val="auto"/>
              </w:rPr>
              <w:t>11</w:t>
            </w: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920" w:type="dxa"/>
            <w:vAlign w:val="bottom"/>
            <w:gridSpan w:val="6"/>
          </w:tcPr>
          <w:p>
            <w:pPr>
              <w:jc w:val="right"/>
              <w:ind w:right="340"/>
              <w:spacing w:after="0"/>
              <w:rPr>
                <w:sz w:val="20"/>
                <w:szCs w:val="20"/>
                <w:color w:val="auto"/>
              </w:rPr>
            </w:pPr>
            <w:r>
              <w:rPr>
                <w:rFonts w:ascii="Arial" w:cs="Arial" w:eastAsia="Arial" w:hAnsi="Arial"/>
                <w:sz w:val="14"/>
                <w:szCs w:val="14"/>
                <w:color w:val="auto"/>
              </w:rPr>
              <w:t>Three Months Ended March 31,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As Previously</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Reported</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Adjustment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As Restated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(981,724)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281,000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(46,440)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(281,000)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Non-cash interest and finance charges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(1,014,453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(1,014,453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Issuance of shares, net of issuance costs of $140,000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2,326,014</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2,326,014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 issuance</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2,326,014</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1,311,561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CASH, BEGINNING OF PERIOD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141,944</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PERIOD</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1,453,505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March 31,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29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3:</w:t>
        <w:tab/>
        <w:t>LIQUIDITY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March 31, 2015, the Company had cash and cash equivalents of approximately $1,454,000.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tab/>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15,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Certain prior period amounts that were combined in the March 31, 2014 consolidated financial statements have been reclassified for comparability with the March 31, 2015 presentation. These reclassifications had no effect on previously reported net loss.</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tab/>
        <w:t>POTENTIALLY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three months ended March 31, 2015 and 2014, due to net losses.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not included in the diluted net loss per share calculation because their effect was anti-dilutive as of the periods presented: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860" w:type="dxa"/>
            <w:vAlign w:val="bottom"/>
          </w:tcPr>
          <w:p>
            <w:pPr>
              <w:jc w:val="right"/>
              <w:spacing w:after="0"/>
              <w:rPr>
                <w:sz w:val="20"/>
                <w:szCs w:val="20"/>
                <w:color w:val="auto"/>
              </w:rPr>
            </w:pPr>
            <w:r>
              <w:rPr>
                <w:rFonts w:ascii="Arial" w:cs="Arial" w:eastAsia="Arial" w:hAnsi="Arial"/>
                <w:sz w:val="18"/>
                <w:szCs w:val="18"/>
                <w:color w:val="auto"/>
              </w:rPr>
              <w:t>2,549,000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62,194,000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Convertible notes</w:t>
            </w:r>
          </w:p>
        </w:tc>
        <w:tc>
          <w:tcPr>
            <w:tcW w:w="12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64,808,000</w:t>
            </w:r>
          </w:p>
        </w:tc>
        <w:tc>
          <w:tcPr>
            <w:tcW w:w="36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330,000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tab/>
        <w:t>DERIVATIVE LIABILITY - WARRANTS AND DERIVATIVE LIABILITY – CONVERSION OPTION, 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2015 and 2014 is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500" w:type="dxa"/>
            <w:vAlign w:val="bottom"/>
          </w:tcPr>
          <w:p>
            <w:pPr>
              <w:spacing w:after="0"/>
              <w:rPr>
                <w:sz w:val="20"/>
                <w:szCs w:val="20"/>
                <w:color w:val="auto"/>
              </w:rPr>
            </w:pPr>
            <w:r>
              <w:rPr>
                <w:rFonts w:ascii="Arial" w:cs="Arial" w:eastAsia="Arial" w:hAnsi="Arial"/>
                <w:sz w:val="14"/>
                <w:szCs w:val="14"/>
                <w:b w:val="1"/>
                <w:bCs w:val="1"/>
                <w:color w:val="auto"/>
              </w:rPr>
              <w:t>Share Purchase Warrants</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9"/>
              </w:rPr>
              <w:t>Weighted Average Inputs for the Period</w:t>
            </w: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740" w:type="dxa"/>
            <w:vAlign w:val="bottom"/>
            <w:tcBorders>
              <w:top w:val="single" w:sz="8" w:color="auto"/>
            </w:tcBorders>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rPr>
              <w:t>For the Quarter</w:t>
            </w:r>
          </w:p>
        </w:tc>
        <w:tc>
          <w:tcPr>
            <w:tcW w:w="5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Quarter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Date of valuation</w:t>
            </w:r>
          </w:p>
        </w:tc>
        <w:tc>
          <w:tcPr>
            <w:tcW w:w="3360" w:type="dxa"/>
            <w:vAlign w:val="bottom"/>
            <w:gridSpan w:val="4"/>
          </w:tcPr>
          <w:p>
            <w:pPr>
              <w:jc w:val="center"/>
              <w:ind w:left="919"/>
              <w:spacing w:after="0" w:line="149" w:lineRule="exact"/>
              <w:rPr>
                <w:sz w:val="20"/>
                <w:szCs w:val="20"/>
                <w:color w:val="auto"/>
              </w:rPr>
            </w:pPr>
            <w:r>
              <w:rPr>
                <w:rFonts w:ascii="Arial" w:cs="Arial" w:eastAsia="Arial" w:hAnsi="Arial"/>
                <w:sz w:val="14"/>
                <w:szCs w:val="14"/>
                <w:b w:val="1"/>
                <w:bCs w:val="1"/>
                <w:color w:val="auto"/>
                <w:w w:val="96"/>
              </w:rPr>
              <w:t>Ending March 31,</w:t>
            </w:r>
          </w:p>
        </w:tc>
        <w:tc>
          <w:tcPr>
            <w:tcW w:w="1820" w:type="dxa"/>
            <w:vAlign w:val="bottom"/>
            <w:gridSpan w:val="4"/>
          </w:tcPr>
          <w:p>
            <w:pPr>
              <w:jc w:val="center"/>
              <w:ind w:left="179"/>
              <w:spacing w:after="0" w:line="149" w:lineRule="exact"/>
              <w:rPr>
                <w:sz w:val="20"/>
                <w:szCs w:val="20"/>
                <w:color w:val="auto"/>
              </w:rPr>
            </w:pPr>
            <w:r>
              <w:rPr>
                <w:rFonts w:ascii="Arial" w:cs="Arial" w:eastAsia="Arial" w:hAnsi="Arial"/>
                <w:sz w:val="14"/>
                <w:szCs w:val="14"/>
                <w:b w:val="1"/>
                <w:bCs w:val="1"/>
                <w:color w:val="auto"/>
                <w:w w:val="96"/>
              </w:rPr>
              <w:t>Ending March 31,</w:t>
            </w:r>
          </w:p>
        </w:tc>
        <w:tc>
          <w:tcPr>
            <w:tcW w:w="0" w:type="dxa"/>
            <w:vAlign w:val="bottom"/>
          </w:tcPr>
          <w:p>
            <w:pPr>
              <w:spacing w:after="0"/>
              <w:rPr>
                <w:sz w:val="1"/>
                <w:szCs w:val="1"/>
                <w:color w:val="auto"/>
              </w:rPr>
            </w:pPr>
          </w:p>
        </w:tc>
      </w:tr>
      <w:tr>
        <w:trPr>
          <w:trHeight w:val="171"/>
        </w:trPr>
        <w:tc>
          <w:tcPr>
            <w:tcW w:w="3500" w:type="dxa"/>
            <w:vAlign w:val="bottom"/>
            <w:tcBorders>
              <w:bottom w:val="single" w:sz="8" w:color="CCEEFF"/>
            </w:tcBorders>
            <w:vMerge w:val="continue"/>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2015</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Strike price</w:t>
            </w:r>
          </w:p>
        </w:tc>
        <w:tc>
          <w:tcPr>
            <w:tcW w:w="1880" w:type="dxa"/>
            <w:vAlign w:val="bottom"/>
            <w:gridSpan w:val="2"/>
          </w:tcPr>
          <w:p>
            <w:pPr>
              <w:jc w:val="right"/>
              <w:ind w:right="11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0.98</w:t>
            </w:r>
          </w:p>
        </w:tc>
        <w:tc>
          <w:tcPr>
            <w:tcW w:w="620" w:type="dxa"/>
            <w:vAlign w:val="bottom"/>
          </w:tcPr>
          <w:p>
            <w:pPr>
              <w:spacing w:after="0"/>
              <w:rPr>
                <w:sz w:val="18"/>
                <w:szCs w:val="18"/>
                <w:color w:val="auto"/>
              </w:rPr>
            </w:pPr>
          </w:p>
        </w:tc>
        <w:tc>
          <w:tcPr>
            <w:tcW w:w="74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158.00%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Risk-free rate</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Derivative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warrants and Derivative liability – conversion option: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rPr>
              <w:t>As of March 31, 2015</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11"/>
          </w:tcPr>
          <w:p>
            <w:pPr>
              <w:ind w:left="40"/>
              <w:spacing w:after="0" w:line="142" w:lineRule="exact"/>
              <w:rPr>
                <w:sz w:val="20"/>
                <w:szCs w:val="20"/>
                <w:color w:val="auto"/>
              </w:rPr>
            </w:pPr>
            <w:r>
              <w:rPr>
                <w:rFonts w:ascii="Arial" w:cs="Arial" w:eastAsia="Arial" w:hAnsi="Arial"/>
                <w:sz w:val="14"/>
                <w:szCs w:val="14"/>
                <w:b w:val="1"/>
                <w:bCs w:val="1"/>
                <w:color w:val="auto"/>
              </w:rPr>
              <w:t>Fair Value Measurements</w:t>
            </w: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120" w:type="dxa"/>
            <w:vAlign w:val="bottom"/>
            <w:gridSpan w:val="7"/>
          </w:tcPr>
          <w:p>
            <w:pPr>
              <w:jc w:val="center"/>
              <w:ind w:right="3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300" w:type="dxa"/>
            <w:vAlign w:val="bottom"/>
          </w:tcPr>
          <w:p>
            <w:pPr>
              <w:spacing w:after="0"/>
              <w:rPr>
                <w:sz w:val="12"/>
                <w:szCs w:val="12"/>
                <w:color w:val="auto"/>
              </w:rPr>
            </w:pPr>
          </w:p>
        </w:tc>
        <w:tc>
          <w:tcPr>
            <w:tcW w:w="8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Level 2</w:t>
            </w:r>
          </w:p>
        </w:tc>
        <w:tc>
          <w:tcPr>
            <w:tcW w:w="940" w:type="dxa"/>
            <w:vAlign w:val="bottom"/>
            <w:gridSpan w:val="4"/>
          </w:tcPr>
          <w:p>
            <w:pPr>
              <w:jc w:val="center"/>
              <w:ind w:right="380"/>
              <w:spacing w:after="0" w:line="142" w:lineRule="exact"/>
              <w:rPr>
                <w:sz w:val="20"/>
                <w:szCs w:val="20"/>
                <w:color w:val="auto"/>
              </w:rPr>
            </w:pPr>
            <w:r>
              <w:rPr>
                <w:rFonts w:ascii="Arial" w:cs="Arial" w:eastAsia="Arial" w:hAnsi="Arial"/>
                <w:sz w:val="14"/>
                <w:szCs w:val="14"/>
                <w:b w:val="1"/>
                <w:bCs w:val="1"/>
                <w:color w:val="auto"/>
                <w:w w:val="92"/>
              </w:rPr>
              <w:t>Level 3</w:t>
            </w:r>
          </w:p>
        </w:tc>
        <w:tc>
          <w:tcPr>
            <w:tcW w:w="40" w:type="dxa"/>
            <w:vAlign w:val="bottom"/>
          </w:tcPr>
          <w:p>
            <w:pPr>
              <w:spacing w:after="0"/>
              <w:rPr>
                <w:sz w:val="12"/>
                <w:szCs w:val="12"/>
                <w:color w:val="auto"/>
              </w:rPr>
            </w:pPr>
          </w:p>
        </w:tc>
        <w:tc>
          <w:tcPr>
            <w:tcW w:w="820" w:type="dxa"/>
            <w:vAlign w:val="bottom"/>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040" w:type="dxa"/>
            <w:vAlign w:val="bottom"/>
            <w:gridSpan w:val="5"/>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8,995,000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center"/>
              <w:ind w:left="21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8,995,000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8,995,000</w:t>
            </w: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8,995,000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8,995,000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8,995,000</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6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0"/>
          </w:tcPr>
          <w:p>
            <w:pPr>
              <w:jc w:val="center"/>
              <w:ind w:right="320"/>
              <w:spacing w:after="0"/>
              <w:rPr>
                <w:sz w:val="20"/>
                <w:szCs w:val="20"/>
                <w:color w:val="auto"/>
              </w:rPr>
            </w:pPr>
            <w:r>
              <w:rPr>
                <w:rFonts w:ascii="Arial" w:cs="Arial" w:eastAsia="Arial" w:hAnsi="Arial"/>
                <w:sz w:val="14"/>
                <w:szCs w:val="14"/>
                <w:b w:val="1"/>
                <w:bCs w:val="1"/>
                <w:color w:val="auto"/>
                <w:w w:val="92"/>
              </w:rPr>
              <w:t>As of December 31, 2014</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10"/>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2"/>
                <w:szCs w:val="12"/>
                <w:color w:val="auto"/>
              </w:rPr>
            </w:pPr>
          </w:p>
        </w:tc>
        <w:tc>
          <w:tcPr>
            <w:tcW w:w="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420" w:type="dxa"/>
            <w:vAlign w:val="bottom"/>
          </w:tcPr>
          <w:p>
            <w:pPr>
              <w:spacing w:after="0"/>
              <w:rPr>
                <w:sz w:val="12"/>
                <w:szCs w:val="12"/>
                <w:color w:val="auto"/>
              </w:rPr>
            </w:pPr>
          </w:p>
        </w:tc>
        <w:tc>
          <w:tcPr>
            <w:tcW w:w="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54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6"/>
              </w:rPr>
              <w:t>Level 3</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5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center"/>
              <w:ind w:left="27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9,000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9,000</w:t>
            </w:r>
          </w:p>
        </w:tc>
        <w:tc>
          <w:tcPr>
            <w:tcW w:w="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9,000</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three months ended March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three months ended March 31, 2015:</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90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4"/>
                <w:szCs w:val="14"/>
                <w:color w:val="auto"/>
              </w:rPr>
              <w:t>Derivative liability – warrants</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Additions during the quarter</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9,313,000</w:t>
            </w: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(327,000)</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Balance – March 31, 2015</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8,995,000</w:t>
            </w:r>
          </w:p>
        </w:tc>
        <w:tc>
          <w:tcPr>
            <w:tcW w:w="12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20" w:type="dxa"/>
            <w:vAlign w:val="bottom"/>
          </w:tcPr>
          <w:p>
            <w:pPr>
              <w:spacing w:after="0"/>
              <w:rPr>
                <w:sz w:val="20"/>
                <w:szCs w:val="20"/>
                <w:color w:val="auto"/>
              </w:rPr>
            </w:pPr>
            <w:r>
              <w:rPr>
                <w:rFonts w:ascii="Arial" w:cs="Arial" w:eastAsia="Arial" w:hAnsi="Arial"/>
                <w:sz w:val="14"/>
                <w:szCs w:val="14"/>
                <w:b w:val="1"/>
                <w:bCs w:val="1"/>
                <w:color w:val="auto"/>
              </w:rPr>
              <w:t>Conversion Option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6"/>
          </w:tcPr>
          <w:p>
            <w:pPr>
              <w:ind w:left="160"/>
              <w:spacing w:after="0"/>
              <w:rPr>
                <w:sz w:val="20"/>
                <w:szCs w:val="20"/>
                <w:color w:val="auto"/>
              </w:rPr>
            </w:pPr>
            <w:r>
              <w:rPr>
                <w:rFonts w:ascii="Arial" w:cs="Arial" w:eastAsia="Arial" w:hAnsi="Arial"/>
                <w:sz w:val="14"/>
                <w:szCs w:val="14"/>
                <w:b w:val="1"/>
                <w:bCs w:val="1"/>
                <w:color w:val="auto"/>
              </w:rPr>
              <w:t>Weighted Average Inputs for the Period</w:t>
            </w: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top w:val="single" w:sz="8" w:color="auto"/>
            </w:tcBorders>
            <w:gridSpan w:val="3"/>
          </w:tcPr>
          <w:p>
            <w:pPr>
              <w:jc w:val="right"/>
              <w:ind w:right="570"/>
              <w:spacing w:after="0" w:line="119" w:lineRule="exact"/>
              <w:rPr>
                <w:sz w:val="20"/>
                <w:szCs w:val="20"/>
                <w:color w:val="auto"/>
              </w:rPr>
            </w:pPr>
            <w:r>
              <w:rPr>
                <w:rFonts w:ascii="Arial" w:cs="Arial" w:eastAsia="Arial" w:hAnsi="Arial"/>
                <w:sz w:val="13"/>
                <w:szCs w:val="13"/>
                <w:b w:val="1"/>
                <w:bCs w:val="1"/>
                <w:color w:val="auto"/>
              </w:rPr>
              <w:t>For the Quarter</w:t>
            </w:r>
          </w:p>
        </w:tc>
        <w:tc>
          <w:tcPr>
            <w:tcW w:w="4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Quarter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Date of valuation</w:t>
            </w:r>
          </w:p>
        </w:tc>
        <w:tc>
          <w:tcPr>
            <w:tcW w:w="1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Ending March 31,</w:t>
            </w:r>
          </w:p>
        </w:tc>
        <w:tc>
          <w:tcPr>
            <w:tcW w:w="1760" w:type="dxa"/>
            <w:vAlign w:val="bottom"/>
            <w:gridSpan w:val="4"/>
          </w:tcPr>
          <w:p>
            <w:pPr>
              <w:jc w:val="center"/>
              <w:ind w:left="119"/>
              <w:spacing w:after="0" w:line="149" w:lineRule="exact"/>
              <w:rPr>
                <w:sz w:val="20"/>
                <w:szCs w:val="20"/>
                <w:color w:val="auto"/>
              </w:rPr>
            </w:pPr>
            <w:r>
              <w:rPr>
                <w:rFonts w:ascii="Arial" w:cs="Arial" w:eastAsia="Arial" w:hAnsi="Arial"/>
                <w:sz w:val="14"/>
                <w:szCs w:val="14"/>
                <w:b w:val="1"/>
                <w:bCs w:val="1"/>
                <w:color w:val="auto"/>
                <w:w w:val="96"/>
              </w:rPr>
              <w:t>Ending March 31,</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4"/>
              </w:rPr>
              <w: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Strike price</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Risk-free rate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Fair value of Conversion Option at extinguishment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PROMISSORY NOTES,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outstanding promissory notes in the amount of $52,942 (December 31, 2014 - $52,942), of which $23,000 of promissory notes are from an officer and a director of the Company. The promissory notes bear no interest charges and have no fixed repayment terms.</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CAPITAL STOCK, 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w:t>
      </w:r>
    </w:p>
    <w:p>
      <w:pPr>
        <w:ind w:right="20" w:firstLine="8"/>
        <w:spacing w:after="0" w:line="252"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366,000 common shares with substantially the same terms as the January 2015 Warrants.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125,000 common shares with substantially the same terms as the March 2015 Warrants.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Fair Value of Warrants Issued</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ASC 480-10 Distinguishing liabilities from equity and ASC 815-40 Contracts in an Entity’s Own Equity, the common stock purchase warrants are classified as a derivative liability as the Company cannot control their ability to gross settle the financial instruments with registered securities. The fair value of the warrants issued pursuant to the January and March 2015 stock purchase agreement was $9,313,000.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March 31, 2015 and changes during the period is presented below:</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Number of</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Weighted Average</w:t>
            </w:r>
          </w:p>
        </w:tc>
      </w:tr>
      <w:tr>
        <w:trPr>
          <w:trHeight w:val="171"/>
        </w:trPr>
        <w:tc>
          <w:tcPr>
            <w:tcW w:w="4900" w:type="dxa"/>
            <w:vAlign w:val="bottom"/>
          </w:tcPr>
          <w:p>
            <w:pPr>
              <w:spacing w:after="0"/>
              <w:rPr>
                <w:sz w:val="14"/>
                <w:szCs w:val="14"/>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Remaining Life</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2014</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2,659,417</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Issued</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62,090,975</w:t>
            </w:r>
          </w:p>
        </w:tc>
        <w:tc>
          <w:tcPr>
            <w:tcW w:w="10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1.03</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3.96</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Extinguished or expired</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50.00</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2015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64,742,892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3.95</w:t>
            </w:r>
          </w:p>
        </w:tc>
      </w:tr>
      <w:tr>
        <w:trPr>
          <w:trHeight w:val="20"/>
        </w:trPr>
        <w:tc>
          <w:tcPr>
            <w:tcW w:w="4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9:</w:t>
        <w:tab/>
        <w:t>CONTINGENCIES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Litigation</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May 2012, the Company issued 112,000 post-consolidated shares of common stock to two consultants. The Company contested the validity of the services provided and initially was able to delay the sale of the contested shares. The Company was not successful in recovering the contested shares. A claim for alleged damages of approximately $362,000 plus costs by one of the consultants as a result of the contesting of the issuance of the shares was filed in the Supreme Court of New York. The claim was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2014 the arbitrator ordered (on July 18, 2014) the consultant to pay Tapimmune $196,204 plus 9% interest from the date of the award. The Company is attempting to collect the award from Mr. Michael Gardner.</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Litigation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and is currently accrued on the balance sheet. We intend on settling that matter in the second quarter of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consolidated interim financial statements and related notes for the three months ended March 31, 2015 included in this quarterly report, as well as our Annual Report on Form 10-K for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TapImmune is a biotechnology company focusing on immunotherapy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 enhance shareholder value and taking into account development timelines, the Company plans to focus on advancing its clinical programs including our HER2/neu peptide antigen program and our Folate Receptor Alpha program for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Immunotherapy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Clinic</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Patient dosing has been completed. Interim safety analysis on the first six patients is complete and shown to be safe. In addition, each of the first six patients treated, developed specific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review and determination of progression into Phase II, in 2015. Patients enrolled in the Phase I study will be followed for up to two years after completion of trials.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Therefore a key goal in 2015 is to progress the HER2/neu vaccine towards the above mentioned Phase 1(b)/II Clinical Trial.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24 patient Phase I clinical trial has been completed. The vaccine is well tolerated and safe and 20 out of 21 evaluable patients showed positive immune responses providing a strong rationale rational for progressing to phase 2 trials. These data have been submitted to ASCO (Chicago, May 29-31, 2015) and we will be in attendance to discuss our findings. GMP manufacturing for Phase II trials is underway and final analysis of clinical plans are near completion. TapImmune is currently finalizing negotiations with the Mayo Clinic to convert the exclusive license option into a full License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converted the previously filed U.S. Provisional Patent Application on Polystart into a full Patent Application, and will extend technology constructs as boost strategies for the current clinical programs in breast and ovarian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TapImmune is a clinical-stage immunotherapy company specializing in the development of innovative peptide and gene-based immunotherapeutics and vaccines for the treatment of cancer. The Company now has multiple clinical trials underway at the Mayo Clinic in Rochester, MN. In addition to our own sponsored clinical trials, a new grant-funded breast and ovarian cancer trial was started by Mayo using the same Folate Alpha Receptor peptides to which we have the exclusive commercial rights. Our development pipeline is extremely strong and provides us the opportunity to continue to expand on collaborations with leading institutions and corporations.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Q1 2015, we strengthened our cash position by raising additional $2.5M in working capital giving us confidence in our ability to continue developing our products on the path to commercialization. The structure of this financing gives us additional opportunities to raise additional capital through the exercise of short-term and long-term warrants. The strength of our science and development approaches is becoming more widely appreciated, particularly as our clinical program has now generated positive interim data on both clinical programs in Breast and Ovarian Cancer. Also, we are pleased to report that our clinical programs are seeing positive outcomes and we expect further read outs on the data as we approach the annual ASCO meeting (Association of Clinical Oncology) in Chicago at the end of May.</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will also produce new PolyStart constructs, in-house, to facilitate collaborative efforts in our current clinical indications and those where others have already indicated interest in combination therapies.</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 addition, we will continue to work on deficit reduction and capital improvement in order to make the required benchmarks for an uplisting to the NASDAQ. To that end we are also anticipating the result of grant applications submitted early this year.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Together, these fundamental programs and corporate activities have positioned TapImmune extremely well to capitalize on the acceptance of immunotherapy as a leading therapeutic strategy in cancer and infectious disease resulting in exploding valuations in the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a deep pipeline of potential blockbuster immunotherapies under development. Two of the clinical programs are completing Phase I studies and are expected to advance to Phase II in 2015. These are major inflection and valuation events, and we believe that, in light of these assets, the Company is significantly undervalued. Over the past year a number of highly visible transactions and billion dollar acquisitions have taken place that validate the work we are doing. We believe that, if our treatment successfully reaches commercialization, our treatment is applicable to 50% of the HER2/neu Breast Cancer market, which is a $21 billion annual market. We further believe that if our Ovarian Cancer treatment reaches commercialization, it will be applicable to 95% of the market which Decision Resources, one of the world’s leading research firms for pharmaceuticals and healthcare, believes will triple in the next 10 years to at least $1.5 billion annually.</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Our technologies are also widely applicable to the treatment of emerging viral threats and pandemics. In particular, our highly versatile PolyStart technology</w:t>
      </w:r>
    </w:p>
    <w:p>
      <w:pPr>
        <w:sectPr>
          <w:pgSz w:w="11900" w:h="16838" w:orient="portrait"/>
          <w:cols w:equalWidth="0" w:num="1">
            <w:col w:w="11420"/>
          </w:cols>
          <w:pgMar w:left="240" w:top="459" w:right="239" w:bottom="1440" w:gutter="0" w:footer="0" w:header="0"/>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has application in these areas. With respect to validation of our technologies, it is important to note that the majority of our technologies have been published in leading peer-reviewed journals. The timing of such publications is consistent with the filing of patents.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list of publications on our TAP technology can be found on our website (www.tapimmune.com). Publication of our data on PolyStart will occur after current patent filings have been completed.</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 xml:space="preserve">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 TapImmune has four patent estates, details of which can be found on our website: </w:t>
      </w:r>
      <w:r>
        <w:rPr>
          <w:rFonts w:ascii="Arial" w:cs="Arial" w:eastAsia="Arial" w:hAnsi="Arial"/>
          <w:sz w:val="17"/>
          <w:szCs w:val="17"/>
          <w:u w:val="single" w:color="auto"/>
          <w:color w:val="auto"/>
        </w:rPr>
        <w:t>www.tapimmune.com</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While the pathway to successful product development takes time, we believe we have put in place significant resources in technical and corporate fundamentals for success. The strength of our product pipeline and access to leading scientists and institutions gives us a unique opportunity to make a major contribution to global health care.</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 number of early stage billion dollar pharma acquisitions and recent IPOs have highlighted the growing interest in investment in immunotherapy space. Looking at our current valuation and those of our peers and considering our pipeline of clinical programs with very near-term advancements and the value inflections those represent, we believe this is an excellent opportunity and presents exceptional entry point for those that have not yet become a shareholder.</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w:t>
      </w:r>
      <w:r>
        <w:rPr>
          <w:rFonts w:ascii="Arial" w:cs="Arial" w:eastAsia="Arial" w:hAnsi="Arial"/>
          <w:sz w:val="15"/>
          <w:szCs w:val="15"/>
          <w:color w:val="auto"/>
        </w:rPr>
        <w:t>®</w:t>
      </w:r>
      <w:r>
        <w:rPr>
          <w:rFonts w:ascii="Arial" w:cs="Arial" w:eastAsia="Arial" w:hAnsi="Arial"/>
          <w:sz w:val="18"/>
          <w:szCs w:val="18"/>
          <w:color w:val="auto"/>
        </w:rPr>
        <w:t xml:space="preserv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Consistent with our corporate development and advancement of clinical trials we have made significant additions to our personnel through appointments of a Consultant Medical Director (Patrick Yeramian, M.D.) and a Consultant Regulatory Director (Dr. Stacy Suber). In addition, we have appointed Dr. John Bonfiglio as a Corporate Strategic Advisor and have appointed David Laskow-Pooley to our Board of Directors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Compared to Three Months Ended March 31, 2014</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recorded a net loss of $701,000 or ($0.03) per share during the three months ended March 31, 2015 compared to $29,707,000 or ($3.89) per share for the three months ended March 31, 2014.</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costs decreased to $1,028,000 during the three months ended March 31, 2015 compared to $1,187,000 in the prior period. Significant changes in operating expenses are outlined as follows:</w:t>
      </w:r>
    </w:p>
    <w:p>
      <w:pPr>
        <w:spacing w:after="0" w:line="76" w:lineRule="exact"/>
        <w:rPr>
          <w:sz w:val="20"/>
          <w:szCs w:val="20"/>
          <w:color w:val="auto"/>
        </w:rPr>
      </w:pPr>
    </w:p>
    <w:p>
      <w:pPr>
        <w:ind w:left="900" w:right="1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decreased to $419,000 during the three months ended March 31, 2015 from $1,164,000 during the prior period. The decrease was primarily due to absence of non-cash consulting fees paid as stock-based compensation during the three months ended March 31, 2015 from $686,000 during the prior period. The decrease in non-cash consulting fees from the prior year was due to the Company curtailing its business development activities in the current year.</w:t>
      </w:r>
    </w:p>
    <w:p>
      <w:pPr>
        <w:spacing w:after="0" w:line="92"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March 31, 2015 were $609,000 compared to $23,000 during the prior period. This was due to the Company exercising its option to acquire Mayo Clinic technology as part of an agreement entered into in March 2014 and increased in in-house research activity in the current period.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27,611,255 for the three months ended March 31, 2015 compared to 7,631,669 for the prior year.</w:t>
      </w:r>
    </w:p>
    <w:p>
      <w:pPr>
        <w:sectPr>
          <w:pgSz w:w="11900" w:h="16838" w:orient="portrait"/>
          <w:cols w:equalWidth="0" w:num="1">
            <w:col w:w="11380"/>
          </w:cols>
          <w:pgMar w:left="240" w:top="459" w:right="279" w:bottom="144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80"/>
          </w:cols>
          <w:pgMar w:left="240" w:top="459" w:right="2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March 31, 2015 and December 31, 2014:</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3140" w:type="dxa"/>
            <w:vAlign w:val="bottom"/>
            <w:gridSpan w:val="4"/>
          </w:tcPr>
          <w:p>
            <w:pPr>
              <w:ind w:left="1820"/>
              <w:spacing w:after="0"/>
              <w:rPr>
                <w:sz w:val="20"/>
                <w:szCs w:val="20"/>
                <w:color w:val="auto"/>
              </w:rPr>
            </w:pPr>
            <w:r>
              <w:rPr>
                <w:rFonts w:ascii="Arial" w:cs="Arial" w:eastAsia="Arial" w:hAnsi="Arial"/>
                <w:sz w:val="14"/>
                <w:szCs w:val="14"/>
                <w:b w:val="1"/>
                <w:bCs w:val="1"/>
                <w:color w:val="auto"/>
              </w:rPr>
              <w:t>March 31, 2015</w:t>
            </w:r>
          </w:p>
        </w:tc>
        <w:tc>
          <w:tcPr>
            <w:tcW w:w="1580" w:type="dxa"/>
            <w:vAlign w:val="bottom"/>
            <w:gridSpan w:val="4"/>
          </w:tcPr>
          <w:p>
            <w:pPr>
              <w:ind w:left="300"/>
              <w:spacing w:after="0"/>
              <w:rPr>
                <w:sz w:val="20"/>
                <w:szCs w:val="20"/>
                <w:color w:val="auto"/>
              </w:rPr>
            </w:pPr>
            <w:r>
              <w:rPr>
                <w:rFonts w:ascii="Arial" w:cs="Arial" w:eastAsia="Arial" w:hAnsi="Arial"/>
                <w:sz w:val="14"/>
                <w:szCs w:val="14"/>
                <w:b w:val="1"/>
                <w:bCs w:val="1"/>
                <w:color w:val="auto"/>
                <w:w w:val="99"/>
              </w:rPr>
              <w:t>December 31, 2014</w:t>
            </w:r>
          </w:p>
        </w:tc>
      </w:tr>
      <w:tr>
        <w:trPr>
          <w:trHeight w:val="210"/>
        </w:trPr>
        <w:tc>
          <w:tcPr>
            <w:tcW w:w="3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reserves</w:t>
            </w:r>
          </w:p>
        </w:tc>
        <w:tc>
          <w:tcPr>
            <w:tcW w:w="1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1,454,000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rPr>
              <w:t>Working capital (deficit)</w:t>
            </w:r>
          </w:p>
        </w:tc>
        <w:tc>
          <w:tcPr>
            <w:tcW w:w="196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(8,708,000)</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(1,024,000)</w:t>
            </w:r>
          </w:p>
        </w:tc>
      </w:tr>
    </w:tbl>
    <w:p>
      <w:pPr>
        <w:spacing w:after="0" w:line="187"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Subject to the availability of additional financing, we intend to spend approximately $7,500,000 over the next twelve months in carrying out our plan of operations. At March 31, 2015, we had $1,454,000 of cash on hand and a working capital deficit of $1,766,000. In January and March 2015, we raised approximately $2.33 million in private and brokered placements.</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during the three months ended March 31, 2015 was $1,014,000 compared to $373,000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financing activities during the three months ended March 31, 2015 was $2,326,000 compared to $418,000 during the prior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Current period financing consisted of proceeds from private placements while prior period financing relates to proceeds from convertible notes.</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March 31, 2015, we anticipate that we will need significant financing to enable us to meet our anticipated expenditures for the next twelve months, which are expected to be in the range of $7,500,000 assuming a single Phase 2 clinical trial.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As at March 31, 2015, we had accumulated losses of $94,010,000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 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2015 that have materially affected, or are reasonably likely to materially affect, our internal control over financial reporting.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Litigation</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May 2012, we issued what is now equal to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Litigation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We intend on settling that matter in the second quarter of 2015.</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not issued any unregistered equity securities that we have not previously reported in a current or periodic report filed with the US Securities and Exchange Commission.</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w w:val="94"/>
              </w:rPr>
              <w:t>Exhibit Number</w:t>
            </w:r>
          </w:p>
        </w:tc>
        <w:tc>
          <w:tcPr>
            <w:tcW w:w="1160" w:type="dxa"/>
            <w:vAlign w:val="bottom"/>
          </w:tcPr>
          <w:p>
            <w:pPr>
              <w:spacing w:after="0"/>
              <w:rPr>
                <w:sz w:val="16"/>
                <w:szCs w:val="16"/>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10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1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Rule 13a-14(a) or 15d-14(a)</w:t>
            </w:r>
          </w:p>
        </w:tc>
      </w:tr>
      <w:tr>
        <w:trPr>
          <w:trHeight w:val="230"/>
        </w:trPr>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of the Securities Exchange Act of 1933, as amended.</w:t>
            </w:r>
          </w:p>
        </w:tc>
      </w:tr>
      <w:tr>
        <w:trPr>
          <w:trHeight w:val="310"/>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1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3"/>
              </w:rPr>
              <w:t>Certification of Principal Executive Officer and Acting Principal Accounting Officer pursuant to 18 U.S.C. 1350 as adopted</w:t>
            </w:r>
          </w:p>
        </w:tc>
      </w:tr>
      <w:tr>
        <w:trPr>
          <w:trHeight w:val="230"/>
        </w:trPr>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Exhibit 101</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8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29330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Glynn Wilson</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Chairman, Chief Executive Officer, Principal Executive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Officer and Chief Financial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Date: April 14, 2016</w:t>
      </w:r>
    </w:p>
    <w:p>
      <w:pPr>
        <w:sectPr>
          <w:pgSz w:w="11900" w:h="16838" w:orient="portrait"/>
          <w:cols w:equalWidth="0" w:num="1">
            <w:col w:w="10900"/>
          </w:cols>
          <w:pgMar w:left="240" w:top="459" w:right="7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2015 of TapImmune Inc.;</w:t>
      </w:r>
    </w:p>
    <w:p>
      <w:pPr>
        <w:spacing w:after="0" w:line="130" w:lineRule="exact"/>
        <w:rPr>
          <w:rFonts w:ascii="Arial" w:cs="Arial" w:eastAsia="Arial" w:hAnsi="Arial"/>
          <w:sz w:val="18"/>
          <w:szCs w:val="18"/>
          <w:color w:val="auto"/>
        </w:rPr>
      </w:pPr>
    </w:p>
    <w:p>
      <w:pPr>
        <w:ind w:left="460" w:right="44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0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4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00" w:right="2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14,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Glynn Wilson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Chief Executive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Acting Principal Accounting Officer</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March 31, 2015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2016</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Glynn Wilson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 and Acting Principal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2020-01-20T02:58:17Z</dcterms:created>
  <dcterms:modified xsi:type="dcterms:W3CDTF">2020-01-20T02:58:17Z</dcterms:modified>
</cp:coreProperties>
</file>