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13D</w:t>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55055L107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Louis S. Citron,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Enterprise Associates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1954 Greenspring Drive, Suite 600, Timonium, MD 21093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842-4000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17,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highlight w:val="lightGray"/>
        </w:rPr>
        <w:t>☐</w:t>
      </w:r>
    </w:p>
    <w:p>
      <w:pPr>
        <w:spacing w:after="0" w:line="17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2720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154305"/>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55055L107</w:t>
            </w:r>
          </w:p>
        </w:tc>
        <w:tc>
          <w:tcPr>
            <w:tcW w:w="122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2120"/>
              <w:spacing w:after="0"/>
              <w:rPr>
                <w:sz w:val="20"/>
                <w:szCs w:val="20"/>
                <w:color w:val="auto"/>
              </w:rPr>
            </w:pPr>
            <w:r>
              <w:rPr>
                <w:rFonts w:ascii="Arial" w:cs="Arial" w:eastAsia="Arial" w:hAnsi="Arial"/>
                <w:sz w:val="18"/>
                <w:szCs w:val="18"/>
                <w:b w:val="1"/>
                <w:bCs w:val="1"/>
                <w:color w:val="auto"/>
                <w:w w:val="99"/>
              </w:rPr>
              <w:t>Page 2 of 25 Pages</w:t>
            </w: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r>
        <w:trPr>
          <w:trHeight w:val="216"/>
        </w:trPr>
        <w:tc>
          <w:tcPr>
            <w:tcW w:w="5060" w:type="dxa"/>
            <w:vAlign w:val="bottom"/>
            <w:tcBorders>
              <w:bottom w:val="single" w:sz="8" w:color="auto"/>
            </w:tcBorders>
            <w:gridSpan w:val="2"/>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r>
      <w:tr>
        <w:trPr>
          <w:trHeight w:val="237"/>
        </w:trPr>
        <w:tc>
          <w:tcPr>
            <w:tcW w:w="506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New Enterprise Associates 16, L.P.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2"/>
        </w:numPr>
        <w:rPr>
          <w:rFonts w:ascii="Arial" w:cs="Arial" w:eastAsia="Arial" w:hAnsi="Arial"/>
          <w:sz w:val="50"/>
          <w:szCs w:val="50"/>
          <w:b w:val="1"/>
          <w:bCs w:val="1"/>
          <w:color w:val="auto"/>
          <w:vertAlign w:val="superscript"/>
        </w:rPr>
      </w:pPr>
      <w:r>
        <w:rPr>
          <w:rFonts w:ascii="Arial" w:cs="Arial" w:eastAsia="Arial" w:hAnsi="Arial"/>
          <w:sz w:val="16"/>
          <w:szCs w:val="16"/>
          <w:color w:val="auto"/>
        </w:rPr>
        <w:t>WC</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3"/>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 Limited Partnership</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8,750,000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17.8%</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55055L107</w:t>
            </w:r>
          </w:p>
        </w:tc>
        <w:tc>
          <w:tcPr>
            <w:tcW w:w="122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2120"/>
              <w:spacing w:after="0"/>
              <w:rPr>
                <w:sz w:val="20"/>
                <w:szCs w:val="20"/>
                <w:color w:val="auto"/>
              </w:rPr>
            </w:pPr>
            <w:r>
              <w:rPr>
                <w:rFonts w:ascii="Arial" w:cs="Arial" w:eastAsia="Arial" w:hAnsi="Arial"/>
                <w:sz w:val="18"/>
                <w:szCs w:val="18"/>
                <w:b w:val="1"/>
                <w:bCs w:val="1"/>
                <w:color w:val="auto"/>
                <w:w w:val="99"/>
              </w:rPr>
              <w:t>Page 3 of 25 Pages</w:t>
            </w: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r>
        <w:trPr>
          <w:trHeight w:val="216"/>
        </w:trPr>
        <w:tc>
          <w:tcPr>
            <w:tcW w:w="5060" w:type="dxa"/>
            <w:vAlign w:val="bottom"/>
            <w:tcBorders>
              <w:bottom w:val="single" w:sz="8" w:color="auto"/>
            </w:tcBorders>
            <w:gridSpan w:val="2"/>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r>
      <w:tr>
        <w:trPr>
          <w:trHeight w:val="237"/>
        </w:trPr>
        <w:tc>
          <w:tcPr>
            <w:tcW w:w="506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4"/>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NEA Partners 16, L.P.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5"/>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6"/>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 Limited Partnership</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8,750,000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17.8%</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55055L107</w:t>
            </w:r>
          </w:p>
        </w:tc>
        <w:tc>
          <w:tcPr>
            <w:tcW w:w="122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2120"/>
              <w:spacing w:after="0"/>
              <w:rPr>
                <w:sz w:val="20"/>
                <w:szCs w:val="20"/>
                <w:color w:val="auto"/>
              </w:rPr>
            </w:pPr>
            <w:r>
              <w:rPr>
                <w:rFonts w:ascii="Arial" w:cs="Arial" w:eastAsia="Arial" w:hAnsi="Arial"/>
                <w:sz w:val="18"/>
                <w:szCs w:val="18"/>
                <w:b w:val="1"/>
                <w:bCs w:val="1"/>
                <w:color w:val="auto"/>
                <w:w w:val="99"/>
              </w:rPr>
              <w:t>Page 4 of 25 Pages</w:t>
            </w: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r>
        <w:trPr>
          <w:trHeight w:val="216"/>
        </w:trPr>
        <w:tc>
          <w:tcPr>
            <w:tcW w:w="5060" w:type="dxa"/>
            <w:vAlign w:val="bottom"/>
            <w:tcBorders>
              <w:bottom w:val="single" w:sz="8" w:color="auto"/>
            </w:tcBorders>
            <w:gridSpan w:val="2"/>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r>
      <w:tr>
        <w:trPr>
          <w:trHeight w:val="237"/>
        </w:trPr>
        <w:tc>
          <w:tcPr>
            <w:tcW w:w="506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7"/>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NEA 16 GP, LLC</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8"/>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9"/>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 Limited Liability Company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8,750,000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17.8%</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55055L107</w:t>
            </w:r>
          </w:p>
        </w:tc>
        <w:tc>
          <w:tcPr>
            <w:tcW w:w="122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2120"/>
              <w:spacing w:after="0"/>
              <w:rPr>
                <w:sz w:val="20"/>
                <w:szCs w:val="20"/>
                <w:color w:val="auto"/>
              </w:rPr>
            </w:pPr>
            <w:r>
              <w:rPr>
                <w:rFonts w:ascii="Arial" w:cs="Arial" w:eastAsia="Arial" w:hAnsi="Arial"/>
                <w:sz w:val="18"/>
                <w:szCs w:val="18"/>
                <w:b w:val="1"/>
                <w:bCs w:val="1"/>
                <w:color w:val="auto"/>
                <w:w w:val="99"/>
              </w:rPr>
              <w:t>Page 5 of 25 Pages</w:t>
            </w: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r>
        <w:trPr>
          <w:trHeight w:val="216"/>
        </w:trPr>
        <w:tc>
          <w:tcPr>
            <w:tcW w:w="5060" w:type="dxa"/>
            <w:vAlign w:val="bottom"/>
            <w:tcBorders>
              <w:bottom w:val="single" w:sz="8" w:color="auto"/>
            </w:tcBorders>
            <w:gridSpan w:val="2"/>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r>
      <w:tr>
        <w:trPr>
          <w:trHeight w:val="237"/>
        </w:trPr>
        <w:tc>
          <w:tcPr>
            <w:tcW w:w="506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0"/>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Peter J. Barris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11"/>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12"/>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8,750,000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17.8%</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55055L107</w:t>
            </w:r>
          </w:p>
        </w:tc>
        <w:tc>
          <w:tcPr>
            <w:tcW w:w="122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2120"/>
              <w:spacing w:after="0"/>
              <w:rPr>
                <w:sz w:val="20"/>
                <w:szCs w:val="20"/>
                <w:color w:val="auto"/>
              </w:rPr>
            </w:pPr>
            <w:r>
              <w:rPr>
                <w:rFonts w:ascii="Arial" w:cs="Arial" w:eastAsia="Arial" w:hAnsi="Arial"/>
                <w:sz w:val="18"/>
                <w:szCs w:val="18"/>
                <w:b w:val="1"/>
                <w:bCs w:val="1"/>
                <w:color w:val="auto"/>
                <w:w w:val="99"/>
              </w:rPr>
              <w:t>Page 6 of 25 Pages</w:t>
            </w: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r>
        <w:trPr>
          <w:trHeight w:val="216"/>
        </w:trPr>
        <w:tc>
          <w:tcPr>
            <w:tcW w:w="5060" w:type="dxa"/>
            <w:vAlign w:val="bottom"/>
            <w:tcBorders>
              <w:bottom w:val="single" w:sz="8" w:color="auto"/>
            </w:tcBorders>
            <w:gridSpan w:val="2"/>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r>
      <w:tr>
        <w:trPr>
          <w:trHeight w:val="237"/>
        </w:trPr>
        <w:tc>
          <w:tcPr>
            <w:tcW w:w="506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3"/>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Forest Baskett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14"/>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15"/>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8,750,000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17.8%</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55055L107</w:t>
            </w:r>
          </w:p>
        </w:tc>
        <w:tc>
          <w:tcPr>
            <w:tcW w:w="122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2120"/>
              <w:spacing w:after="0"/>
              <w:rPr>
                <w:sz w:val="20"/>
                <w:szCs w:val="20"/>
                <w:color w:val="auto"/>
              </w:rPr>
            </w:pPr>
            <w:r>
              <w:rPr>
                <w:rFonts w:ascii="Arial" w:cs="Arial" w:eastAsia="Arial" w:hAnsi="Arial"/>
                <w:sz w:val="18"/>
                <w:szCs w:val="18"/>
                <w:b w:val="1"/>
                <w:bCs w:val="1"/>
                <w:color w:val="auto"/>
                <w:w w:val="99"/>
              </w:rPr>
              <w:t>Page 7 of 25 Pages</w:t>
            </w: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r>
        <w:trPr>
          <w:trHeight w:val="216"/>
        </w:trPr>
        <w:tc>
          <w:tcPr>
            <w:tcW w:w="5060" w:type="dxa"/>
            <w:vAlign w:val="bottom"/>
            <w:tcBorders>
              <w:bottom w:val="single" w:sz="8" w:color="auto"/>
            </w:tcBorders>
            <w:gridSpan w:val="2"/>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r>
      <w:tr>
        <w:trPr>
          <w:trHeight w:val="237"/>
        </w:trPr>
        <w:tc>
          <w:tcPr>
            <w:tcW w:w="506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6"/>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Ali Behbahani</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17"/>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18"/>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8,750,000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17.8%</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55055L107</w:t>
            </w:r>
          </w:p>
        </w:tc>
        <w:tc>
          <w:tcPr>
            <w:tcW w:w="122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2120"/>
              <w:spacing w:after="0"/>
              <w:rPr>
                <w:sz w:val="20"/>
                <w:szCs w:val="20"/>
                <w:color w:val="auto"/>
              </w:rPr>
            </w:pPr>
            <w:r>
              <w:rPr>
                <w:rFonts w:ascii="Arial" w:cs="Arial" w:eastAsia="Arial" w:hAnsi="Arial"/>
                <w:sz w:val="18"/>
                <w:szCs w:val="18"/>
                <w:b w:val="1"/>
                <w:bCs w:val="1"/>
                <w:color w:val="auto"/>
                <w:w w:val="99"/>
              </w:rPr>
              <w:t>Page 8 of 25 Pages</w:t>
            </w: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r>
        <w:trPr>
          <w:trHeight w:val="216"/>
        </w:trPr>
        <w:tc>
          <w:tcPr>
            <w:tcW w:w="5060" w:type="dxa"/>
            <w:vAlign w:val="bottom"/>
            <w:tcBorders>
              <w:bottom w:val="single" w:sz="8" w:color="auto"/>
            </w:tcBorders>
            <w:gridSpan w:val="2"/>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r>
      <w:tr>
        <w:trPr>
          <w:trHeight w:val="237"/>
        </w:trPr>
        <w:tc>
          <w:tcPr>
            <w:tcW w:w="506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19"/>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Carmen Chang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20"/>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21"/>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8,750,000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17.8%</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184" w:lineRule="auto"/>
        <w:tabs>
          <w:tab w:leader="none" w:pos="1580" w:val="left"/>
        </w:tabs>
        <w:rPr>
          <w:sz w:val="20"/>
          <w:szCs w:val="20"/>
          <w:color w:val="auto"/>
        </w:rPr>
      </w:pPr>
      <w:r>
        <w:rPr>
          <w:rFonts w:ascii="Arial" w:cs="Arial" w:eastAsia="Arial" w:hAnsi="Arial"/>
          <w:sz w:val="26"/>
          <w:szCs w:val="26"/>
          <w:b w:val="1"/>
          <w:bCs w:val="1"/>
          <w:color w:val="auto"/>
          <w:vertAlign w:val="superscript"/>
        </w:rPr>
        <w:t>14</w:t>
      </w:r>
      <w:r>
        <w:rPr>
          <w:sz w:val="20"/>
          <w:szCs w:val="20"/>
          <w:color w:val="auto"/>
        </w:rPr>
        <w:tab/>
      </w:r>
      <w:r>
        <w:rPr>
          <w:rFonts w:ascii="Arial" w:cs="Arial" w:eastAsia="Arial" w:hAnsi="Arial"/>
          <w:sz w:val="14"/>
          <w:szCs w:val="14"/>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55055L107</w:t>
            </w:r>
          </w:p>
        </w:tc>
        <w:tc>
          <w:tcPr>
            <w:tcW w:w="122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2120"/>
              <w:spacing w:after="0"/>
              <w:rPr>
                <w:sz w:val="20"/>
                <w:szCs w:val="20"/>
                <w:color w:val="auto"/>
              </w:rPr>
            </w:pPr>
            <w:r>
              <w:rPr>
                <w:rFonts w:ascii="Arial" w:cs="Arial" w:eastAsia="Arial" w:hAnsi="Arial"/>
                <w:sz w:val="18"/>
                <w:szCs w:val="18"/>
                <w:b w:val="1"/>
                <w:bCs w:val="1"/>
                <w:color w:val="auto"/>
                <w:w w:val="99"/>
              </w:rPr>
              <w:t>Page 9 of 25 Pages</w:t>
            </w: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r>
        <w:trPr>
          <w:trHeight w:val="216"/>
        </w:trPr>
        <w:tc>
          <w:tcPr>
            <w:tcW w:w="5060" w:type="dxa"/>
            <w:vAlign w:val="bottom"/>
            <w:tcBorders>
              <w:bottom w:val="single" w:sz="8" w:color="auto"/>
            </w:tcBorders>
            <w:gridSpan w:val="2"/>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r>
      <w:tr>
        <w:trPr>
          <w:trHeight w:val="237"/>
        </w:trPr>
        <w:tc>
          <w:tcPr>
            <w:tcW w:w="506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22"/>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Anthony A. Florence, Jr.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23"/>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24"/>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8,750,000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17.8%</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184" w:lineRule="auto"/>
        <w:tabs>
          <w:tab w:leader="none" w:pos="1580" w:val="left"/>
        </w:tabs>
        <w:rPr>
          <w:sz w:val="20"/>
          <w:szCs w:val="20"/>
          <w:color w:val="auto"/>
        </w:rPr>
      </w:pPr>
      <w:r>
        <w:rPr>
          <w:rFonts w:ascii="Arial" w:cs="Arial" w:eastAsia="Arial" w:hAnsi="Arial"/>
          <w:sz w:val="26"/>
          <w:szCs w:val="26"/>
          <w:b w:val="1"/>
          <w:bCs w:val="1"/>
          <w:color w:val="auto"/>
          <w:vertAlign w:val="superscript"/>
        </w:rPr>
        <w:t>14</w:t>
      </w:r>
      <w:r>
        <w:rPr>
          <w:sz w:val="20"/>
          <w:szCs w:val="20"/>
          <w:color w:val="auto"/>
        </w:rPr>
        <w:tab/>
      </w:r>
      <w:r>
        <w:rPr>
          <w:rFonts w:ascii="Arial" w:cs="Arial" w:eastAsia="Arial" w:hAnsi="Arial"/>
          <w:sz w:val="14"/>
          <w:szCs w:val="14"/>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55055L107</w:t>
            </w:r>
          </w:p>
        </w:tc>
        <w:tc>
          <w:tcPr>
            <w:tcW w:w="122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8"/>
              </w:rPr>
              <w:t>Page 10 of 25 Pages</w:t>
            </w: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r>
        <w:trPr>
          <w:trHeight w:val="216"/>
        </w:trPr>
        <w:tc>
          <w:tcPr>
            <w:tcW w:w="5060" w:type="dxa"/>
            <w:vAlign w:val="bottom"/>
            <w:tcBorders>
              <w:bottom w:val="single" w:sz="8" w:color="auto"/>
            </w:tcBorders>
            <w:gridSpan w:val="2"/>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r>
      <w:tr>
        <w:trPr>
          <w:trHeight w:val="237"/>
        </w:trPr>
        <w:tc>
          <w:tcPr>
            <w:tcW w:w="506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7438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774382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25"/>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Mohamad H. Makhzoumi</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26"/>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54"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1" w:lineRule="auto"/>
        <w:tabs>
          <w:tab w:leader="none" w:pos="1600" w:val="left"/>
        </w:tabs>
        <w:numPr>
          <w:ilvl w:val="0"/>
          <w:numId w:val="27"/>
        </w:numPr>
        <w:rPr>
          <w:rFonts w:ascii="Arial" w:cs="Arial" w:eastAsia="Arial" w:hAnsi="Arial"/>
          <w:sz w:val="59"/>
          <w:szCs w:val="59"/>
          <w:b w:val="1"/>
          <w:bCs w:val="1"/>
          <w:color w:val="auto"/>
          <w:vertAlign w:val="superscript"/>
        </w:rPr>
      </w:pPr>
      <w:r>
        <w:rPr>
          <w:rFonts w:ascii="Arial" w:cs="Arial" w:eastAsia="Arial" w:hAnsi="Arial"/>
          <w:sz w:val="17"/>
          <w:szCs w:val="17"/>
          <w:color w:val="auto"/>
        </w:rPr>
        <w:t>United States citizen</w:t>
      </w:r>
    </w:p>
    <w:p>
      <w:pPr>
        <w:sectPr>
          <w:pgSz w:w="11900" w:h="16838" w:orient="portrait"/>
          <w:cols w:equalWidth="0" w:num="1">
            <w:col w:w="11420"/>
          </w:cols>
          <w:pgMar w:left="240" w:top="1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100"/>
        <w:spacing w:after="0" w:line="277" w:lineRule="auto"/>
        <w:rPr>
          <w:sz w:val="20"/>
          <w:szCs w:val="20"/>
          <w:color w:val="auto"/>
        </w:rPr>
      </w:pPr>
      <w:r>
        <w:rPr>
          <w:rFonts w:ascii="Arial" w:cs="Arial" w:eastAsia="Arial" w:hAnsi="Arial"/>
          <w:sz w:val="17"/>
          <w:szCs w:val="17"/>
          <w:b w:val="1"/>
          <w:bCs w:val="1"/>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SOLE VOTING POWER</w:t>
      </w:r>
    </w:p>
    <w:p>
      <w:pPr>
        <w:ind w:left="720" w:hanging="629"/>
        <w:spacing w:after="0" w:line="182" w:lineRule="auto"/>
        <w:tabs>
          <w:tab w:leader="none" w:pos="720" w:val="left"/>
        </w:tabs>
        <w:numPr>
          <w:ilvl w:val="0"/>
          <w:numId w:val="28"/>
        </w:numPr>
        <w:rPr>
          <w:rFonts w:ascii="Arial" w:cs="Arial" w:eastAsia="Arial" w:hAnsi="Arial"/>
          <w:sz w:val="50"/>
          <w:szCs w:val="50"/>
          <w:b w:val="1"/>
          <w:bCs w:val="1"/>
          <w:color w:val="auto"/>
          <w:vertAlign w:val="superscript"/>
        </w:rPr>
      </w:pPr>
      <w:r>
        <w:rPr>
          <w:rFonts w:ascii="Arial" w:cs="Arial" w:eastAsia="Arial" w:hAnsi="Arial"/>
          <w:sz w:val="16"/>
          <w:szCs w:val="16"/>
          <w:color w:val="auto"/>
        </w:rPr>
        <w:t>0 shares</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SHARED VOTING POWER</w:t>
      </w:r>
    </w:p>
    <w:p>
      <w:pPr>
        <w:ind w:left="720" w:hanging="629"/>
        <w:spacing w:after="0" w:line="182" w:lineRule="auto"/>
        <w:tabs>
          <w:tab w:leader="none" w:pos="720" w:val="left"/>
        </w:tabs>
        <w:numPr>
          <w:ilvl w:val="0"/>
          <w:numId w:val="29"/>
        </w:numPr>
        <w:rPr>
          <w:rFonts w:ascii="Arial" w:cs="Arial" w:eastAsia="Arial" w:hAnsi="Arial"/>
          <w:sz w:val="50"/>
          <w:szCs w:val="50"/>
          <w:b w:val="1"/>
          <w:bCs w:val="1"/>
          <w:color w:val="auto"/>
          <w:vertAlign w:val="superscript"/>
        </w:rPr>
      </w:pPr>
      <w:r>
        <w:rPr>
          <w:rFonts w:ascii="Arial" w:cs="Arial" w:eastAsia="Arial" w:hAnsi="Arial"/>
          <w:sz w:val="16"/>
          <w:szCs w:val="16"/>
          <w:color w:val="auto"/>
        </w:rPr>
        <w:t>8,750,000 shares</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SOLE DISPOSITIVE POWER</w:t>
      </w:r>
    </w:p>
    <w:p>
      <w:pPr>
        <w:ind w:left="720" w:hanging="629"/>
        <w:spacing w:after="0" w:line="182" w:lineRule="auto"/>
        <w:tabs>
          <w:tab w:leader="none" w:pos="720" w:val="left"/>
        </w:tabs>
        <w:numPr>
          <w:ilvl w:val="0"/>
          <w:numId w:val="30"/>
        </w:numPr>
        <w:rPr>
          <w:rFonts w:ascii="Arial" w:cs="Arial" w:eastAsia="Arial" w:hAnsi="Arial"/>
          <w:sz w:val="50"/>
          <w:szCs w:val="50"/>
          <w:b w:val="1"/>
          <w:bCs w:val="1"/>
          <w:color w:val="auto"/>
          <w:vertAlign w:val="superscript"/>
        </w:rPr>
      </w:pPr>
      <w:r>
        <w:rPr>
          <w:rFonts w:ascii="Arial" w:cs="Arial" w:eastAsia="Arial" w:hAnsi="Arial"/>
          <w:sz w:val="16"/>
          <w:szCs w:val="16"/>
          <w:color w:val="auto"/>
        </w:rPr>
        <w:t>0 shares</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SHARED DISPOSITIVE POWER</w:t>
      </w:r>
    </w:p>
    <w:p>
      <w:pPr>
        <w:spacing w:after="0" w:line="184" w:lineRule="auto"/>
        <w:tabs>
          <w:tab w:leader="none" w:pos="700" w:val="left"/>
        </w:tabs>
        <w:rPr>
          <w:sz w:val="20"/>
          <w:szCs w:val="20"/>
          <w:color w:val="auto"/>
        </w:rPr>
      </w:pPr>
      <w:r>
        <w:rPr>
          <w:rFonts w:ascii="Arial" w:cs="Arial" w:eastAsia="Arial" w:hAnsi="Arial"/>
          <w:sz w:val="26"/>
          <w:szCs w:val="26"/>
          <w:b w:val="1"/>
          <w:bCs w:val="1"/>
          <w:color w:val="auto"/>
          <w:vertAlign w:val="superscript"/>
        </w:rPr>
        <w:t>10</w:t>
      </w:r>
      <w:r>
        <w:rPr>
          <w:sz w:val="20"/>
          <w:szCs w:val="20"/>
          <w:color w:val="auto"/>
        </w:rPr>
        <w:tab/>
      </w:r>
      <w:r>
        <w:rPr>
          <w:rFonts w:ascii="Arial" w:cs="Arial" w:eastAsia="Arial" w:hAnsi="Arial"/>
          <w:sz w:val="14"/>
          <w:szCs w:val="14"/>
          <w:color w:val="auto"/>
        </w:rPr>
        <w:t>8,750,000 shares</w:t>
      </w:r>
    </w:p>
    <w:p>
      <w:pPr>
        <w:spacing w:after="0" w:line="200" w:lineRule="exact"/>
        <w:rPr>
          <w:sz w:val="20"/>
          <w:szCs w:val="20"/>
          <w:color w:val="auto"/>
        </w:rPr>
      </w:pPr>
    </w:p>
    <w:p>
      <w:pPr>
        <w:sectPr>
          <w:pgSz w:w="11900" w:h="16838" w:orient="portrait"/>
          <w:cols w:equalWidth="0" w:num="2">
            <w:col w:w="1960" w:space="260"/>
            <w:col w:w="9200"/>
          </w:cols>
          <w:pgMar w:left="240" w:top="120" w:right="239" w:bottom="1440" w:gutter="0" w:footer="0" w:header="0"/>
          <w:type w:val="continuous"/>
        </w:sectPr>
      </w:pP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8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89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right w:val="single" w:sz="8" w:color="auto"/>
            </w:tcBorders>
          </w:tcPr>
          <w:p>
            <w:pPr>
              <w:spacing w:after="0"/>
              <w:rPr>
                <w:sz w:val="18"/>
                <w:szCs w:val="18"/>
                <w:color w:val="auto"/>
              </w:rPr>
            </w:pPr>
          </w:p>
        </w:tc>
        <w:tc>
          <w:tcPr>
            <w:tcW w:w="8980" w:type="dxa"/>
            <w:vAlign w:val="bottom"/>
          </w:tcPr>
          <w:p>
            <w:pPr>
              <w:ind w:left="18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8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right w:val="single" w:sz="8" w:color="auto"/>
            </w:tcBorders>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00" w:type="dxa"/>
            <w:vAlign w:val="bottom"/>
            <w:tcBorders>
              <w:right w:val="single" w:sz="8" w:color="auto"/>
            </w:tcBorders>
            <w:vMerge w:val="continue"/>
          </w:tcPr>
          <w:p>
            <w:pPr>
              <w:spacing w:after="0"/>
              <w:rPr>
                <w:sz w:val="21"/>
                <w:szCs w:val="21"/>
                <w:color w:val="auto"/>
              </w:rPr>
            </w:pPr>
          </w:p>
        </w:tc>
        <w:tc>
          <w:tcPr>
            <w:tcW w:w="8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80" w:type="dxa"/>
            <w:vAlign w:val="bottom"/>
          </w:tcPr>
          <w:p>
            <w:pPr>
              <w:ind w:left="18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17.8%</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89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8980" w:type="dxa"/>
            <w:vAlign w:val="bottom"/>
          </w:tcPr>
          <w:p>
            <w:pPr>
              <w:ind w:left="180"/>
              <w:spacing w:after="0"/>
              <w:rPr>
                <w:sz w:val="20"/>
                <w:szCs w:val="20"/>
                <w:color w:val="auto"/>
              </w:rPr>
            </w:pPr>
            <w:r>
              <w:rPr>
                <w:rFonts w:ascii="Arial" w:cs="Arial" w:eastAsia="Arial" w:hAnsi="Arial"/>
                <w:sz w:val="18"/>
                <w:szCs w:val="18"/>
                <w:b w:val="1"/>
                <w:bCs w:val="1"/>
                <w:color w:val="auto"/>
              </w:rPr>
              <w:t>TYPE OF REPORTING PERSON (SEE INSTRUCTIONS)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IN</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89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89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1440" w:gutter="0" w:footer="0" w:header="0"/>
          <w:type w:val="continuous"/>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55055L107</w:t>
            </w:r>
          </w:p>
        </w:tc>
        <w:tc>
          <w:tcPr>
            <w:tcW w:w="122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8"/>
              </w:rPr>
              <w:t>Page 11 of 25 Pages</w:t>
            </w: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r>
        <w:trPr>
          <w:trHeight w:val="216"/>
        </w:trPr>
        <w:tc>
          <w:tcPr>
            <w:tcW w:w="5060" w:type="dxa"/>
            <w:vAlign w:val="bottom"/>
            <w:tcBorders>
              <w:bottom w:val="single" w:sz="8" w:color="auto"/>
            </w:tcBorders>
            <w:gridSpan w:val="2"/>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r>
      <w:tr>
        <w:trPr>
          <w:trHeight w:val="237"/>
        </w:trPr>
        <w:tc>
          <w:tcPr>
            <w:tcW w:w="506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31"/>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Joshua Makower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32"/>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33"/>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8,750,000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17.8%</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55055L107</w:t>
            </w:r>
          </w:p>
        </w:tc>
        <w:tc>
          <w:tcPr>
            <w:tcW w:w="122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8"/>
              </w:rPr>
              <w:t>Page 12 of 25 Pages</w:t>
            </w: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r>
        <w:trPr>
          <w:trHeight w:val="216"/>
        </w:trPr>
        <w:tc>
          <w:tcPr>
            <w:tcW w:w="5060" w:type="dxa"/>
            <w:vAlign w:val="bottom"/>
            <w:tcBorders>
              <w:bottom w:val="single" w:sz="8" w:color="auto"/>
            </w:tcBorders>
            <w:gridSpan w:val="2"/>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r>
      <w:tr>
        <w:trPr>
          <w:trHeight w:val="237"/>
        </w:trPr>
        <w:tc>
          <w:tcPr>
            <w:tcW w:w="506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34"/>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David M. Mott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35"/>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36"/>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8,750,000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17.8%</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184" w:lineRule="auto"/>
        <w:tabs>
          <w:tab w:leader="none" w:pos="1580" w:val="left"/>
        </w:tabs>
        <w:rPr>
          <w:sz w:val="20"/>
          <w:szCs w:val="20"/>
          <w:color w:val="auto"/>
        </w:rPr>
      </w:pPr>
      <w:r>
        <w:rPr>
          <w:rFonts w:ascii="Arial" w:cs="Arial" w:eastAsia="Arial" w:hAnsi="Arial"/>
          <w:sz w:val="26"/>
          <w:szCs w:val="26"/>
          <w:b w:val="1"/>
          <w:bCs w:val="1"/>
          <w:color w:val="auto"/>
          <w:vertAlign w:val="superscript"/>
        </w:rPr>
        <w:t>14</w:t>
      </w:r>
      <w:r>
        <w:rPr>
          <w:sz w:val="20"/>
          <w:szCs w:val="20"/>
          <w:color w:val="auto"/>
        </w:rPr>
        <w:tab/>
      </w:r>
      <w:r>
        <w:rPr>
          <w:rFonts w:ascii="Arial" w:cs="Arial" w:eastAsia="Arial" w:hAnsi="Arial"/>
          <w:sz w:val="14"/>
          <w:szCs w:val="14"/>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55055L107</w:t>
            </w:r>
          </w:p>
        </w:tc>
        <w:tc>
          <w:tcPr>
            <w:tcW w:w="122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8"/>
              </w:rPr>
              <w:t>Page 13 of 25 Pages</w:t>
            </w: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r>
        <w:trPr>
          <w:trHeight w:val="216"/>
        </w:trPr>
        <w:tc>
          <w:tcPr>
            <w:tcW w:w="5060" w:type="dxa"/>
            <w:vAlign w:val="bottom"/>
            <w:tcBorders>
              <w:bottom w:val="single" w:sz="8" w:color="auto"/>
            </w:tcBorders>
            <w:gridSpan w:val="2"/>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r>
      <w:tr>
        <w:trPr>
          <w:trHeight w:val="237"/>
        </w:trPr>
        <w:tc>
          <w:tcPr>
            <w:tcW w:w="506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37"/>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Scott D. Sandell</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38"/>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39"/>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8,750,000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17.8%</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55055L107</w:t>
            </w:r>
          </w:p>
        </w:tc>
        <w:tc>
          <w:tcPr>
            <w:tcW w:w="122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8"/>
              </w:rPr>
              <w:t>Page 14 of 25 Pages</w:t>
            </w: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r>
        <w:trPr>
          <w:trHeight w:val="216"/>
        </w:trPr>
        <w:tc>
          <w:tcPr>
            <w:tcW w:w="5060" w:type="dxa"/>
            <w:vAlign w:val="bottom"/>
            <w:tcBorders>
              <w:bottom w:val="single" w:sz="8" w:color="auto"/>
            </w:tcBorders>
            <w:gridSpan w:val="2"/>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r>
      <w:tr>
        <w:trPr>
          <w:trHeight w:val="237"/>
        </w:trPr>
        <w:tc>
          <w:tcPr>
            <w:tcW w:w="506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40"/>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Peter W. Sonsini</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41"/>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42"/>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8,750,000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17.8%</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line="184" w:lineRule="auto"/>
        <w:tabs>
          <w:tab w:leader="none" w:pos="1580" w:val="left"/>
        </w:tabs>
        <w:rPr>
          <w:sz w:val="20"/>
          <w:szCs w:val="20"/>
          <w:color w:val="auto"/>
        </w:rPr>
      </w:pPr>
      <w:r>
        <w:rPr>
          <w:rFonts w:ascii="Arial" w:cs="Arial" w:eastAsia="Arial" w:hAnsi="Arial"/>
          <w:sz w:val="26"/>
          <w:szCs w:val="26"/>
          <w:b w:val="1"/>
          <w:bCs w:val="1"/>
          <w:color w:val="auto"/>
          <w:vertAlign w:val="superscript"/>
        </w:rPr>
        <w:t>14</w:t>
      </w:r>
      <w:r>
        <w:rPr>
          <w:sz w:val="20"/>
          <w:szCs w:val="20"/>
          <w:color w:val="auto"/>
        </w:rPr>
        <w:tab/>
      </w:r>
      <w:r>
        <w:rPr>
          <w:rFonts w:ascii="Arial" w:cs="Arial" w:eastAsia="Arial" w:hAnsi="Arial"/>
          <w:sz w:val="14"/>
          <w:szCs w:val="14"/>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55055L107</w:t>
            </w:r>
          </w:p>
        </w:tc>
        <w:tc>
          <w:tcPr>
            <w:tcW w:w="122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8"/>
              </w:rPr>
              <w:t>Page 15 of 25 Pages</w:t>
            </w: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r>
        <w:trPr>
          <w:trHeight w:val="216"/>
        </w:trPr>
        <w:tc>
          <w:tcPr>
            <w:tcW w:w="5060" w:type="dxa"/>
            <w:vAlign w:val="bottom"/>
            <w:tcBorders>
              <w:bottom w:val="single" w:sz="8" w:color="auto"/>
            </w:tcBorders>
            <w:gridSpan w:val="2"/>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r>
      <w:tr>
        <w:trPr>
          <w:trHeight w:val="237"/>
        </w:trPr>
        <w:tc>
          <w:tcPr>
            <w:tcW w:w="506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43"/>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Ravi Viswanathan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44"/>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45"/>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8,750,000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17.8%</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55055L107</w:t>
            </w:r>
          </w:p>
        </w:tc>
        <w:tc>
          <w:tcPr>
            <w:tcW w:w="1220" w:type="dxa"/>
            <w:vAlign w:val="bottom"/>
            <w:tcBorders>
              <w:top w:val="single" w:sz="8" w:color="auto"/>
            </w:tcBorders>
          </w:tcPr>
          <w:p>
            <w:pPr>
              <w:spacing w:after="0"/>
              <w:rPr>
                <w:sz w:val="24"/>
                <w:szCs w:val="24"/>
                <w:color w:val="auto"/>
              </w:rPr>
            </w:pPr>
          </w:p>
        </w:tc>
        <w:tc>
          <w:tcPr>
            <w:tcW w:w="258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8"/>
              </w:rPr>
              <w:t>Page 16 of 25 Pages</w:t>
            </w: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r>
        <w:trPr>
          <w:trHeight w:val="216"/>
        </w:trPr>
        <w:tc>
          <w:tcPr>
            <w:tcW w:w="5060" w:type="dxa"/>
            <w:vAlign w:val="bottom"/>
            <w:tcBorders>
              <w:bottom w:val="single" w:sz="8" w:color="auto"/>
            </w:tcBorders>
            <w:gridSpan w:val="2"/>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r>
      <w:tr>
        <w:trPr>
          <w:trHeight w:val="237"/>
        </w:trPr>
        <w:tc>
          <w:tcPr>
            <w:tcW w:w="5060" w:type="dxa"/>
            <w:vAlign w:val="bottom"/>
            <w:gridSpan w:val="2"/>
          </w:tcPr>
          <w:p>
            <w:pPr>
              <w:ind w:left="1580"/>
              <w:spacing w:after="0"/>
              <w:rPr>
                <w:sz w:val="20"/>
                <w:szCs w:val="20"/>
                <w:color w:val="auto"/>
              </w:rPr>
            </w:pPr>
            <w:r>
              <w:rPr>
                <w:rFonts w:ascii="Arial" w:cs="Arial" w:eastAsia="Arial" w:hAnsi="Arial"/>
                <w:sz w:val="18"/>
                <w:szCs w:val="18"/>
                <w:b w:val="1"/>
                <w:bCs w:val="1"/>
                <w:color w:val="auto"/>
              </w:rPr>
              <w:t>NAMES OF REPORTING PERSONS</w:t>
            </w:r>
          </w:p>
        </w:tc>
        <w:tc>
          <w:tcPr>
            <w:tcW w:w="258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764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7640955"/>
                    </a:xfrm>
                    <a:prstGeom prst="rect">
                      <a:avLst/>
                    </a:prstGeom>
                    <a:noFill/>
                  </pic:spPr>
                </pic:pic>
              </a:graphicData>
            </a:graphic>
          </wp:anchor>
        </w:drawing>
      </w:r>
    </w:p>
    <w:p>
      <w:pPr>
        <w:spacing w:after="0" w:line="16" w:lineRule="exact"/>
        <w:rPr>
          <w:sz w:val="20"/>
          <w:szCs w:val="20"/>
          <w:color w:val="auto"/>
        </w:rPr>
      </w:pPr>
    </w:p>
    <w:p>
      <w:pPr>
        <w:ind w:left="1600" w:right="3940" w:hanging="977"/>
        <w:spacing w:after="0" w:line="180" w:lineRule="auto"/>
        <w:tabs>
          <w:tab w:leader="none" w:pos="1591" w:val="left"/>
        </w:tabs>
        <w:numPr>
          <w:ilvl w:val="0"/>
          <w:numId w:val="46"/>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Paul Walker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2</w:t>
            </w:r>
          </w:p>
        </w:tc>
        <w:tc>
          <w:tcPr>
            <w:tcW w:w="9520" w:type="dxa"/>
            <w:vAlign w:val="bottom"/>
          </w:tcPr>
          <w:p>
            <w:pPr>
              <w:ind w:left="20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1380" w:type="dxa"/>
            <w:vAlign w:val="bottom"/>
            <w:vMerge w:val="continue"/>
          </w:tcPr>
          <w:p>
            <w:pPr>
              <w:spacing w:after="0"/>
              <w:rPr>
                <w:sz w:val="24"/>
                <w:szCs w:val="24"/>
                <w:color w:val="auto"/>
              </w:rPr>
            </w:pPr>
          </w:p>
        </w:tc>
        <w:tc>
          <w:tcPr>
            <w:tcW w:w="9520" w:type="dxa"/>
            <w:vAlign w:val="bottom"/>
          </w:tcPr>
          <w:p>
            <w:pPr>
              <w:spacing w:after="0"/>
              <w:rPr>
                <w:sz w:val="24"/>
                <w:szCs w:val="24"/>
                <w:color w:val="auto"/>
              </w:rPr>
            </w:pPr>
          </w:p>
        </w:tc>
        <w:tc>
          <w:tcPr>
            <w:tcW w:w="500" w:type="dxa"/>
            <w:vAlign w:val="bottom"/>
          </w:tcPr>
          <w:p>
            <w:pPr>
              <w:jc w:val="right"/>
              <w:spacing w:after="0" w:line="207" w:lineRule="exact"/>
              <w:rPr>
                <w:sz w:val="20"/>
                <w:szCs w:val="20"/>
                <w:color w:val="auto"/>
              </w:rPr>
            </w:pPr>
            <w:r>
              <w:rPr>
                <w:rFonts w:ascii="Arial" w:cs="Arial" w:eastAsia="Arial" w:hAnsi="Arial"/>
                <w:sz w:val="18"/>
                <w:szCs w:val="18"/>
                <w:color w:val="auto"/>
                <w:w w:val="97"/>
              </w:rPr>
              <w:t xml:space="preserve">(b) </w:t>
            </w:r>
            <w:r>
              <w:rPr>
                <w:rFonts w:ascii="MS PGothic" w:cs="MS PGothic" w:eastAsia="MS PGothic" w:hAnsi="MS PGothic"/>
                <w:sz w:val="18"/>
                <w:szCs w:val="18"/>
                <w:color w:val="auto"/>
                <w:w w:val="97"/>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auto"/>
            </w:tcBorders>
          </w:tcPr>
          <w:p>
            <w:pPr>
              <w:spacing w:after="0"/>
              <w:rPr>
                <w:sz w:val="18"/>
                <w:szCs w:val="18"/>
                <w:color w:val="auto"/>
              </w:rPr>
            </w:pPr>
          </w:p>
        </w:tc>
        <w:tc>
          <w:tcPr>
            <w:tcW w:w="9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vMerge w:val="restart"/>
          </w:tcPr>
          <w:p>
            <w:pPr>
              <w:jc w:val="right"/>
              <w:ind w:right="438"/>
              <w:spacing w:after="0"/>
              <w:rPr>
                <w:sz w:val="20"/>
                <w:szCs w:val="20"/>
                <w:color w:val="auto"/>
              </w:rPr>
            </w:pPr>
            <w:r>
              <w:rPr>
                <w:rFonts w:ascii="Arial" w:cs="Arial" w:eastAsia="Arial" w:hAnsi="Arial"/>
                <w:sz w:val="32"/>
                <w:szCs w:val="32"/>
                <w:b w:val="1"/>
                <w:bCs w:val="1"/>
                <w:color w:val="auto"/>
              </w:rPr>
              <w:t>3</w:t>
            </w:r>
          </w:p>
        </w:tc>
        <w:tc>
          <w:tcPr>
            <w:tcW w:w="9520" w:type="dxa"/>
            <w:vAlign w:val="bottom"/>
            <w:shd w:val="clear" w:color="auto" w:fill="BFBFBF"/>
          </w:tcPr>
          <w:p>
            <w:pPr>
              <w:ind w:left="200"/>
              <w:spacing w:after="0"/>
              <w:rPr>
                <w:sz w:val="20"/>
                <w:szCs w:val="20"/>
                <w:color w:val="auto"/>
              </w:rPr>
            </w:pPr>
            <w:r>
              <w:rPr>
                <w:rFonts w:ascii="Arial" w:cs="Arial" w:eastAsia="Arial" w:hAnsi="Arial"/>
                <w:sz w:val="18"/>
                <w:szCs w:val="18"/>
                <w:b w:val="1"/>
                <w:bCs w:val="1"/>
                <w:color w:val="auto"/>
              </w:rPr>
              <w:t>SEC USE ONLY</w:t>
            </w:r>
          </w:p>
        </w:tc>
        <w:tc>
          <w:tcPr>
            <w:tcW w:w="500" w:type="dxa"/>
            <w:vAlign w:val="bottom"/>
            <w:shd w:val="clear" w:color="auto" w:fill="BFBFB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80" w:type="dxa"/>
            <w:vAlign w:val="bottom"/>
            <w:vMerge w:val="continue"/>
          </w:tcPr>
          <w:p>
            <w:pPr>
              <w:spacing w:after="0"/>
              <w:rPr>
                <w:sz w:val="24"/>
                <w:szCs w:val="24"/>
                <w:color w:val="auto"/>
              </w:rPr>
            </w:pPr>
          </w:p>
        </w:tc>
        <w:tc>
          <w:tcPr>
            <w:tcW w:w="9520" w:type="dxa"/>
            <w:vAlign w:val="bottom"/>
            <w:shd w:val="clear" w:color="auto" w:fill="BFBFBF"/>
          </w:tcPr>
          <w:p>
            <w:pPr>
              <w:spacing w:after="0"/>
              <w:rPr>
                <w:sz w:val="24"/>
                <w:szCs w:val="24"/>
                <w:color w:val="auto"/>
              </w:rPr>
            </w:pPr>
          </w:p>
        </w:tc>
        <w:tc>
          <w:tcPr>
            <w:tcW w:w="500" w:type="dxa"/>
            <w:vAlign w:val="bottom"/>
            <w:shd w:val="clear" w:color="auto" w:fill="BFBFB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9520" w:type="dxa"/>
            <w:vAlign w:val="bottom"/>
            <w:shd w:val="clear" w:color="auto" w:fill="BFBFBF"/>
          </w:tcPr>
          <w:p>
            <w:pPr>
              <w:spacing w:after="0"/>
              <w:rPr>
                <w:sz w:val="23"/>
                <w:szCs w:val="23"/>
                <w:color w:val="auto"/>
              </w:rPr>
            </w:pPr>
          </w:p>
        </w:tc>
        <w:tc>
          <w:tcPr>
            <w:tcW w:w="500" w:type="dxa"/>
            <w:vAlign w:val="bottom"/>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SOURCE OF FUNDS (SEE INSTRUCTIONS)</w:t>
      </w:r>
    </w:p>
    <w:p>
      <w:pPr>
        <w:ind w:left="1600" w:hanging="977"/>
        <w:spacing w:after="0" w:line="182" w:lineRule="auto"/>
        <w:tabs>
          <w:tab w:leader="none" w:pos="1600" w:val="left"/>
        </w:tabs>
        <w:numPr>
          <w:ilvl w:val="0"/>
          <w:numId w:val="47"/>
        </w:numPr>
        <w:rPr>
          <w:rFonts w:ascii="Arial" w:cs="Arial" w:eastAsia="Arial" w:hAnsi="Arial"/>
          <w:sz w:val="50"/>
          <w:szCs w:val="50"/>
          <w:b w:val="1"/>
          <w:bCs w:val="1"/>
          <w:color w:val="auto"/>
          <w:vertAlign w:val="superscript"/>
        </w:rPr>
      </w:pPr>
      <w:r>
        <w:rPr>
          <w:rFonts w:ascii="Arial" w:cs="Arial" w:eastAsia="Arial" w:hAnsi="Arial"/>
          <w:sz w:val="16"/>
          <w:szCs w:val="16"/>
          <w:color w:val="auto"/>
        </w:rPr>
        <w:t>AF</w:t>
      </w:r>
    </w:p>
    <w:p>
      <w:pPr>
        <w:spacing w:after="0" w:line="181" w:lineRule="exact"/>
        <w:rPr>
          <w:sz w:val="20"/>
          <w:szCs w:val="20"/>
          <w:color w:val="auto"/>
        </w:rPr>
      </w:pPr>
    </w:p>
    <w:p>
      <w:pPr>
        <w:ind w:left="1580"/>
        <w:spacing w:after="0" w:line="207" w:lineRule="exact"/>
        <w:tabs>
          <w:tab w:leader="none" w:pos="11180" w:val="left"/>
        </w:tabs>
        <w:rPr>
          <w:sz w:val="20"/>
          <w:szCs w:val="20"/>
          <w:color w:val="auto"/>
        </w:rPr>
      </w:pPr>
      <w:r>
        <w:rPr>
          <w:rFonts w:ascii="Arial" w:cs="Arial" w:eastAsia="Arial" w:hAnsi="Arial"/>
          <w:sz w:val="18"/>
          <w:szCs w:val="18"/>
          <w:b w:val="1"/>
          <w:bCs w:val="1"/>
          <w:color w:val="auto"/>
        </w:rPr>
        <w:t>CHECK BOX IF DISCLOSURE OF LEGAL PROCEEDINGS IS REQUIRED PURSUANT TO ITEM 2(D) OR 2(E)</w:t>
      </w:r>
      <w:r>
        <w:rPr>
          <w:sz w:val="20"/>
          <w:szCs w:val="20"/>
          <w:color w:val="auto"/>
        </w:rPr>
        <w:tab/>
      </w:r>
      <w:r>
        <w:rPr>
          <w:rFonts w:ascii="MS PGothic" w:cs="MS PGothic" w:eastAsia="MS PGothic" w:hAnsi="MS PGothic"/>
          <w:sz w:val="16"/>
          <w:szCs w:val="16"/>
          <w:color w:val="auto"/>
        </w:rPr>
        <w:t>☐</w:t>
      </w:r>
    </w:p>
    <w:p>
      <w:pPr>
        <w:ind w:left="620"/>
        <w:spacing w:after="0"/>
        <w:rPr>
          <w:sz w:val="20"/>
          <w:szCs w:val="20"/>
          <w:color w:val="auto"/>
        </w:rPr>
      </w:pPr>
      <w:r>
        <w:rPr>
          <w:rFonts w:ascii="Arial" w:cs="Arial" w:eastAsia="Arial" w:hAnsi="Arial"/>
          <w:sz w:val="32"/>
          <w:szCs w:val="32"/>
          <w:b w:val="1"/>
          <w:bCs w:val="1"/>
          <w:color w:val="auto"/>
        </w:rPr>
        <w:t>5</w:t>
      </w:r>
    </w:p>
    <w:p>
      <w:pPr>
        <w:spacing w:after="0" w:line="249"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CITIZENSHIP OR PLACE OF ORGANIZATION</w:t>
      </w:r>
    </w:p>
    <w:p>
      <w:pPr>
        <w:ind w:left="1600" w:hanging="977"/>
        <w:spacing w:after="0" w:line="182" w:lineRule="auto"/>
        <w:tabs>
          <w:tab w:leader="none" w:pos="1600" w:val="left"/>
        </w:tabs>
        <w:numPr>
          <w:ilvl w:val="0"/>
          <w:numId w:val="48"/>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 citizen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44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7</w:t>
            </w:r>
          </w:p>
        </w:tc>
        <w:tc>
          <w:tcPr>
            <w:tcW w:w="120" w:type="dxa"/>
            <w:vAlign w:val="bottom"/>
            <w:tcBorders>
              <w:top w:val="single" w:sz="8" w:color="auto"/>
            </w:tcBorders>
          </w:tcPr>
          <w:p>
            <w:pPr>
              <w:spacing w:after="0"/>
              <w:rPr>
                <w:sz w:val="20"/>
                <w:szCs w:val="20"/>
                <w:color w:val="auto"/>
              </w:rPr>
            </w:pPr>
          </w:p>
        </w:tc>
        <w:tc>
          <w:tcPr>
            <w:tcW w:w="7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Pr>
          <w:p>
            <w:pPr>
              <w:spacing w:after="0"/>
              <w:rPr>
                <w:sz w:val="19"/>
                <w:szCs w:val="19"/>
                <w:color w:val="auto"/>
              </w:rPr>
            </w:pPr>
          </w:p>
        </w:tc>
        <w:tc>
          <w:tcPr>
            <w:tcW w:w="620" w:type="dxa"/>
            <w:vAlign w:val="bottom"/>
            <w:tcBorders>
              <w:right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5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Pr>
          <w:p>
            <w:pPr>
              <w:spacing w:after="0"/>
              <w:rPr>
                <w:sz w:val="14"/>
                <w:szCs w:val="1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20" w:type="dxa"/>
            <w:vAlign w:val="bottom"/>
          </w:tcPr>
          <w:p>
            <w:pPr>
              <w:spacing w:after="0"/>
              <w:rPr>
                <w:sz w:val="14"/>
                <w:szCs w:val="14"/>
                <w:color w:val="auto"/>
              </w:rPr>
            </w:pPr>
          </w:p>
        </w:tc>
        <w:tc>
          <w:tcPr>
            <w:tcW w:w="75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40" w:type="dxa"/>
            <w:vAlign w:val="bottom"/>
          </w:tcPr>
          <w:p>
            <w:pPr>
              <w:jc w:val="center"/>
              <w:ind w:left="503"/>
              <w:spacing w:after="0"/>
              <w:rPr>
                <w:sz w:val="20"/>
                <w:szCs w:val="20"/>
                <w:color w:val="auto"/>
              </w:rPr>
            </w:pPr>
            <w:r>
              <w:rPr>
                <w:rFonts w:ascii="Arial" w:cs="Arial" w:eastAsia="Arial" w:hAnsi="Arial"/>
                <w:sz w:val="18"/>
                <w:szCs w:val="18"/>
                <w:b w:val="1"/>
                <w:bCs w:val="1"/>
                <w:color w:val="auto"/>
              </w:rPr>
              <w:t>WITH</w:t>
            </w: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7500" w:type="dxa"/>
            <w:vAlign w:val="bottom"/>
            <w:vMerge w:val="restart"/>
          </w:tcPr>
          <w:p>
            <w:pPr>
              <w:ind w:left="60"/>
              <w:spacing w:after="0"/>
              <w:rPr>
                <w:sz w:val="20"/>
                <w:szCs w:val="20"/>
                <w:color w:val="auto"/>
              </w:rPr>
            </w:pPr>
            <w:r>
              <w:rPr>
                <w:rFonts w:ascii="Arial" w:cs="Arial" w:eastAsia="Arial" w:hAnsi="Arial"/>
                <w:sz w:val="18"/>
                <w:szCs w:val="18"/>
                <w:color w:val="auto"/>
              </w:rPr>
              <w:t>0 shares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75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120" w:type="dxa"/>
            <w:vAlign w:val="bottom"/>
          </w:tcPr>
          <w:p>
            <w:pPr>
              <w:spacing w:after="0"/>
              <w:rPr>
                <w:sz w:val="20"/>
                <w:szCs w:val="20"/>
                <w:color w:val="auto"/>
              </w:rPr>
            </w:pPr>
          </w:p>
        </w:tc>
        <w:tc>
          <w:tcPr>
            <w:tcW w:w="7500" w:type="dxa"/>
            <w:vAlign w:val="bottom"/>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right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ind w:left="60"/>
              <w:spacing w:after="0"/>
              <w:rPr>
                <w:sz w:val="20"/>
                <w:szCs w:val="20"/>
                <w:color w:val="auto"/>
              </w:rPr>
            </w:pPr>
            <w:r>
              <w:rPr>
                <w:rFonts w:ascii="Arial" w:cs="Arial" w:eastAsia="Arial" w:hAnsi="Arial"/>
                <w:sz w:val="18"/>
                <w:szCs w:val="18"/>
                <w:color w:val="auto"/>
              </w:rPr>
              <w:t>8,750,000 shares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1440" w:type="dxa"/>
            <w:vAlign w:val="bottom"/>
            <w:gridSpan w:val="4"/>
          </w:tcPr>
          <w:p>
            <w:pPr>
              <w:ind w:left="160"/>
              <w:spacing w:after="0"/>
              <w:rPr>
                <w:sz w:val="20"/>
                <w:szCs w:val="20"/>
                <w:color w:val="auto"/>
              </w:rPr>
            </w:pPr>
            <w:r>
              <w:rPr>
                <w:rFonts w:ascii="Arial" w:cs="Arial" w:eastAsia="Arial" w:hAnsi="Arial"/>
                <w:sz w:val="18"/>
                <w:szCs w:val="18"/>
                <w:color w:val="auto"/>
                <w:w w:val="90"/>
              </w:rPr>
              <w:t>8,750,000 shares</w:t>
            </w: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spacing w:after="0"/>
              <w:rPr>
                <w:sz w:val="14"/>
                <w:szCs w:val="14"/>
                <w:color w:val="auto"/>
              </w:rPr>
            </w:pPr>
          </w:p>
        </w:tc>
        <w:tc>
          <w:tcPr>
            <w:tcW w:w="762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40" w:type="dxa"/>
            <w:vAlign w:val="bottom"/>
          </w:tcPr>
          <w:p>
            <w:pPr>
              <w:spacing w:after="0"/>
              <w:rPr>
                <w:sz w:val="18"/>
                <w:szCs w:val="18"/>
                <w:color w:val="auto"/>
              </w:rPr>
            </w:pP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1040" w:type="dxa"/>
            <w:vAlign w:val="bottom"/>
            <w:vMerge w:val="restart"/>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6"/>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940" w:type="dxa"/>
            <w:vAlign w:val="bottom"/>
            <w:gridSpan w:val="5"/>
            <w:vMerge w:val="restart"/>
          </w:tcPr>
          <w:p>
            <w:pPr>
              <w:ind w:left="140"/>
              <w:spacing w:after="0"/>
              <w:rPr>
                <w:sz w:val="20"/>
                <w:szCs w:val="20"/>
                <w:color w:val="auto"/>
              </w:rPr>
            </w:pPr>
            <w:r>
              <w:rPr>
                <w:rFonts w:ascii="Arial" w:cs="Arial" w:eastAsia="Arial" w:hAnsi="Arial"/>
                <w:sz w:val="18"/>
                <w:szCs w:val="18"/>
                <w:b w:val="1"/>
                <w:bCs w:val="1"/>
                <w:color w:val="auto"/>
              </w:rPr>
              <w:t>INSTRUCTIONS)</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vMerge w:val="continue"/>
          </w:tcPr>
          <w:p>
            <w:pPr>
              <w:spacing w:after="0"/>
              <w:rPr>
                <w:sz w:val="7"/>
                <w:szCs w:val="7"/>
                <w:color w:val="auto"/>
              </w:rPr>
            </w:pPr>
          </w:p>
        </w:tc>
        <w:tc>
          <w:tcPr>
            <w:tcW w:w="8940" w:type="dxa"/>
            <w:vAlign w:val="bottom"/>
            <w:gridSpan w:val="5"/>
            <w:vMerge w:val="continue"/>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44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4"/>
                <w:szCs w:val="24"/>
                <w:color w:val="auto"/>
              </w:rPr>
            </w:pPr>
          </w:p>
        </w:tc>
        <w:tc>
          <w:tcPr>
            <w:tcW w:w="7620" w:type="dxa"/>
            <w:vAlign w:val="bottom"/>
            <w:tcBorders>
              <w:bottom w:val="single" w:sz="8" w:color="auto"/>
            </w:tcBorders>
            <w:gridSpan w:val="2"/>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4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8940" w:type="dxa"/>
            <w:vAlign w:val="bottom"/>
            <w:gridSpan w:val="5"/>
          </w:tcPr>
          <w:p>
            <w:pPr>
              <w:ind w:left="1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40" w:type="dxa"/>
            <w:vAlign w:val="bottom"/>
            <w:vMerge w:val="continue"/>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17.8%</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TYPE OF REPORTING PERSON (SEE INSTRUCTIONS)</w:t>
      </w:r>
    </w:p>
    <w:p>
      <w:pPr>
        <w:ind w:left="540"/>
        <w:spacing w:after="0"/>
        <w:tabs>
          <w:tab w:leader="none" w:pos="158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36"/>
          <w:szCs w:val="36"/>
          <w:color w:val="auto"/>
          <w:vertAlign w:val="subscript"/>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55055L107</w:t>
            </w:r>
          </w:p>
        </w:tc>
        <w:tc>
          <w:tcPr>
            <w:tcW w:w="3800" w:type="dxa"/>
            <w:vAlign w:val="bottom"/>
            <w:tcBorders>
              <w:top w:val="single" w:sz="8" w:color="auto"/>
              <w:right w:val="single" w:sz="8" w:color="auto"/>
            </w:tcBorders>
          </w:tcPr>
          <w:p>
            <w:pPr>
              <w:ind w:left="172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8"/>
              </w:rPr>
              <w:t>Page 17 of 25 Pages</w:t>
            </w: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13D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Security and Issuer</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statement relates to the common shares, $0.001 par value (the "Common Stock"), of Marker Therapeutics, Inc. (the "Issuer") having its principal executive office at 5 West Forsyth Street, Suite 200, Jacksonville, FL 32202.</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Identity and Background</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statement is being filed by:</w:t>
      </w:r>
    </w:p>
    <w:p>
      <w:pPr>
        <w:spacing w:after="0" w:line="225" w:lineRule="exact"/>
        <w:rPr>
          <w:sz w:val="20"/>
          <w:szCs w:val="20"/>
          <w:color w:val="auto"/>
        </w:rPr>
      </w:pPr>
    </w:p>
    <w:p>
      <w:pPr>
        <w:ind w:firstLine="656"/>
        <w:spacing w:after="0" w:line="342" w:lineRule="auto"/>
        <w:tabs>
          <w:tab w:leader="none" w:pos="903" w:val="left"/>
        </w:tabs>
        <w:numPr>
          <w:ilvl w:val="0"/>
          <w:numId w:val="49"/>
        </w:numPr>
        <w:rPr>
          <w:rFonts w:ascii="Arial" w:cs="Arial" w:eastAsia="Arial" w:hAnsi="Arial"/>
          <w:sz w:val="16"/>
          <w:szCs w:val="16"/>
          <w:color w:val="auto"/>
        </w:rPr>
      </w:pPr>
      <w:r>
        <w:rPr>
          <w:rFonts w:ascii="Arial" w:cs="Arial" w:eastAsia="Arial" w:hAnsi="Arial"/>
          <w:sz w:val="16"/>
          <w:szCs w:val="16"/>
          <w:color w:val="auto"/>
        </w:rPr>
        <w:t>New Enterprise Associates 16, L.P. ("NEA 16"), NEA Partners 16, L.P. ("NEA Partners 16"), which is the sole general partner of NEA 16; and NEA 16 GP, LLC ("NEA 16 LLC" and, together with NEA Partners 16, the "Control Entities"), which is the sole general partner of NEA Partners 16; and</w:t>
      </w:r>
    </w:p>
    <w:p>
      <w:pPr>
        <w:spacing w:after="0" w:line="123" w:lineRule="exact"/>
        <w:rPr>
          <w:rFonts w:ascii="Arial" w:cs="Arial" w:eastAsia="Arial" w:hAnsi="Arial"/>
          <w:sz w:val="16"/>
          <w:szCs w:val="16"/>
          <w:color w:val="auto"/>
        </w:rPr>
      </w:pPr>
    </w:p>
    <w:p>
      <w:pPr>
        <w:jc w:val="both"/>
        <w:ind w:firstLine="656"/>
        <w:spacing w:after="0" w:line="259" w:lineRule="auto"/>
        <w:tabs>
          <w:tab w:leader="none" w:pos="9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Peter J. Barris ("Barris"), Forest Baskett ("Baskett"), Ali Behbahani ("Behbahani"), Carmen Chang ("Chang"), Anthony A. Florence, Jr. ("Florence"), Mohamad H. Makhzoumi ("Makhzoumi"), Joshua Makower ("Makower"), David M. Mott ("Mott"), Scott D. Sandell ("Sandell"), Peter W. Sonsini ("Sonsini"), Ravi Viswanathan ("Viswanathan") and Paul Walker ("Walker") (together, the "Managers"). The Managers are the managers of NEA 16 LLC.</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persons named in this Item 2 are referred to individually herein as a "Reporting Person" and collectively as the "Reporting Persons."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The address of the principal business office of NEA 16 and each Control Entity is New Enterprise Associates, 1954 Greenspring Drive, Suite 600, Timonium, MD 21093. The address of the principal business office of each of Barris, Behbahani and Mott is New Enterprise Associates, 5425 Wisconsin Avenue, Suite 800, Chevy Chase, MD 20815. The address of the principal business office of Baskett, Chang, Makhzoumi, Makower, Sandell, Sonsini, Viswanathan and Walker is New Enterprise Associates, 2855 Sand Hill Road, Menlo Park, California 94025. The address of the principal business office of Florence is New Enterprise Associates, 104 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Avenue, 19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10001.</w:t>
      </w:r>
    </w:p>
    <w:p>
      <w:pPr>
        <w:spacing w:after="0" w:line="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principal business of NEA 16 is to invest in and assist growth-oriented businesses located principally in the United States. The principal business of NEA Partners 16 is to act as the sole general partner of NEA 16. The principal business of NEA 16 LLC is to act as the sole general partner of NEA Partners 16. The principal business of each of the Managers is to manage the Control Entities, NEA 16 and a number of affiliated partnerships with similar businesses.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NEA 16 LLC is a limited liability company organized under the laws of the State of Delaware. NEA 16 and NEA Partners 16 are limited partnerships organized under the laws of the State of Delaware. Each of the Managers is a United States citizen.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Source and Amount of Funds or Other Consideration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17, 2018, in connection with an Agreement and Plan of Merger and Reorganization, dated as of May 15, 2018, the Issuer issued an aggregate of 17,500,000 shares of Common Stock and warrants to purchase 13,437,500 shares of Common Stock in a private placement transaction. At the closing of such private placement (the "Closing"), NEA 16 purchased an aggregate of 5,000,000 shares of Common Stock (the "NEA 16 Stock") and 3,750,000 warrants to purchase Common Stock, exercisable immediately, at an exercise price of $5.00 per share with a five-year term (the "NEA 16 Warrants", and together with the NEA 16 Stock, the "NEA 16 Shares") for an aggregate purchase price of $20,000,000. NEA 16 now holds a total of 5,000,000 shares of Common Stock and 3,750,000 warrants to purchase Common Stock.</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working capital of NEA 16 was the source of the funds for the purchase of the NEA 16 Shares. No part of the purchase price of the NEA 16 Shares was represented by funds or other consideration borrowed or otherwise obtained for the purpose of acquiring, holding, trading or voting the NEA 16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55055L107</w:t>
            </w:r>
          </w:p>
        </w:tc>
        <w:tc>
          <w:tcPr>
            <w:tcW w:w="3800" w:type="dxa"/>
            <w:vAlign w:val="bottom"/>
            <w:tcBorders>
              <w:top w:val="single" w:sz="8" w:color="auto"/>
              <w:right w:val="single" w:sz="8" w:color="auto"/>
            </w:tcBorders>
          </w:tcPr>
          <w:p>
            <w:pPr>
              <w:ind w:left="172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8"/>
              </w:rPr>
              <w:t>Page 18 of 25 Pages</w:t>
            </w: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Purpose of Transaction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NEA 16 acquired the NEA 16 Shares for investment purposes. Depending on market conditions, its continuing evaluation of the business and prospects of the Issuer and other factors, NEA 16 and other Reporting Persons may dispose of or acquire additional shares of the Issuer. Except as set forth above, none of the Reporting Persons has any present plans which relate to or would result in:</w:t>
      </w:r>
    </w:p>
    <w:p>
      <w:pPr>
        <w:spacing w:after="0" w:line="181"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the Issuer, or the disposition of securities of the Issuer;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 extraordinary corporate transaction, such as a merger, reorganization or liquidation, involving the Issuer or any of its subsidiaries;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sale or transfer of a material amount of assets of the Issuer or any of its subsidiaries;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the Issuer, including any plans or proposals to change the number or term of directors or to fill any existing vacancies on the board;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Issuer;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material change in the Issuer's business or corporate structure;</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the Issuer's charter, bylaws or instruments corresponding thereto or other actions which may impede the acquisition of control of the Issuer by any person;</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class of equity securities of the Issuer becoming eligible for termination of registration pursuant to Section 12(g)(4) of the Securities Exchange Act of 1934;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action similar to any of those enumerated above.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Interest in Securities of the Issuer</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NEA 16 is the record owner of the NEA 16 Shares. As the general partner of NEA 16, NEA Partners 16 may be deemed to own beneficially the NEA 16 Shares. As the sole general partner of NEA Partners 16, NEA 16 LLC may be deemed to own beneficially the NEA 16 Shares. As members of NEA 16 LLC, each of the Managers may be deemed to own beneficially the NEA 16 Shares.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Each Reporting Person disclaims beneficial ownership of the NEA 16 Shares other than those shares which such person owns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55055L107</w:t>
            </w:r>
          </w:p>
        </w:tc>
        <w:tc>
          <w:tcPr>
            <w:tcW w:w="3800" w:type="dxa"/>
            <w:vAlign w:val="bottom"/>
            <w:tcBorders>
              <w:top w:val="single" w:sz="8" w:color="auto"/>
              <w:right w:val="single" w:sz="8" w:color="auto"/>
            </w:tcBorders>
          </w:tcPr>
          <w:p>
            <w:pPr>
              <w:ind w:left="172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8"/>
              </w:rPr>
              <w:t>Page 19 of 25 Pages</w:t>
            </w: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percentage of outstanding Common Stock of the Issuer which may be deemed to be beneficially owned by each Reporting Person is set forth on Line 13 of such Reporting Person's cover sheet. Such percentage was calculated based on 49,078,510 shares of Common Stock which includes (i) the 45,328,510 shares of Common Stock reported by the Issuer to be outstanding immediately after the Closing on the Issuer's Form 8-K filed with the Securities and Exchange Commission on October 17, 2018 and (ii) the NEA 16 Warrants.</w:t>
      </w:r>
    </w:p>
    <w:p>
      <w:pPr>
        <w:spacing w:after="0" w:line="187" w:lineRule="exact"/>
        <w:rPr>
          <w:sz w:val="20"/>
          <w:szCs w:val="20"/>
          <w:color w:val="auto"/>
        </w:rPr>
      </w:pPr>
    </w:p>
    <w:p>
      <w:pPr>
        <w:ind w:left="1300" w:hanging="599"/>
        <w:spacing w:after="0"/>
        <w:tabs>
          <w:tab w:leader="none" w:pos="13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Regarding the number of shares as to which such person has: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sole power to vote or to direct the vote: See line 7 of cover sheets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shared power to vote or to direct the vote: See line 8 of cover sheets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See line 9 of cover sheets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See line 10 of cover sheets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Except as set forth in Item 3 above, none of the Reporting Persons has effected any transaction in the Common Stock during the last 60 days.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other person is known to have the right to receive or the power to direct the receipt of dividends from, or any proceeds from the sale of, Common Stock beneficially owned by any of the Reporting Persons.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Contracts, Arrangements, Undertakings or Relationships with Respect to Securities of the Issuer</w:t>
      </w:r>
      <w:r>
        <w:rPr>
          <w:rFonts w:ascii="Arial" w:cs="Arial" w:eastAsia="Arial" w:hAnsi="Arial"/>
          <w:sz w:val="18"/>
          <w:szCs w:val="18"/>
          <w:b w:val="1"/>
          <w:bCs w:val="1"/>
          <w:color w:val="auto"/>
        </w:rPr>
        <w:t>.</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u w:val="single" w:color="auto"/>
          <w:color w:val="auto"/>
        </w:rPr>
        <w:t>Material to be Filed as Exhibits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1 – Agreement regarding filing of joint Schedule 13D.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2 – Power of Attorney regarding filings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55055L107</w:t>
            </w:r>
          </w:p>
        </w:tc>
        <w:tc>
          <w:tcPr>
            <w:tcW w:w="3800" w:type="dxa"/>
            <w:vAlign w:val="bottom"/>
            <w:tcBorders>
              <w:top w:val="single" w:sz="8" w:color="auto"/>
              <w:right w:val="single" w:sz="8" w:color="auto"/>
            </w:tcBorders>
          </w:tcPr>
          <w:p>
            <w:pPr>
              <w:ind w:left="172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8"/>
              </w:rPr>
              <w:t>Page 20 of 25 Pages</w:t>
            </w: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EXECUTED this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October, 2018.</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NEW ENTERPRISE ASSOCIATES 16,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gridSpan w:val="4"/>
          </w:tcPr>
          <w:p>
            <w:pPr>
              <w:ind w:left="200"/>
              <w:spacing w:after="0"/>
              <w:rPr>
                <w:sz w:val="20"/>
                <w:szCs w:val="20"/>
                <w:color w:val="auto"/>
              </w:rPr>
            </w:pPr>
            <w:r>
              <w:rPr>
                <w:rFonts w:ascii="Arial" w:cs="Arial" w:eastAsia="Arial" w:hAnsi="Arial"/>
                <w:sz w:val="18"/>
                <w:szCs w:val="18"/>
                <w:color w:val="auto"/>
              </w:rPr>
              <w:t>NEA PARTNERS 16, L.P.</w:t>
            </w:r>
          </w:p>
        </w:tc>
      </w:tr>
      <w:tr>
        <w:trPr>
          <w:trHeight w:val="230"/>
        </w:trPr>
        <w:tc>
          <w:tcPr>
            <w:tcW w:w="460" w:type="dxa"/>
            <w:vAlign w:val="bottom"/>
          </w:tcPr>
          <w:p>
            <w:pPr>
              <w:spacing w:after="0"/>
              <w:rPr>
                <w:sz w:val="20"/>
                <w:szCs w:val="20"/>
                <w:color w:val="auto"/>
              </w:rPr>
            </w:pP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General Partner</w:t>
            </w:r>
          </w:p>
        </w:tc>
        <w:tc>
          <w:tcPr>
            <w:tcW w:w="2020" w:type="dxa"/>
            <w:vAlign w:val="bottom"/>
          </w:tcPr>
          <w:p>
            <w:pPr>
              <w:spacing w:after="0"/>
              <w:rPr>
                <w:sz w:val="20"/>
                <w:szCs w:val="20"/>
                <w:color w:val="auto"/>
              </w:rPr>
            </w:pPr>
          </w:p>
        </w:tc>
      </w:tr>
      <w:tr>
        <w:trPr>
          <w:trHeight w:val="418"/>
        </w:trPr>
        <w:tc>
          <w:tcPr>
            <w:tcW w:w="4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By:</w:t>
            </w:r>
          </w:p>
        </w:tc>
        <w:tc>
          <w:tcPr>
            <w:tcW w:w="2960" w:type="dxa"/>
            <w:vAlign w:val="bottom"/>
            <w:gridSpan w:val="3"/>
          </w:tcPr>
          <w:p>
            <w:pPr>
              <w:ind w:left="180"/>
              <w:spacing w:after="0"/>
              <w:rPr>
                <w:sz w:val="20"/>
                <w:szCs w:val="20"/>
                <w:color w:val="auto"/>
              </w:rPr>
            </w:pPr>
            <w:r>
              <w:rPr>
                <w:rFonts w:ascii="Arial" w:cs="Arial" w:eastAsia="Arial" w:hAnsi="Arial"/>
                <w:sz w:val="18"/>
                <w:szCs w:val="18"/>
                <w:color w:val="auto"/>
              </w:rPr>
              <w:t>NEA 16 GP, LLC</w:t>
            </w:r>
          </w:p>
        </w:tc>
      </w:tr>
      <w:tr>
        <w:trPr>
          <w:trHeight w:val="230"/>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60" w:type="dxa"/>
            <w:vAlign w:val="bottom"/>
            <w:gridSpan w:val="3"/>
          </w:tcPr>
          <w:p>
            <w:pPr>
              <w:ind w:left="180"/>
              <w:spacing w:after="0"/>
              <w:rPr>
                <w:sz w:val="20"/>
                <w:szCs w:val="20"/>
                <w:color w:val="auto"/>
              </w:rPr>
            </w:pPr>
            <w:r>
              <w:rPr>
                <w:rFonts w:ascii="Arial" w:cs="Arial" w:eastAsia="Arial" w:hAnsi="Arial"/>
                <w:sz w:val="18"/>
                <w:szCs w:val="18"/>
                <w:color w:val="auto"/>
              </w:rPr>
              <w:t>General Partner</w:t>
            </w:r>
          </w:p>
        </w:tc>
      </w:tr>
      <w:tr>
        <w:trPr>
          <w:trHeight w:val="608"/>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By:</w:t>
            </w:r>
          </w:p>
        </w:tc>
        <w:tc>
          <w:tcPr>
            <w:tcW w:w="4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1570"/>
              <w:spacing w:after="0"/>
              <w:rPr>
                <w:sz w:val="20"/>
                <w:szCs w:val="20"/>
                <w:color w:val="auto"/>
              </w:rPr>
            </w:pPr>
            <w:r>
              <w:rPr>
                <w:rFonts w:ascii="Arial" w:cs="Arial" w:eastAsia="Arial" w:hAnsi="Arial"/>
                <w:sz w:val="18"/>
                <w:szCs w:val="18"/>
                <w:color w:val="auto"/>
              </w:rPr>
              <w:t>*</w:t>
            </w:r>
          </w:p>
        </w:tc>
      </w:tr>
    </w:tbl>
    <w:p>
      <w:pPr>
        <w:spacing w:after="0" w:line="13" w:lineRule="exact"/>
        <w:rPr>
          <w:sz w:val="20"/>
          <w:szCs w:val="20"/>
          <w:color w:val="auto"/>
        </w:rPr>
      </w:pPr>
    </w:p>
    <w:p>
      <w:pPr>
        <w:sectPr>
          <w:pgSz w:w="11900" w:h="16838" w:orient="portrait"/>
          <w:cols w:equalWidth="0" w:num="1">
            <w:col w:w="11420"/>
          </w:cols>
          <w:pgMar w:left="240" w:top="120" w:right="239" w:bottom="1440" w:gutter="0" w:footer="0" w:header="0"/>
        </w:sectPr>
      </w:pPr>
    </w:p>
    <w:p>
      <w:pPr>
        <w:ind w:left="1600"/>
        <w:spacing w:after="0"/>
        <w:rPr>
          <w:sz w:val="20"/>
          <w:szCs w:val="20"/>
          <w:color w:val="auto"/>
        </w:rPr>
      </w:pPr>
      <w:r>
        <w:rPr>
          <w:rFonts w:ascii="Arial" w:cs="Arial" w:eastAsia="Arial" w:hAnsi="Arial"/>
          <w:sz w:val="18"/>
          <w:szCs w:val="18"/>
          <w:color w:val="auto"/>
        </w:rPr>
        <w:t>Scott D. Sandell</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120" w:right="23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NEA PARTNERS 16, L.P.</w:t>
      </w:r>
    </w:p>
    <w:p>
      <w:pPr>
        <w:sectPr>
          <w:pgSz w:w="11900" w:h="16838" w:orient="portrait"/>
          <w:cols w:equalWidth="0" w:num="1">
            <w:col w:w="11420"/>
          </w:cols>
          <w:pgMar w:left="240" w:top="120" w:right="2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NEA 16 GP, LLC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General Partner</w:t>
      </w:r>
    </w:p>
    <w:p>
      <w:pPr>
        <w:spacing w:after="0" w:line="200" w:lineRule="exact"/>
        <w:rPr>
          <w:sz w:val="20"/>
          <w:szCs w:val="20"/>
          <w:color w:val="auto"/>
        </w:rPr>
      </w:pPr>
    </w:p>
    <w:p>
      <w:pPr>
        <w:sectPr>
          <w:pgSz w:w="11900" w:h="16838" w:orient="portrait"/>
          <w:cols w:equalWidth="0" w:num="2">
            <w:col w:w="260" w:space="400"/>
            <w:col w:w="10760"/>
          </w:cols>
          <w:pgMar w:left="240" w:top="120" w:right="239" w:bottom="1440" w:gutter="0" w:footer="0" w:header="0"/>
          <w:type w:val="continuous"/>
        </w:sectPr>
      </w:pPr>
    </w:p>
    <w:p>
      <w:pPr>
        <w:spacing w:after="0" w:line="238"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62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Scott D. Sandell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NEA 16 GP, LLC</w:t>
      </w:r>
    </w:p>
    <w:p>
      <w:pPr>
        <w:spacing w:after="0" w:line="225"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62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Scott D. Sandell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38"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Peter J. Barris</w:t>
      </w:r>
    </w:p>
    <w:p>
      <w:pPr>
        <w:spacing w:after="0" w:line="200" w:lineRule="exact"/>
        <w:rPr>
          <w:sz w:val="20"/>
          <w:szCs w:val="20"/>
          <w:color w:val="auto"/>
        </w:rPr>
      </w:pPr>
    </w:p>
    <w:p>
      <w:pPr>
        <w:spacing w:after="0" w:line="22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Forest Baskett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20" w:name="page21"/>
    <w:bookmarkEnd w:id="20"/>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55055L107</w:t>
            </w:r>
          </w:p>
        </w:tc>
        <w:tc>
          <w:tcPr>
            <w:tcW w:w="3800" w:type="dxa"/>
            <w:vAlign w:val="bottom"/>
            <w:tcBorders>
              <w:top w:val="single" w:sz="8" w:color="auto"/>
              <w:right w:val="single" w:sz="8" w:color="auto"/>
            </w:tcBorders>
          </w:tcPr>
          <w:p>
            <w:pPr>
              <w:ind w:left="172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8"/>
              </w:rPr>
              <w:t>Page 21 of 25 Pages</w:t>
            </w: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Ali Behbahani</w:t>
      </w:r>
    </w:p>
    <w:p>
      <w:pPr>
        <w:spacing w:after="0" w:line="200" w:lineRule="exact"/>
        <w:rPr>
          <w:sz w:val="20"/>
          <w:szCs w:val="20"/>
          <w:color w:val="auto"/>
        </w:rPr>
      </w:pPr>
    </w:p>
    <w:p>
      <w:pPr>
        <w:spacing w:after="0" w:line="22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Carmen Chang</w:t>
      </w:r>
    </w:p>
    <w:p>
      <w:pPr>
        <w:spacing w:after="0" w:line="200" w:lineRule="exact"/>
        <w:rPr>
          <w:sz w:val="20"/>
          <w:szCs w:val="20"/>
          <w:color w:val="auto"/>
        </w:rPr>
      </w:pPr>
    </w:p>
    <w:p>
      <w:pPr>
        <w:spacing w:after="0" w:line="22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Anthony A. Florence, Jr.</w:t>
      </w:r>
    </w:p>
    <w:p>
      <w:pPr>
        <w:spacing w:after="0" w:line="200" w:lineRule="exact"/>
        <w:rPr>
          <w:sz w:val="20"/>
          <w:szCs w:val="20"/>
          <w:color w:val="auto"/>
        </w:rPr>
      </w:pPr>
    </w:p>
    <w:p>
      <w:pPr>
        <w:spacing w:after="0" w:line="22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Mohamad H. Makhzoumi</w:t>
      </w:r>
    </w:p>
    <w:p>
      <w:pPr>
        <w:spacing w:after="0" w:line="200" w:lineRule="exact"/>
        <w:rPr>
          <w:sz w:val="20"/>
          <w:szCs w:val="20"/>
          <w:color w:val="auto"/>
        </w:rPr>
      </w:pPr>
    </w:p>
    <w:p>
      <w:pPr>
        <w:spacing w:after="0" w:line="227" w:lineRule="exact"/>
        <w:rPr>
          <w:sz w:val="20"/>
          <w:szCs w:val="20"/>
          <w:color w:val="auto"/>
        </w:rPr>
      </w:pPr>
    </w:p>
    <w:p>
      <w:pPr>
        <w:jc w:val="right"/>
        <w:ind w:right="10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jc w:val="right"/>
        <w:ind w:right="10180"/>
        <w:spacing w:after="0"/>
        <w:rPr>
          <w:sz w:val="20"/>
          <w:szCs w:val="20"/>
          <w:color w:val="auto"/>
        </w:rPr>
      </w:pPr>
      <w:r>
        <w:rPr>
          <w:rFonts w:ascii="Arial" w:cs="Arial" w:eastAsia="Arial" w:hAnsi="Arial"/>
          <w:sz w:val="16"/>
          <w:szCs w:val="16"/>
          <w:color w:val="auto"/>
        </w:rPr>
        <w:t>Joshua Makower</w:t>
      </w:r>
    </w:p>
    <w:p>
      <w:pPr>
        <w:spacing w:after="0" w:line="200" w:lineRule="exact"/>
        <w:rPr>
          <w:sz w:val="20"/>
          <w:szCs w:val="20"/>
          <w:color w:val="auto"/>
        </w:rPr>
      </w:pPr>
    </w:p>
    <w:p>
      <w:pPr>
        <w:spacing w:after="0" w:line="25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M. Mott</w:t>
      </w:r>
    </w:p>
    <w:p>
      <w:pPr>
        <w:spacing w:after="0" w:line="200" w:lineRule="exact"/>
        <w:rPr>
          <w:sz w:val="20"/>
          <w:szCs w:val="20"/>
          <w:color w:val="auto"/>
        </w:rPr>
      </w:pPr>
    </w:p>
    <w:p>
      <w:pPr>
        <w:spacing w:after="0" w:line="22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D. Sandell</w:t>
      </w:r>
    </w:p>
    <w:p>
      <w:pPr>
        <w:spacing w:after="0" w:line="200" w:lineRule="exact"/>
        <w:rPr>
          <w:sz w:val="20"/>
          <w:szCs w:val="20"/>
          <w:color w:val="auto"/>
        </w:rPr>
      </w:pPr>
    </w:p>
    <w:p>
      <w:pPr>
        <w:spacing w:after="0" w:line="22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Peter W. Sonsini</w:t>
      </w:r>
    </w:p>
    <w:p>
      <w:pPr>
        <w:spacing w:after="0" w:line="200" w:lineRule="exact"/>
        <w:rPr>
          <w:sz w:val="20"/>
          <w:szCs w:val="20"/>
          <w:color w:val="auto"/>
        </w:rPr>
      </w:pPr>
    </w:p>
    <w:p>
      <w:pPr>
        <w:spacing w:after="0" w:line="227" w:lineRule="exact"/>
        <w:rPr>
          <w:sz w:val="20"/>
          <w:szCs w:val="20"/>
          <w:color w:val="auto"/>
        </w:rPr>
      </w:pPr>
    </w:p>
    <w:p>
      <w:pPr>
        <w:jc w:val="right"/>
        <w:ind w:right="10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jc w:val="right"/>
        <w:ind w:right="10100"/>
        <w:spacing w:after="0"/>
        <w:rPr>
          <w:sz w:val="20"/>
          <w:szCs w:val="20"/>
          <w:color w:val="auto"/>
        </w:rPr>
      </w:pPr>
      <w:r>
        <w:rPr>
          <w:rFonts w:ascii="Arial" w:cs="Arial" w:eastAsia="Arial" w:hAnsi="Arial"/>
          <w:sz w:val="16"/>
          <w:szCs w:val="16"/>
          <w:color w:val="auto"/>
        </w:rPr>
        <w:t>Ravi Viswanathan</w:t>
      </w:r>
    </w:p>
    <w:p>
      <w:pPr>
        <w:spacing w:after="0" w:line="200" w:lineRule="exact"/>
        <w:rPr>
          <w:sz w:val="20"/>
          <w:szCs w:val="20"/>
          <w:color w:val="auto"/>
        </w:rPr>
      </w:pPr>
    </w:p>
    <w:p>
      <w:pPr>
        <w:spacing w:after="0" w:line="25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Paul Walker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Sasha O. Keough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2837180</wp:posOffset>
            </wp:positionH>
            <wp:positionV relativeFrom="paragraph">
              <wp:posOffset>-10160</wp:posOffset>
            </wp:positionV>
            <wp:extent cx="14192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19225" cy="8890"/>
                    </a:xfrm>
                    <a:prstGeom prst="rect">
                      <a:avLst/>
                    </a:prstGeom>
                    <a:noFill/>
                  </pic:spPr>
                </pic:pic>
              </a:graphicData>
            </a:graphic>
          </wp:anchor>
        </w:drawing>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Sasha O. Keough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attorney-in-fact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Schedule 13D was executed by Sasha O. Keough on behalf of the individuals listed above pursuant to a Power of Attorney a copy of which is attached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55055L107</w:t>
            </w:r>
          </w:p>
        </w:tc>
        <w:tc>
          <w:tcPr>
            <w:tcW w:w="3800" w:type="dxa"/>
            <w:vAlign w:val="bottom"/>
            <w:tcBorders>
              <w:top w:val="single" w:sz="8" w:color="auto"/>
              <w:right w:val="single" w:sz="8" w:color="auto"/>
            </w:tcBorders>
          </w:tcPr>
          <w:p>
            <w:pPr>
              <w:ind w:left="172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8"/>
              </w:rPr>
              <w:t>Page 22 of 25 Pages</w:t>
            </w: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Pursuant to Rule 13d-1(k)(1) under the Securities Exchange Act of 1934, the undersigned hereby agree that only one statement containing the information required by Schedule 13D need be filed with respect to the ownership by each of the undersigned of shares of stock of Marker Therapeutics,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EXECUTED this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October, 2018.</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NEW ENTERPRISE ASSOCIATES 16,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gridSpan w:val="4"/>
          </w:tcPr>
          <w:p>
            <w:pPr>
              <w:ind w:left="200"/>
              <w:spacing w:after="0"/>
              <w:rPr>
                <w:sz w:val="20"/>
                <w:szCs w:val="20"/>
                <w:color w:val="auto"/>
              </w:rPr>
            </w:pPr>
            <w:r>
              <w:rPr>
                <w:rFonts w:ascii="Arial" w:cs="Arial" w:eastAsia="Arial" w:hAnsi="Arial"/>
                <w:sz w:val="18"/>
                <w:szCs w:val="18"/>
                <w:color w:val="auto"/>
              </w:rPr>
              <w:t>NEA PARTNERS 16, L.P.</w:t>
            </w:r>
          </w:p>
        </w:tc>
      </w:tr>
      <w:tr>
        <w:trPr>
          <w:trHeight w:val="230"/>
        </w:trPr>
        <w:tc>
          <w:tcPr>
            <w:tcW w:w="460" w:type="dxa"/>
            <w:vAlign w:val="bottom"/>
          </w:tcPr>
          <w:p>
            <w:pPr>
              <w:spacing w:after="0"/>
              <w:rPr>
                <w:sz w:val="20"/>
                <w:szCs w:val="20"/>
                <w:color w:val="auto"/>
              </w:rPr>
            </w:pPr>
          </w:p>
        </w:tc>
        <w:tc>
          <w:tcPr>
            <w:tcW w:w="1600" w:type="dxa"/>
            <w:vAlign w:val="bottom"/>
            <w:gridSpan w:val="3"/>
          </w:tcPr>
          <w:p>
            <w:pPr>
              <w:ind w:left="200"/>
              <w:spacing w:after="0"/>
              <w:rPr>
                <w:sz w:val="20"/>
                <w:szCs w:val="20"/>
                <w:color w:val="auto"/>
              </w:rPr>
            </w:pPr>
            <w:r>
              <w:rPr>
                <w:rFonts w:ascii="Arial" w:cs="Arial" w:eastAsia="Arial" w:hAnsi="Arial"/>
                <w:sz w:val="18"/>
                <w:szCs w:val="18"/>
                <w:color w:val="auto"/>
              </w:rPr>
              <w:t>General Partner</w:t>
            </w:r>
          </w:p>
        </w:tc>
        <w:tc>
          <w:tcPr>
            <w:tcW w:w="2020" w:type="dxa"/>
            <w:vAlign w:val="bottom"/>
          </w:tcPr>
          <w:p>
            <w:pPr>
              <w:spacing w:after="0"/>
              <w:rPr>
                <w:sz w:val="20"/>
                <w:szCs w:val="20"/>
                <w:color w:val="auto"/>
              </w:rPr>
            </w:pPr>
          </w:p>
        </w:tc>
      </w:tr>
      <w:tr>
        <w:trPr>
          <w:trHeight w:val="418"/>
        </w:trPr>
        <w:tc>
          <w:tcPr>
            <w:tcW w:w="460" w:type="dxa"/>
            <w:vAlign w:val="bottom"/>
          </w:tcPr>
          <w:p>
            <w:pPr>
              <w:spacing w:after="0"/>
              <w:rPr>
                <w:sz w:val="24"/>
                <w:szCs w:val="24"/>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By:</w:t>
            </w:r>
          </w:p>
        </w:tc>
        <w:tc>
          <w:tcPr>
            <w:tcW w:w="2960" w:type="dxa"/>
            <w:vAlign w:val="bottom"/>
            <w:gridSpan w:val="3"/>
          </w:tcPr>
          <w:p>
            <w:pPr>
              <w:ind w:left="180"/>
              <w:spacing w:after="0"/>
              <w:rPr>
                <w:sz w:val="20"/>
                <w:szCs w:val="20"/>
                <w:color w:val="auto"/>
              </w:rPr>
            </w:pPr>
            <w:r>
              <w:rPr>
                <w:rFonts w:ascii="Arial" w:cs="Arial" w:eastAsia="Arial" w:hAnsi="Arial"/>
                <w:sz w:val="18"/>
                <w:szCs w:val="18"/>
                <w:color w:val="auto"/>
              </w:rPr>
              <w:t>NEA 16 GP, LLC</w:t>
            </w:r>
          </w:p>
        </w:tc>
      </w:tr>
      <w:tr>
        <w:trPr>
          <w:trHeight w:val="230"/>
        </w:trPr>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60" w:type="dxa"/>
            <w:vAlign w:val="bottom"/>
            <w:gridSpan w:val="3"/>
          </w:tcPr>
          <w:p>
            <w:pPr>
              <w:ind w:left="180"/>
              <w:spacing w:after="0"/>
              <w:rPr>
                <w:sz w:val="20"/>
                <w:szCs w:val="20"/>
                <w:color w:val="auto"/>
              </w:rPr>
            </w:pPr>
            <w:r>
              <w:rPr>
                <w:rFonts w:ascii="Arial" w:cs="Arial" w:eastAsia="Arial" w:hAnsi="Arial"/>
                <w:sz w:val="18"/>
                <w:szCs w:val="18"/>
                <w:color w:val="auto"/>
              </w:rPr>
              <w:t>General Partner</w:t>
            </w:r>
          </w:p>
        </w:tc>
      </w:tr>
      <w:tr>
        <w:trPr>
          <w:trHeight w:val="608"/>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By:</w:t>
            </w:r>
          </w:p>
        </w:tc>
        <w:tc>
          <w:tcPr>
            <w:tcW w:w="4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1570"/>
              <w:spacing w:after="0"/>
              <w:rPr>
                <w:sz w:val="20"/>
                <w:szCs w:val="20"/>
                <w:color w:val="auto"/>
              </w:rPr>
            </w:pPr>
            <w:r>
              <w:rPr>
                <w:rFonts w:ascii="Arial" w:cs="Arial" w:eastAsia="Arial" w:hAnsi="Arial"/>
                <w:sz w:val="18"/>
                <w:szCs w:val="18"/>
                <w:color w:val="auto"/>
              </w:rPr>
              <w:t>*</w:t>
            </w:r>
          </w:p>
        </w:tc>
      </w:tr>
    </w:tbl>
    <w:p>
      <w:pPr>
        <w:spacing w:after="0" w:line="13" w:lineRule="exact"/>
        <w:rPr>
          <w:sz w:val="20"/>
          <w:szCs w:val="20"/>
          <w:color w:val="auto"/>
        </w:rPr>
      </w:pPr>
    </w:p>
    <w:p>
      <w:pPr>
        <w:sectPr>
          <w:pgSz w:w="11900" w:h="16838" w:orient="portrait"/>
          <w:cols w:equalWidth="0" w:num="1">
            <w:col w:w="11420"/>
          </w:cols>
          <w:pgMar w:left="240" w:top="120" w:right="239" w:bottom="1440" w:gutter="0" w:footer="0" w:header="0"/>
        </w:sectPr>
      </w:pPr>
    </w:p>
    <w:p>
      <w:pPr>
        <w:ind w:left="1600"/>
        <w:spacing w:after="0"/>
        <w:rPr>
          <w:sz w:val="20"/>
          <w:szCs w:val="20"/>
          <w:color w:val="auto"/>
        </w:rPr>
      </w:pPr>
      <w:r>
        <w:rPr>
          <w:rFonts w:ascii="Arial" w:cs="Arial" w:eastAsia="Arial" w:hAnsi="Arial"/>
          <w:sz w:val="18"/>
          <w:szCs w:val="18"/>
          <w:color w:val="auto"/>
        </w:rPr>
        <w:t>Scott D. Sandell</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120" w:right="23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NEA PARTNERS 16, L.P.</w:t>
      </w:r>
    </w:p>
    <w:p>
      <w:pPr>
        <w:sectPr>
          <w:pgSz w:w="11900" w:h="16838" w:orient="portrait"/>
          <w:cols w:equalWidth="0" w:num="1">
            <w:col w:w="11420"/>
          </w:cols>
          <w:pgMar w:left="240" w:top="120" w:right="2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NEA 16 GP, LLC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General Partner</w:t>
      </w:r>
    </w:p>
    <w:p>
      <w:pPr>
        <w:spacing w:after="0" w:line="200" w:lineRule="exact"/>
        <w:rPr>
          <w:sz w:val="20"/>
          <w:szCs w:val="20"/>
          <w:color w:val="auto"/>
        </w:rPr>
      </w:pPr>
    </w:p>
    <w:p>
      <w:pPr>
        <w:sectPr>
          <w:pgSz w:w="11900" w:h="16838" w:orient="portrait"/>
          <w:cols w:equalWidth="0" w:num="2">
            <w:col w:w="260" w:space="400"/>
            <w:col w:w="10760"/>
          </w:cols>
          <w:pgMar w:left="240" w:top="120" w:right="239" w:bottom="1440" w:gutter="0" w:footer="0" w:header="0"/>
          <w:type w:val="continuous"/>
        </w:sectPr>
      </w:pPr>
    </w:p>
    <w:p>
      <w:pPr>
        <w:spacing w:after="0" w:line="238"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62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Scott D. Sandell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NEA 16 GP, LLC</w:t>
      </w:r>
    </w:p>
    <w:p>
      <w:pPr>
        <w:spacing w:after="0" w:line="225"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-10160</wp:posOffset>
            </wp:positionV>
            <wp:extent cx="162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Scott D. Sandell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38"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Peter J. Barris</w:t>
      </w:r>
    </w:p>
    <w:p>
      <w:pPr>
        <w:spacing w:after="0" w:line="200" w:lineRule="exact"/>
        <w:rPr>
          <w:sz w:val="20"/>
          <w:szCs w:val="20"/>
          <w:color w:val="auto"/>
        </w:rPr>
      </w:pPr>
    </w:p>
    <w:p>
      <w:pPr>
        <w:spacing w:after="0" w:line="22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Forest Baskett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22" w:name="page23"/>
    <w:bookmarkEnd w:id="22"/>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55055L107</w:t>
            </w:r>
          </w:p>
        </w:tc>
        <w:tc>
          <w:tcPr>
            <w:tcW w:w="3800" w:type="dxa"/>
            <w:vAlign w:val="bottom"/>
            <w:tcBorders>
              <w:top w:val="single" w:sz="8" w:color="auto"/>
              <w:right w:val="single" w:sz="8" w:color="auto"/>
            </w:tcBorders>
          </w:tcPr>
          <w:p>
            <w:pPr>
              <w:ind w:left="172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8"/>
              </w:rPr>
              <w:t>Page 23 of 25 Pages</w:t>
            </w: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Ali Behbahani</w:t>
      </w:r>
    </w:p>
    <w:p>
      <w:pPr>
        <w:spacing w:after="0" w:line="200" w:lineRule="exact"/>
        <w:rPr>
          <w:sz w:val="20"/>
          <w:szCs w:val="20"/>
          <w:color w:val="auto"/>
        </w:rPr>
      </w:pPr>
    </w:p>
    <w:p>
      <w:pPr>
        <w:spacing w:after="0" w:line="22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Carmen Chang</w:t>
      </w:r>
    </w:p>
    <w:p>
      <w:pPr>
        <w:spacing w:after="0" w:line="200" w:lineRule="exact"/>
        <w:rPr>
          <w:sz w:val="20"/>
          <w:szCs w:val="20"/>
          <w:color w:val="auto"/>
        </w:rPr>
      </w:pPr>
    </w:p>
    <w:p>
      <w:pPr>
        <w:spacing w:after="0" w:line="22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Anthony A. Florence, Jr.</w:t>
      </w:r>
    </w:p>
    <w:p>
      <w:pPr>
        <w:spacing w:after="0" w:line="200" w:lineRule="exact"/>
        <w:rPr>
          <w:sz w:val="20"/>
          <w:szCs w:val="20"/>
          <w:color w:val="auto"/>
        </w:rPr>
      </w:pPr>
    </w:p>
    <w:p>
      <w:pPr>
        <w:spacing w:after="0" w:line="22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Mohamad H. Makhzoumi</w:t>
      </w:r>
    </w:p>
    <w:p>
      <w:pPr>
        <w:spacing w:after="0" w:line="200" w:lineRule="exact"/>
        <w:rPr>
          <w:sz w:val="20"/>
          <w:szCs w:val="20"/>
          <w:color w:val="auto"/>
        </w:rPr>
      </w:pPr>
    </w:p>
    <w:p>
      <w:pPr>
        <w:spacing w:after="0" w:line="227" w:lineRule="exact"/>
        <w:rPr>
          <w:sz w:val="20"/>
          <w:szCs w:val="20"/>
          <w:color w:val="auto"/>
        </w:rPr>
      </w:pPr>
    </w:p>
    <w:p>
      <w:pPr>
        <w:jc w:val="right"/>
        <w:ind w:right="10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jc w:val="right"/>
        <w:ind w:right="10180"/>
        <w:spacing w:after="0"/>
        <w:rPr>
          <w:sz w:val="20"/>
          <w:szCs w:val="20"/>
          <w:color w:val="auto"/>
        </w:rPr>
      </w:pPr>
      <w:r>
        <w:rPr>
          <w:rFonts w:ascii="Arial" w:cs="Arial" w:eastAsia="Arial" w:hAnsi="Arial"/>
          <w:sz w:val="16"/>
          <w:szCs w:val="16"/>
          <w:color w:val="auto"/>
        </w:rPr>
        <w:t>Joshua Makower</w:t>
      </w:r>
    </w:p>
    <w:p>
      <w:pPr>
        <w:spacing w:after="0" w:line="200" w:lineRule="exact"/>
        <w:rPr>
          <w:sz w:val="20"/>
          <w:szCs w:val="20"/>
          <w:color w:val="auto"/>
        </w:rPr>
      </w:pPr>
    </w:p>
    <w:p>
      <w:pPr>
        <w:spacing w:after="0" w:line="25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M. Mott</w:t>
      </w:r>
    </w:p>
    <w:p>
      <w:pPr>
        <w:spacing w:after="0" w:line="200" w:lineRule="exact"/>
        <w:rPr>
          <w:sz w:val="20"/>
          <w:szCs w:val="20"/>
          <w:color w:val="auto"/>
        </w:rPr>
      </w:pPr>
    </w:p>
    <w:p>
      <w:pPr>
        <w:spacing w:after="0" w:line="22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Scott D. Sandell</w:t>
      </w:r>
    </w:p>
    <w:p>
      <w:pPr>
        <w:spacing w:after="0" w:line="200" w:lineRule="exact"/>
        <w:rPr>
          <w:sz w:val="20"/>
          <w:szCs w:val="20"/>
          <w:color w:val="auto"/>
        </w:rPr>
      </w:pPr>
    </w:p>
    <w:p>
      <w:pPr>
        <w:spacing w:after="0" w:line="227"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Peter W. Sonsini</w:t>
      </w:r>
    </w:p>
    <w:p>
      <w:pPr>
        <w:spacing w:after="0" w:line="200" w:lineRule="exact"/>
        <w:rPr>
          <w:sz w:val="20"/>
          <w:szCs w:val="20"/>
          <w:color w:val="auto"/>
        </w:rPr>
      </w:pPr>
    </w:p>
    <w:p>
      <w:pPr>
        <w:spacing w:after="0" w:line="227" w:lineRule="exact"/>
        <w:rPr>
          <w:sz w:val="20"/>
          <w:szCs w:val="20"/>
          <w:color w:val="auto"/>
        </w:rPr>
      </w:pPr>
    </w:p>
    <w:p>
      <w:pPr>
        <w:jc w:val="right"/>
        <w:ind w:right="10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jc w:val="right"/>
        <w:ind w:right="10100"/>
        <w:spacing w:after="0"/>
        <w:rPr>
          <w:sz w:val="20"/>
          <w:szCs w:val="20"/>
          <w:color w:val="auto"/>
        </w:rPr>
      </w:pPr>
      <w:r>
        <w:rPr>
          <w:rFonts w:ascii="Arial" w:cs="Arial" w:eastAsia="Arial" w:hAnsi="Arial"/>
          <w:sz w:val="16"/>
          <w:szCs w:val="16"/>
          <w:color w:val="auto"/>
        </w:rPr>
        <w:t>Ravi Viswanathan</w:t>
      </w:r>
    </w:p>
    <w:p>
      <w:pPr>
        <w:spacing w:after="0" w:line="200" w:lineRule="exact"/>
        <w:rPr>
          <w:sz w:val="20"/>
          <w:szCs w:val="20"/>
          <w:color w:val="auto"/>
        </w:rPr>
      </w:pPr>
    </w:p>
    <w:p>
      <w:pPr>
        <w:spacing w:after="0" w:line="25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573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Paul Walker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Sasha O. Keough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2837180</wp:posOffset>
            </wp:positionH>
            <wp:positionV relativeFrom="paragraph">
              <wp:posOffset>-10160</wp:posOffset>
            </wp:positionV>
            <wp:extent cx="14192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19225" cy="8890"/>
                    </a:xfrm>
                    <a:prstGeom prst="rect">
                      <a:avLst/>
                    </a:prstGeom>
                    <a:noFill/>
                  </pic:spPr>
                </pic:pic>
              </a:graphicData>
            </a:graphic>
          </wp:anchor>
        </w:drawing>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Sasha O. Keough</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As attorney-in-fact</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Agreement relating to Schedule 13D was executed by Sasha O. Keough on behalf of the individuals listed above pursuant to a Power of Attorney a copy of which is attached hereto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284"/>
        </w:trPr>
        <w:tc>
          <w:tcPr>
            <w:tcW w:w="384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CUSIP No.   55055L107</w:t>
            </w:r>
          </w:p>
        </w:tc>
        <w:tc>
          <w:tcPr>
            <w:tcW w:w="3800" w:type="dxa"/>
            <w:vAlign w:val="bottom"/>
            <w:tcBorders>
              <w:top w:val="single" w:sz="8" w:color="auto"/>
              <w:right w:val="single" w:sz="8" w:color="auto"/>
            </w:tcBorders>
          </w:tcPr>
          <w:p>
            <w:pPr>
              <w:ind w:left="1720"/>
              <w:spacing w:after="0"/>
              <w:rPr>
                <w:sz w:val="20"/>
                <w:szCs w:val="20"/>
                <w:color w:val="auto"/>
              </w:rPr>
            </w:pPr>
            <w:r>
              <w:rPr>
                <w:rFonts w:ascii="Arial" w:cs="Arial" w:eastAsia="Arial" w:hAnsi="Arial"/>
                <w:sz w:val="18"/>
                <w:szCs w:val="18"/>
                <w:b w:val="1"/>
                <w:bCs w:val="1"/>
                <w:color w:val="auto"/>
              </w:rPr>
              <w:t>13D</w:t>
            </w:r>
          </w:p>
        </w:tc>
        <w:tc>
          <w:tcPr>
            <w:tcW w:w="3780" w:type="dxa"/>
            <w:vAlign w:val="bottom"/>
            <w:tcBorders>
              <w:top w:val="single" w:sz="8" w:color="auto"/>
              <w:right w:val="single" w:sz="8" w:color="auto"/>
            </w:tcBorders>
          </w:tcPr>
          <w:p>
            <w:pPr>
              <w:ind w:left="2040"/>
              <w:spacing w:after="0"/>
              <w:rPr>
                <w:sz w:val="20"/>
                <w:szCs w:val="20"/>
                <w:color w:val="auto"/>
              </w:rPr>
            </w:pPr>
            <w:r>
              <w:rPr>
                <w:rFonts w:ascii="Arial" w:cs="Arial" w:eastAsia="Arial" w:hAnsi="Arial"/>
                <w:sz w:val="18"/>
                <w:szCs w:val="18"/>
                <w:b w:val="1"/>
                <w:bCs w:val="1"/>
                <w:color w:val="auto"/>
                <w:w w:val="98"/>
              </w:rPr>
              <w:t>Page 24 of 25 Pages</w:t>
            </w: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EXHIBIT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KNOW ALL MEN BY THESE PRESENTS, that the undersigned hereby constitutes and appoints Louis S. Citron, Timothy Schaller, Sasha Keough and Stephanie Brecher, and each of them, with full power to act without the others, his or her true and lawful attorney-in-fact, with full power of substitution, to sign any and all instruments, certificates and documents that may be necessary, desirable or appropriate to be executed on behalf of himself as an individual or in his or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or she might or could do in person, thereby ratifying and confirming all that said attorney-in-fact, or his or her substitutes, may lawfully do or cause to be done by virtue hereof.</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Power of Attorney has been signed as of the 13th day of March, 2017.</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M. James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-10160</wp:posOffset>
            </wp:positionV>
            <wp:extent cx="18351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 James Barrett</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Peter J. Barris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-10160</wp:posOffset>
            </wp:positionV>
            <wp:extent cx="18669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669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Peter J. Barris</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Forest Baskett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-10160</wp:posOffset>
            </wp:positionV>
            <wp:extent cx="18224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245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Forest Baskett</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Ali Behbahani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-10160</wp:posOffset>
            </wp:positionV>
            <wp:extent cx="18573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Ali Behbahani</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Colin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-10160</wp:posOffset>
            </wp:positionV>
            <wp:extent cx="18446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4467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Colin Bryant</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Carmen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-10160</wp:posOffset>
            </wp:positionV>
            <wp:extent cx="18542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542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Carmen Chang</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Anthony A. Florence,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-10160</wp:posOffset>
            </wp:positionV>
            <wp:extent cx="17811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117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Anthony A. Florence, Jr.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Carol G.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-10160</wp:posOffset>
            </wp:positionV>
            <wp:extent cx="18662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6626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Carol G. Gallagher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Dayna Grayson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-10160</wp:posOffset>
            </wp:positionV>
            <wp:extent cx="18224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2245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Dayna Grayson</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 Patrick J. Kerins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-10160</wp:posOffset>
            </wp:positionV>
            <wp:extent cx="18669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669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Patrick J. Kerins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24" w:name="page25"/>
    <w:bookmarkEnd w:id="24"/>
    <w:p>
      <w:pPr>
        <w:spacing w:after="0"/>
        <w:tabs>
          <w:tab w:leader="none" w:pos="1060" w:val="left"/>
          <w:tab w:leader="none" w:pos="5460" w:val="left"/>
          <w:tab w:leader="none" w:pos="95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4080" cy="2228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4080" cy="222885"/>
                    </a:xfrm>
                    <a:prstGeom prst="rect">
                      <a:avLst/>
                    </a:prstGeom>
                    <a:noFill/>
                  </pic:spPr>
                </pic:pic>
              </a:graphicData>
            </a:graphic>
          </wp:anchor>
        </w:drawing>
        <w:t>CUSIP No.</w:t>
        <w:tab/>
        <w:t>55055L107</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25 of 25 Pages</w:t>
      </w:r>
    </w:p>
    <w:p>
      <w:pPr>
        <w:sectPr>
          <w:pgSz w:w="11900" w:h="16838" w:orient="portrait"/>
          <w:cols w:equalWidth="0" w:num="1">
            <w:col w:w="11100"/>
          </w:cols>
          <w:pgMar w:left="320" w:top="18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P. Justin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-10160</wp:posOffset>
            </wp:positionV>
            <wp:extent cx="18510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51025" cy="8890"/>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P. Justin Klein</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Vanessa Larco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-10160</wp:posOffset>
            </wp:positionV>
            <wp:extent cx="18281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28165" cy="8890"/>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Vanessa Larco</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Joshua Makower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-10160</wp:posOffset>
            </wp:positionV>
            <wp:extent cx="18288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28800" cy="8890"/>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Joshua Makower</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/s/ Mohamad H. Makhzoumi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3810</wp:posOffset>
            </wp:positionV>
            <wp:extent cx="18065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06575" cy="8890"/>
                    </a:xfrm>
                    <a:prstGeom prst="rect">
                      <a:avLst/>
                    </a:prstGeom>
                    <a:noFill/>
                  </pic:spPr>
                </pic:pic>
              </a:graphicData>
            </a:graphic>
          </wp:anchor>
        </w:drawing>
      </w:r>
    </w:p>
    <w:p>
      <w:pPr>
        <w:spacing w:after="0" w:line="26"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Mohamad H. Makhzoumi</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Edward T. 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-10160</wp:posOffset>
            </wp:positionV>
            <wp:extent cx="18135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13560" cy="8890"/>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Edward T. Mathers</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David M. 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-10160</wp:posOffset>
            </wp:positionV>
            <wp:extent cx="18256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David M. Mott</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Sara M. Nayeem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-10160</wp:posOffset>
            </wp:positionV>
            <wp:extent cx="18510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51025" cy="8890"/>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Sara M. Nayeem</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Jason R. Nunn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-10160</wp:posOffset>
            </wp:positionV>
            <wp:extent cx="18351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Jason R. Nunn</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/s/ Gregory Papadopoulos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-3175</wp:posOffset>
            </wp:positionV>
            <wp:extent cx="17875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87525" cy="8890"/>
                    </a:xfrm>
                    <a:prstGeom prst="rect">
                      <a:avLst/>
                    </a:prstGeom>
                    <a:noFill/>
                  </pic:spPr>
                </pic:pic>
              </a:graphicData>
            </a:graphic>
          </wp:anchor>
        </w:drawing>
      </w:r>
    </w:p>
    <w:p>
      <w:pPr>
        <w:spacing w:after="0" w:line="15"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Gregory Papadopoulos</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Chetan Puttagunta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-10160</wp:posOffset>
            </wp:positionV>
            <wp:extent cx="18065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06575" cy="8890"/>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Chetan Puttagunta</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Jon Sakoda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-10160</wp:posOffset>
            </wp:positionV>
            <wp:extent cx="18319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31975" cy="8890"/>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Jon Sakoda</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Scott D. Sandell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-10160</wp:posOffset>
            </wp:positionV>
            <wp:extent cx="18256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Scott D. Sandell</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A. Brooke Seawell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-10160</wp:posOffset>
            </wp:positionV>
            <wp:extent cx="18605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60550" cy="8890"/>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 Brooke Seawell</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Peter W. Sonsini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-10160</wp:posOffset>
            </wp:positionV>
            <wp:extent cx="18116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11655" cy="8890"/>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Peter W. Sonsini</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Melissa Taunton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-10160</wp:posOffset>
            </wp:positionV>
            <wp:extent cx="17792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79270" cy="8890"/>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Melissa Taunton</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Frank M. Torti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-10160</wp:posOffset>
            </wp:positionV>
            <wp:extent cx="18395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39595" cy="8890"/>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Frank M. Torti</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Ravi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-10160</wp:posOffset>
            </wp:positionV>
            <wp:extent cx="18281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28165" cy="8890"/>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Ravi Viswanathan</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Paul E.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-10160</wp:posOffset>
            </wp:positionV>
            <wp:extent cx="18510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51025" cy="8890"/>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Paul E. Walker</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 Rick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-10160</wp:posOffset>
            </wp:positionV>
            <wp:extent cx="18745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74520" cy="8890"/>
                    </a:xfrm>
                    <a:prstGeom prst="rect">
                      <a:avLst/>
                    </a:prstGeom>
                    <a:noFill/>
                  </pic:spPr>
                </pic:pic>
              </a:graphicData>
            </a:graphic>
          </wp:anchor>
        </w:drawing>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Rick Yang</w:t>
      </w:r>
    </w:p>
    <w:sectPr>
      <w:pgSz w:w="11900" w:h="16838" w:orient="portrait"/>
      <w:cols w:equalWidth="0" w:num="1">
        <w:col w:w="11100"/>
      </w:cols>
      <w:pgMar w:left="320" w:top="189"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bullet"/>
      <w:start w:val="1"/>
    </w:lvl>
  </w:abstractNum>
  <w:abstractNum w:abstractNumId="1">
    <w:nsid w:val="54E49EB4"/>
    <w:multiLevelType w:val="hybridMultilevel"/>
    <w:lvl w:ilvl="0">
      <w:lvlJc w:val="left"/>
      <w:lvlText w:val="4"/>
      <w:numFmt w:val="bullet"/>
      <w:start w:val="1"/>
    </w:lvl>
  </w:abstractNum>
  <w:abstractNum w:abstractNumId="2">
    <w:nsid w:val="71F32454"/>
    <w:multiLevelType w:val="hybridMultilevel"/>
    <w:lvl w:ilvl="0">
      <w:lvlJc w:val="left"/>
      <w:lvlText w:val="6"/>
      <w:numFmt w:val="bullet"/>
      <w:start w:val="1"/>
    </w:lvl>
  </w:abstractNum>
  <w:abstractNum w:abstractNumId="3">
    <w:nsid w:val="2CA88611"/>
    <w:multiLevelType w:val="hybridMultilevel"/>
    <w:lvl w:ilvl="0">
      <w:lvlJc w:val="left"/>
      <w:lvlText w:val="1"/>
      <w:numFmt w:val="bullet"/>
      <w:start w:val="1"/>
    </w:lvl>
  </w:abstractNum>
  <w:abstractNum w:abstractNumId="4">
    <w:nsid w:val="836C40E"/>
    <w:multiLevelType w:val="hybridMultilevel"/>
    <w:lvl w:ilvl="0">
      <w:lvlJc w:val="left"/>
      <w:lvlText w:val="4"/>
      <w:numFmt w:val="bullet"/>
      <w:start w:val="1"/>
    </w:lvl>
  </w:abstractNum>
  <w:abstractNum w:abstractNumId="5">
    <w:nsid w:val="2901D82"/>
    <w:multiLevelType w:val="hybridMultilevel"/>
    <w:lvl w:ilvl="0">
      <w:lvlJc w:val="left"/>
      <w:lvlText w:val="6"/>
      <w:numFmt w:val="bullet"/>
      <w:start w:val="1"/>
    </w:lvl>
  </w:abstractNum>
  <w:abstractNum w:abstractNumId="6">
    <w:nsid w:val="3A95F874"/>
    <w:multiLevelType w:val="hybridMultilevel"/>
    <w:lvl w:ilvl="0">
      <w:lvlJc w:val="left"/>
      <w:lvlText w:val="1"/>
      <w:numFmt w:val="bullet"/>
      <w:start w:val="1"/>
    </w:lvl>
  </w:abstractNum>
  <w:abstractNum w:abstractNumId="7">
    <w:nsid w:val="8138641"/>
    <w:multiLevelType w:val="hybridMultilevel"/>
    <w:lvl w:ilvl="0">
      <w:lvlJc w:val="left"/>
      <w:lvlText w:val="4"/>
      <w:numFmt w:val="bullet"/>
      <w:start w:val="1"/>
    </w:lvl>
  </w:abstractNum>
  <w:abstractNum w:abstractNumId="8">
    <w:nsid w:val="1E7FF521"/>
    <w:multiLevelType w:val="hybridMultilevel"/>
    <w:lvl w:ilvl="0">
      <w:lvlJc w:val="left"/>
      <w:lvlText w:val="6"/>
      <w:numFmt w:val="bullet"/>
      <w:start w:val="1"/>
    </w:lvl>
  </w:abstractNum>
  <w:abstractNum w:abstractNumId="9">
    <w:nsid w:val="7C3DBD3D"/>
    <w:multiLevelType w:val="hybridMultilevel"/>
    <w:lvl w:ilvl="0">
      <w:lvlJc w:val="left"/>
      <w:lvlText w:val="1"/>
      <w:numFmt w:val="bullet"/>
      <w:start w:val="1"/>
    </w:lvl>
  </w:abstractNum>
  <w:abstractNum w:abstractNumId="10">
    <w:nsid w:val="737B8DDC"/>
    <w:multiLevelType w:val="hybridMultilevel"/>
    <w:lvl w:ilvl="0">
      <w:lvlJc w:val="left"/>
      <w:lvlText w:val="4"/>
      <w:numFmt w:val="bullet"/>
      <w:start w:val="1"/>
    </w:lvl>
  </w:abstractNum>
  <w:abstractNum w:abstractNumId="11">
    <w:nsid w:val="6CEAF087"/>
    <w:multiLevelType w:val="hybridMultilevel"/>
    <w:lvl w:ilvl="0">
      <w:lvlJc w:val="left"/>
      <w:lvlText w:val="6"/>
      <w:numFmt w:val="bullet"/>
      <w:start w:val="1"/>
    </w:lvl>
  </w:abstractNum>
  <w:abstractNum w:abstractNumId="12">
    <w:nsid w:val="22221A70"/>
    <w:multiLevelType w:val="hybridMultilevel"/>
    <w:lvl w:ilvl="0">
      <w:lvlJc w:val="left"/>
      <w:lvlText w:val="1"/>
      <w:numFmt w:val="bullet"/>
      <w:start w:val="1"/>
    </w:lvl>
  </w:abstractNum>
  <w:abstractNum w:abstractNumId="13">
    <w:nsid w:val="4516DDE9"/>
    <w:multiLevelType w:val="hybridMultilevel"/>
    <w:lvl w:ilvl="0">
      <w:lvlJc w:val="left"/>
      <w:lvlText w:val="4"/>
      <w:numFmt w:val="bullet"/>
      <w:start w:val="1"/>
    </w:lvl>
  </w:abstractNum>
  <w:abstractNum w:abstractNumId="14">
    <w:nsid w:val="3006C83E"/>
    <w:multiLevelType w:val="hybridMultilevel"/>
    <w:lvl w:ilvl="0">
      <w:lvlJc w:val="left"/>
      <w:lvlText w:val="6"/>
      <w:numFmt w:val="bullet"/>
      <w:start w:val="1"/>
    </w:lvl>
  </w:abstractNum>
  <w:abstractNum w:abstractNumId="15">
    <w:nsid w:val="614FD4A1"/>
    <w:multiLevelType w:val="hybridMultilevel"/>
    <w:lvl w:ilvl="0">
      <w:lvlJc w:val="left"/>
      <w:lvlText w:val="1"/>
      <w:numFmt w:val="bullet"/>
      <w:start w:val="1"/>
    </w:lvl>
  </w:abstractNum>
  <w:abstractNum w:abstractNumId="16">
    <w:nsid w:val="419AC241"/>
    <w:multiLevelType w:val="hybridMultilevel"/>
    <w:lvl w:ilvl="0">
      <w:lvlJc w:val="left"/>
      <w:lvlText w:val="4"/>
      <w:numFmt w:val="bullet"/>
      <w:start w:val="1"/>
    </w:lvl>
  </w:abstractNum>
  <w:abstractNum w:abstractNumId="17">
    <w:nsid w:val="5577F8E1"/>
    <w:multiLevelType w:val="hybridMultilevel"/>
    <w:lvl w:ilvl="0">
      <w:lvlJc w:val="left"/>
      <w:lvlText w:val="6"/>
      <w:numFmt w:val="bullet"/>
      <w:start w:val="1"/>
    </w:lvl>
  </w:abstractNum>
  <w:abstractNum w:abstractNumId="18">
    <w:nsid w:val="440BADFC"/>
    <w:multiLevelType w:val="hybridMultilevel"/>
    <w:lvl w:ilvl="0">
      <w:lvlJc w:val="left"/>
      <w:lvlText w:val="1"/>
      <w:numFmt w:val="bullet"/>
      <w:start w:val="1"/>
    </w:lvl>
  </w:abstractNum>
  <w:abstractNum w:abstractNumId="19">
    <w:nsid w:val="5072367"/>
    <w:multiLevelType w:val="hybridMultilevel"/>
    <w:lvl w:ilvl="0">
      <w:lvlJc w:val="left"/>
      <w:lvlText w:val="4"/>
      <w:numFmt w:val="bullet"/>
      <w:start w:val="1"/>
    </w:lvl>
  </w:abstractNum>
  <w:abstractNum w:abstractNumId="20">
    <w:nsid w:val="3804823E"/>
    <w:multiLevelType w:val="hybridMultilevel"/>
    <w:lvl w:ilvl="0">
      <w:lvlJc w:val="left"/>
      <w:lvlText w:val="6"/>
      <w:numFmt w:val="bullet"/>
      <w:start w:val="1"/>
    </w:lvl>
  </w:abstractNum>
  <w:abstractNum w:abstractNumId="21">
    <w:nsid w:val="77465F01"/>
    <w:multiLevelType w:val="hybridMultilevel"/>
    <w:lvl w:ilvl="0">
      <w:lvlJc w:val="left"/>
      <w:lvlText w:val="1"/>
      <w:numFmt w:val="bullet"/>
      <w:start w:val="1"/>
    </w:lvl>
  </w:abstractNum>
  <w:abstractNum w:abstractNumId="22">
    <w:nsid w:val="7724C67E"/>
    <w:multiLevelType w:val="hybridMultilevel"/>
    <w:lvl w:ilvl="0">
      <w:lvlJc w:val="left"/>
      <w:lvlText w:val="4"/>
      <w:numFmt w:val="bullet"/>
      <w:start w:val="1"/>
    </w:lvl>
  </w:abstractNum>
  <w:abstractNum w:abstractNumId="23">
    <w:nsid w:val="5C482A97"/>
    <w:multiLevelType w:val="hybridMultilevel"/>
    <w:lvl w:ilvl="0">
      <w:lvlJc w:val="left"/>
      <w:lvlText w:val="6"/>
      <w:numFmt w:val="bullet"/>
      <w:start w:val="1"/>
    </w:lvl>
  </w:abstractNum>
  <w:abstractNum w:abstractNumId="24">
    <w:nsid w:val="2463B9EA"/>
    <w:multiLevelType w:val="hybridMultilevel"/>
    <w:lvl w:ilvl="0">
      <w:lvlJc w:val="left"/>
      <w:lvlText w:val="1"/>
      <w:numFmt w:val="bullet"/>
      <w:start w:val="1"/>
    </w:lvl>
  </w:abstractNum>
  <w:abstractNum w:abstractNumId="25">
    <w:nsid w:val="5E884ADC"/>
    <w:multiLevelType w:val="hybridMultilevel"/>
    <w:lvl w:ilvl="0">
      <w:lvlJc w:val="left"/>
      <w:lvlText w:val="4"/>
      <w:numFmt w:val="bullet"/>
      <w:start w:val="1"/>
    </w:lvl>
  </w:abstractNum>
  <w:abstractNum w:abstractNumId="26">
    <w:nsid w:val="51EAD36B"/>
    <w:multiLevelType w:val="hybridMultilevel"/>
    <w:lvl w:ilvl="0">
      <w:lvlJc w:val="left"/>
      <w:lvlText w:val="6"/>
      <w:numFmt w:val="bullet"/>
      <w:start w:val="1"/>
    </w:lvl>
  </w:abstractNum>
  <w:abstractNum w:abstractNumId="27">
    <w:nsid w:val="2D517796"/>
    <w:multiLevelType w:val="hybridMultilevel"/>
    <w:lvl w:ilvl="0">
      <w:lvlJc w:val="left"/>
      <w:lvlText w:val="7"/>
      <w:numFmt w:val="bullet"/>
      <w:start w:val="1"/>
    </w:lvl>
  </w:abstractNum>
  <w:abstractNum w:abstractNumId="28">
    <w:nsid w:val="580BD78F"/>
    <w:multiLevelType w:val="hybridMultilevel"/>
    <w:lvl w:ilvl="0">
      <w:lvlJc w:val="left"/>
      <w:lvlText w:val="8"/>
      <w:numFmt w:val="bullet"/>
      <w:start w:val="1"/>
    </w:lvl>
  </w:abstractNum>
  <w:abstractNum w:abstractNumId="29">
    <w:nsid w:val="153EA438"/>
    <w:multiLevelType w:val="hybridMultilevel"/>
    <w:lvl w:ilvl="0">
      <w:lvlJc w:val="left"/>
      <w:lvlText w:val="9"/>
      <w:numFmt w:val="bullet"/>
      <w:start w:val="1"/>
    </w:lvl>
  </w:abstractNum>
  <w:abstractNum w:abstractNumId="30">
    <w:nsid w:val="3855585C"/>
    <w:multiLevelType w:val="hybridMultilevel"/>
    <w:lvl w:ilvl="0">
      <w:lvlJc w:val="left"/>
      <w:lvlText w:val="1"/>
      <w:numFmt w:val="bullet"/>
      <w:start w:val="1"/>
    </w:lvl>
  </w:abstractNum>
  <w:abstractNum w:abstractNumId="31">
    <w:nsid w:val="70A64E2A"/>
    <w:multiLevelType w:val="hybridMultilevel"/>
    <w:lvl w:ilvl="0">
      <w:lvlJc w:val="left"/>
      <w:lvlText w:val="4"/>
      <w:numFmt w:val="bullet"/>
      <w:start w:val="1"/>
    </w:lvl>
  </w:abstractNum>
  <w:abstractNum w:abstractNumId="32">
    <w:nsid w:val="6A2342EC"/>
    <w:multiLevelType w:val="hybridMultilevel"/>
    <w:lvl w:ilvl="0">
      <w:lvlJc w:val="left"/>
      <w:lvlText w:val="6"/>
      <w:numFmt w:val="bullet"/>
      <w:start w:val="1"/>
    </w:lvl>
  </w:abstractNum>
  <w:abstractNum w:abstractNumId="33">
    <w:nsid w:val="2A487CB0"/>
    <w:multiLevelType w:val="hybridMultilevel"/>
    <w:lvl w:ilvl="0">
      <w:lvlJc w:val="left"/>
      <w:lvlText w:val="1"/>
      <w:numFmt w:val="bullet"/>
      <w:start w:val="1"/>
    </w:lvl>
  </w:abstractNum>
  <w:abstractNum w:abstractNumId="34">
    <w:nsid w:val="1D4ED43B"/>
    <w:multiLevelType w:val="hybridMultilevel"/>
    <w:lvl w:ilvl="0">
      <w:lvlJc w:val="left"/>
      <w:lvlText w:val="4"/>
      <w:numFmt w:val="bullet"/>
      <w:start w:val="1"/>
    </w:lvl>
  </w:abstractNum>
  <w:abstractNum w:abstractNumId="35">
    <w:nsid w:val="725A06FB"/>
    <w:multiLevelType w:val="hybridMultilevel"/>
    <w:lvl w:ilvl="0">
      <w:lvlJc w:val="left"/>
      <w:lvlText w:val="6"/>
      <w:numFmt w:val="bullet"/>
      <w:start w:val="1"/>
    </w:lvl>
  </w:abstractNum>
  <w:abstractNum w:abstractNumId="36">
    <w:nsid w:val="2CD89A32"/>
    <w:multiLevelType w:val="hybridMultilevel"/>
    <w:lvl w:ilvl="0">
      <w:lvlJc w:val="left"/>
      <w:lvlText w:val="1"/>
      <w:numFmt w:val="bullet"/>
      <w:start w:val="1"/>
    </w:lvl>
  </w:abstractNum>
  <w:abstractNum w:abstractNumId="37">
    <w:nsid w:val="57E4CCAF"/>
    <w:multiLevelType w:val="hybridMultilevel"/>
    <w:lvl w:ilvl="0">
      <w:lvlJc w:val="left"/>
      <w:lvlText w:val="4"/>
      <w:numFmt w:val="bullet"/>
      <w:start w:val="1"/>
    </w:lvl>
  </w:abstractNum>
  <w:abstractNum w:abstractNumId="38">
    <w:nsid w:val="7A6D8D3C"/>
    <w:multiLevelType w:val="hybridMultilevel"/>
    <w:lvl w:ilvl="0">
      <w:lvlJc w:val="left"/>
      <w:lvlText w:val="6"/>
      <w:numFmt w:val="bullet"/>
      <w:start w:val="1"/>
    </w:lvl>
  </w:abstractNum>
  <w:abstractNum w:abstractNumId="39">
    <w:nsid w:val="4B588F54"/>
    <w:multiLevelType w:val="hybridMultilevel"/>
    <w:lvl w:ilvl="0">
      <w:lvlJc w:val="left"/>
      <w:lvlText w:val="1"/>
      <w:numFmt w:val="bullet"/>
      <w:start w:val="1"/>
    </w:lvl>
  </w:abstractNum>
  <w:abstractNum w:abstractNumId="40">
    <w:nsid w:val="542289EC"/>
    <w:multiLevelType w:val="hybridMultilevel"/>
    <w:lvl w:ilvl="0">
      <w:lvlJc w:val="left"/>
      <w:lvlText w:val="4"/>
      <w:numFmt w:val="bullet"/>
      <w:start w:val="1"/>
    </w:lvl>
  </w:abstractNum>
  <w:abstractNum w:abstractNumId="41">
    <w:nsid w:val="6DE91B18"/>
    <w:multiLevelType w:val="hybridMultilevel"/>
    <w:lvl w:ilvl="0">
      <w:lvlJc w:val="left"/>
      <w:lvlText w:val="6"/>
      <w:numFmt w:val="bullet"/>
      <w:start w:val="1"/>
    </w:lvl>
  </w:abstractNum>
  <w:abstractNum w:abstractNumId="42">
    <w:nsid w:val="38437FDB"/>
    <w:multiLevelType w:val="hybridMultilevel"/>
    <w:lvl w:ilvl="0">
      <w:lvlJc w:val="left"/>
      <w:lvlText w:val="1"/>
      <w:numFmt w:val="bullet"/>
      <w:start w:val="1"/>
    </w:lvl>
  </w:abstractNum>
  <w:abstractNum w:abstractNumId="43">
    <w:nsid w:val="7644A45C"/>
    <w:multiLevelType w:val="hybridMultilevel"/>
    <w:lvl w:ilvl="0">
      <w:lvlJc w:val="left"/>
      <w:lvlText w:val="4"/>
      <w:numFmt w:val="bullet"/>
      <w:start w:val="1"/>
    </w:lvl>
  </w:abstractNum>
  <w:abstractNum w:abstractNumId="44">
    <w:nsid w:val="32FFF902"/>
    <w:multiLevelType w:val="hybridMultilevel"/>
    <w:lvl w:ilvl="0">
      <w:lvlJc w:val="left"/>
      <w:lvlText w:val="6"/>
      <w:numFmt w:val="bullet"/>
      <w:start w:val="1"/>
    </w:lvl>
  </w:abstractNum>
  <w:abstractNum w:abstractNumId="45">
    <w:nsid w:val="684A481A"/>
    <w:multiLevelType w:val="hybridMultilevel"/>
    <w:lvl w:ilvl="0">
      <w:lvlJc w:val="left"/>
      <w:lvlText w:val="1"/>
      <w:numFmt w:val="bullet"/>
      <w:start w:val="1"/>
    </w:lvl>
  </w:abstractNum>
  <w:abstractNum w:abstractNumId="46">
    <w:nsid w:val="579478FE"/>
    <w:multiLevelType w:val="hybridMultilevel"/>
    <w:lvl w:ilvl="0">
      <w:lvlJc w:val="left"/>
      <w:lvlText w:val="4"/>
      <w:numFmt w:val="bullet"/>
      <w:start w:val="1"/>
    </w:lvl>
  </w:abstractNum>
  <w:abstractNum w:abstractNumId="47">
    <w:nsid w:val="749ABB43"/>
    <w:multiLevelType w:val="hybridMultilevel"/>
    <w:lvl w:ilvl="0">
      <w:lvlJc w:val="left"/>
      <w:lvlText w:val="6"/>
      <w:numFmt w:val="bullet"/>
      <w:start w:val="1"/>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51">
    <w:nsid w:val="75C6C33A"/>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2020-01-11T23:25:12Z</dcterms:created>
  <dcterms:modified xsi:type="dcterms:W3CDTF">2020-01-11T23:25:12Z</dcterms:modified>
</cp:coreProperties>
</file>