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As filed with the Securities and Exchange Commission on August 11, 2022</w:t>
      </w:r>
    </w:p>
    <w:p>
      <w:pPr>
        <w:spacing w:after="0" w:line="31" w:lineRule="exact"/>
        <w:rPr>
          <w:sz w:val="24"/>
          <w:szCs w:val="24"/>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w:t>
      </w:r>
      <w:r>
        <w:rPr>
          <w:rFonts w:ascii="Times New Roman" w:cs="Times New Roman" w:eastAsia="Times New Roman" w:hAnsi="Times New Roman"/>
          <w:sz w:val="17"/>
          <w:szCs w:val="17"/>
          <w:b w:val="1"/>
          <w:bCs w:val="1"/>
          <w:color w:val="auto"/>
        </w:rPr>
        <w:t>arker</w:t>
      </w:r>
      <w:r>
        <w:rPr>
          <w:rFonts w:ascii="Times New Roman" w:cs="Times New Roman" w:eastAsia="Times New Roman" w:hAnsi="Times New Roman"/>
          <w:sz w:val="25"/>
          <w:szCs w:val="25"/>
          <w:b w:val="1"/>
          <w:bCs w:val="1"/>
          <w:color w:val="auto"/>
        </w:rPr>
        <w:t xml:space="preserve"> T</w:t>
      </w:r>
      <w:r>
        <w:rPr>
          <w:rFonts w:ascii="Times New Roman" w:cs="Times New Roman" w:eastAsia="Times New Roman" w:hAnsi="Times New Roman"/>
          <w:sz w:val="17"/>
          <w:szCs w:val="17"/>
          <w:b w:val="1"/>
          <w:bCs w:val="1"/>
          <w:color w:val="auto"/>
        </w:rPr>
        <w:t>herapeutics</w:t>
      </w:r>
      <w:r>
        <w:rPr>
          <w:rFonts w:ascii="Times New Roman" w:cs="Times New Roman" w:eastAsia="Times New Roman" w:hAnsi="Times New Roman"/>
          <w:sz w:val="25"/>
          <w:szCs w:val="25"/>
          <w:b w:val="1"/>
          <w:bCs w:val="1"/>
          <w:color w:val="auto"/>
        </w:rPr>
        <w:t>,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5"/>
          <w:szCs w:val="25"/>
          <w:b w:val="1"/>
          <w:bCs w:val="1"/>
          <w:color w:val="auto"/>
        </w:rPr>
        <w:t>.</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45-4497941</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980" w:space="720"/>
            <w:col w:w="3540"/>
          </w:cols>
          <w:pgMar w:left="320" w:top="536" w:right="339" w:bottom="1440" w:gutter="0" w:footer="0" w:header="0"/>
          <w:type w:val="continuous"/>
        </w:sectPr>
      </w:pPr>
    </w:p>
    <w:p>
      <w:pPr>
        <w:spacing w:after="0" w:line="1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3200 Southwest Freeway, Suite 2500</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77027</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920" w:space="720"/>
            <w:col w:w="1600"/>
          </w:cols>
          <w:pgMar w:left="320" w:top="536" w:right="339" w:bottom="1440" w:gutter="0" w:footer="0" w:header="0"/>
          <w:type w:val="continuous"/>
        </w:sectPr>
      </w:pP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Marker Therapeutics, Inc. 2020 Equity Incentive Plan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Peter Hoang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3200 Southwest Freeway, Suite 2500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Houston, Texas 77027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 400-6400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Divakar Gupta</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Darren DeStefano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Madison A. Jones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55 Hudson Yards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 (212) 479-6000</w:t>
      </w:r>
    </w:p>
    <w:p>
      <w:pPr>
        <w:spacing w:after="0" w:line="207" w:lineRule="exact"/>
        <w:rPr>
          <w:sz w:val="24"/>
          <w:szCs w:val="24"/>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2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2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being filed to register an additional 8,500,000 shares of common stock, par value $0.001 per share (“Common Stock”), of Marker Therapeutics, Inc. (the “Registrant”) issuable pursuant to the Registrant’s 2020 Equity Incentive Plan (as amended, the “Plan”). On May 24, 2022, stockholders of the Registrant approved an amendment to the Plan that increased the number of shares of Common Stock issuable thereunder by 8,500,000 shares. The prior registration statement that the Registrant filed with the Securities and Exchange Commission (“SEC”) on June 12, 2020 (Registration No. 333-239136) relating to the Plan is incorporated by reference into this Registration Statement. This incorporation is made under General Instruction E of Form S-8 regarding the registration of additional securities of the same class as other securities for which there has been filed a registration statement on Form S-8 relating to the same employee benefit plan.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documents filed by the Registrant with the Securities and Exchange Commission (“SEC”) are incorporated by reference into this registration statement (other than information furnished under Item 2.02 or Item 7.01 of Form 8-K or other portions of documents filed with the SEC which are furnished, but not filed, pursuant to applicable rules promulgated by the SEC):</w:t>
      </w:r>
    </w:p>
    <w:p>
      <w:pPr>
        <w:spacing w:after="0" w:line="176" w:lineRule="exact"/>
        <w:rPr>
          <w:sz w:val="20"/>
          <w:szCs w:val="20"/>
          <w:color w:val="auto"/>
        </w:rPr>
      </w:pPr>
    </w:p>
    <w:p>
      <w:pPr>
        <w:ind w:left="1300" w:right="160" w:hanging="644"/>
        <w:spacing w:after="0" w:line="266"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20">
        <w:r>
          <w:rPr>
            <w:rFonts w:ascii="Times New Roman" w:cs="Times New Roman" w:eastAsia="Times New Roman" w:hAnsi="Times New Roman"/>
            <w:sz w:val="18"/>
            <w:szCs w:val="18"/>
            <w:u w:val="single" w:color="auto"/>
            <w:color w:val="0000EE"/>
          </w:rPr>
          <w:t>Form 10-K for the fiscal year ended December 31, 2021, filed with the SEC on March 17,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the information specifically incorporated by reference into the Registrant’s Annual Report on Form 10-K for the year ended December 31, 2021, from the Registrant’s </w:t>
      </w:r>
      <w:hyperlink r:id="rId21">
        <w:r>
          <w:rPr>
            <w:rFonts w:ascii="Times New Roman" w:cs="Times New Roman" w:eastAsia="Times New Roman" w:hAnsi="Times New Roman"/>
            <w:sz w:val="18"/>
            <w:szCs w:val="18"/>
            <w:u w:val="single" w:color="auto"/>
            <w:color w:val="0000EE"/>
          </w:rPr>
          <w:t>Definitive Proxy Statement on Schedule 14A, filed with the SEC on April 15, 2022</w:t>
        </w:r>
      </w:hyperlink>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22">
        <w:r>
          <w:rPr>
            <w:rFonts w:ascii="Times New Roman" w:cs="Times New Roman" w:eastAsia="Times New Roman" w:hAnsi="Times New Roman"/>
            <w:sz w:val="18"/>
            <w:szCs w:val="18"/>
            <w:u w:val="single" w:color="auto"/>
            <w:color w:val="0000EE"/>
          </w:rPr>
          <w:t>Form 10-Q for the quarter ended March 31, 2022, filed with the SEC on May 13, 2022</w:t>
        </w:r>
      </w:hyperlink>
      <w:r>
        <w:rPr>
          <w:rFonts w:ascii="Times New Roman" w:cs="Times New Roman" w:eastAsia="Times New Roman" w:hAnsi="Times New Roman"/>
          <w:sz w:val="18"/>
          <w:szCs w:val="18"/>
          <w:color w:val="auto"/>
        </w:rPr>
        <w:t xml:space="preserve">, and for the quarter ended </w:t>
      </w:r>
      <w:hyperlink r:id="rId23">
        <w:r>
          <w:rPr>
            <w:rFonts w:ascii="Times New Roman" w:cs="Times New Roman" w:eastAsia="Times New Roman" w:hAnsi="Times New Roman"/>
            <w:sz w:val="18"/>
            <w:szCs w:val="18"/>
            <w:u w:val="single" w:color="auto"/>
            <w:color w:val="0000EE"/>
          </w:rPr>
          <w:t>June 30, 2022, filed with the SEC on August 11, 2022</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300" w:val="left"/>
        </w:tabs>
        <w:numPr>
          <w:ilvl w:val="0"/>
          <w:numId w:val="1"/>
        </w:numPr>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auto"/>
          </w:rPr>
          <w:t xml:space="preserve">The Registrant’s Current Reports on Form 8-K filed with the SEC on </w:t>
        </w:r>
        <w:r>
          <w:rPr>
            <w:rFonts w:ascii="Times New Roman" w:cs="Times New Roman" w:eastAsia="Times New Roman" w:hAnsi="Times New Roman"/>
            <w:sz w:val="18"/>
            <w:szCs w:val="18"/>
            <w:u w:val="single" w:color="auto"/>
            <w:color w:val="0000EE"/>
          </w:rPr>
          <w:t>February 16,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18,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6,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26,</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Items 1.01 and 9.01 only) and</w:t>
        </w:r>
        <w:r>
          <w:rPr>
            <w:rFonts w:ascii="Times New Roman" w:cs="Times New Roman" w:eastAsia="Times New Roman" w:hAnsi="Times New Roman"/>
            <w:sz w:val="18"/>
            <w:szCs w:val="18"/>
            <w:color w:val="0000EE"/>
          </w:rPr>
          <w:t xml:space="preserve"> </w:t>
        </w:r>
      </w:hyperlink>
      <w:hyperlink r:id="rId25">
        <w:r>
          <w:rPr>
            <w:rFonts w:ascii="Times New Roman" w:cs="Times New Roman" w:eastAsia="Times New Roman" w:hAnsi="Times New Roman"/>
            <w:sz w:val="18"/>
            <w:szCs w:val="18"/>
            <w:u w:val="single" w:color="auto"/>
            <w:color w:val="0000EE"/>
          </w:rPr>
          <w:t>May 27, 2022</w:t>
        </w:r>
      </w:hyperlink>
      <w:hyperlink r:id="rId24">
        <w:r>
          <w:rPr>
            <w:rFonts w:ascii="Times New Roman" w:cs="Times New Roman" w:eastAsia="Times New Roman" w:hAnsi="Times New Roman"/>
            <w:sz w:val="18"/>
            <w:szCs w:val="18"/>
            <w:color w:val="000000"/>
          </w:rPr>
          <w:t>; and</w:t>
        </w:r>
      </w:hyperlink>
    </w:p>
    <w:p>
      <w:pPr>
        <w:spacing w:after="0" w:line="161" w:lineRule="exact"/>
        <w:rPr>
          <w:rFonts w:ascii="Times New Roman" w:cs="Times New Roman" w:eastAsia="Times New Roman" w:hAnsi="Times New Roman"/>
          <w:sz w:val="18"/>
          <w:szCs w:val="18"/>
          <w:color w:val="0000EE"/>
        </w:rPr>
      </w:pPr>
    </w:p>
    <w:p>
      <w:pPr>
        <w:ind w:left="1300" w:right="20" w:hanging="644"/>
        <w:spacing w:after="0" w:line="282" w:lineRule="auto"/>
        <w:tabs>
          <w:tab w:leader="none" w:pos="1300" w:val="left"/>
        </w:tabs>
        <w:numPr>
          <w:ilvl w:val="0"/>
          <w:numId w:val="1"/>
        </w:numPr>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auto"/>
          </w:rPr>
          <w:t xml:space="preserve">the description of the Registrant’s Common Stock contained in the Registrant’s registration statement on </w:t>
        </w:r>
        <w:r>
          <w:rPr>
            <w:rFonts w:ascii="Times New Roman" w:cs="Times New Roman" w:eastAsia="Times New Roman" w:hAnsi="Times New Roman"/>
            <w:sz w:val="18"/>
            <w:szCs w:val="18"/>
            <w:u w:val="single" w:color="auto"/>
            <w:color w:val="0000EE"/>
          </w:rPr>
          <w:t>Form 8-A (File No. 001-37939),</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filed with the SEC on November 3, 2016</w:t>
        </w:r>
        <w:r>
          <w:rPr>
            <w:rFonts w:ascii="Times New Roman" w:cs="Times New Roman" w:eastAsia="Times New Roman" w:hAnsi="Times New Roman"/>
            <w:sz w:val="18"/>
            <w:szCs w:val="18"/>
            <w:color w:val="000000"/>
          </w:rPr>
          <w:t>, including any amendment or report filed for the purpose of updating such description.</w:t>
        </w:r>
      </w:hyperlink>
    </w:p>
    <w:p>
      <w:pPr>
        <w:spacing w:after="0" w:line="162" w:lineRule="exact"/>
        <w:rPr>
          <w:rFonts w:ascii="Times New Roman" w:cs="Times New Roman" w:eastAsia="Times New Roman" w:hAnsi="Times New Roman"/>
          <w:sz w:val="18"/>
          <w:szCs w:val="18"/>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All reports and other documents subsequently filed by the Registrant pursuant to Sections 13(a), 13(c), 14 and 15(d) of the Securities Exchange Act of 1934, as amended (the “Exchange Act”),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the filing of such reports and documents; provided, however, that documents, reports and definitive proxy or information statements, or portions thereof, which are furnished and not filed in accordance with the rules of the SEC shall not be deemed incorporated by reference into this registration statement. Any statement contained in a document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8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Registrant is incorporated under the laws of the State of Delaware. Section 145 of the Delaware General Corporation Law provides that a Delaware corporation may indemnify any persons who were, are,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an officer, director,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were, are, or are threatened to be made, a party to any threatened, pending or completed action or suit by or in the right of the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(including attorneys’ fees) actually and reasonably incurred.</w:t>
      </w:r>
    </w:p>
    <w:p>
      <w:pPr>
        <w:spacing w:after="0" w:line="19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Registrant’s Amended and Restated Certificate of Incorporation and Amended and Restated Bylaws provide for indemnification of the Registrant’s directors and officers to the fullest extent permitted by law. Insofar as indemnification for liabilities under the Securities Act may be permitted to directors, officers or controlling persons of the Registrant pursuant to the Registrant’s Amended and Restated Certificate of Incorporation, Amended and Restated Bylaws and the Delaware General Corporation Law (the “DGCL”), the Registrant has been informed that in the opinion of the SEC such indemnification is against public policy as expressed in the Securities Act and is, therefore, unenforceable.</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Section 102(b)(7) of the DGCL provides that a certificate of incorporation may include a provision which eliminates or limits the personal liability of a director to the corporation or its stockholders for monetary damages for breach of fiduciary duty as a director, except for liability (i) for any breach of the director’s duty of loyalty to the company or its stockholders, (ii) for acts or omissions not in good faith or which involve intentional misconduct or a knowing violation of law, (iii) under Section 174 of the DGCL, relating to prohibited dividends or distributions or the repurchase or redemption of stock or</w:t>
      </w:r>
    </w:p>
    <w:p>
      <w:pPr>
        <w:spacing w:after="0" w:line="3" w:lineRule="exact"/>
        <w:rPr>
          <w:sz w:val="20"/>
          <w:szCs w:val="20"/>
          <w:color w:val="auto"/>
        </w:rPr>
      </w:pPr>
    </w:p>
    <w:p>
      <w:pPr>
        <w:ind w:right="120" w:firstLine="8"/>
        <w:spacing w:after="0" w:line="255" w:lineRule="auto"/>
        <w:tabs>
          <w:tab w:leader="none" w:pos="3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 The Registrant’s Amended and Restated Certificate of Incorporation includes such a provision. As a result of this provision, the Registrant and its stockholders may be unable to obtain monetary damages from a director for breach of his or her duty of care.</w:t>
      </w:r>
    </w:p>
    <w:p>
      <w:pPr>
        <w:spacing w:after="0" w:line="18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permitted under the DGCL, the Registrant has entered into indemnification agreements with each of its directors and certain of its executive officers that require the Registrant to indemnify such persons against any and all expenses (including attorneys’, witness or other professional fees), and, unless in connection with a proceeding by or in the right of the Registrant, any and all judgments, fines and amounts paid in settlement, actually and reasonably incurred by such persons or on such persons’ behalf in connection with any proceeding, whether actual or threatened, to which any such person may be involved as a party or otherwise by reason of the fact that such person is or was a director or an executive officer of the Registrant or is or was serving at the request of the Registrant as a director, officer, employee, agent or fiduciary of another enterprise, provided such person acted in good faith and in a manner such person reasonably believed to be in or not opposed to the best interests of the Registrant and, with respect to any criminal proceeding, had no reasonable cause to believe such person’s conduct was unlawful. Under these agreements, the Registrant is not required to provide indemnification for certain matters, including: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beyond that permitted by applicable law;</w:t>
      </w:r>
    </w:p>
    <w:p>
      <w:pPr>
        <w:spacing w:after="0" w:line="225"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the indemnification agreements, an accounting of profits made from the purchase and sale (or sale and purchase) by such director or executive officer of securities of the Registrant within the meaning of Section 16(b) of the Exchange Act or similar provisions of state statutory law or common law;</w:t>
      </w:r>
    </w:p>
    <w:p>
      <w:pPr>
        <w:spacing w:after="0" w:line="17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the indemnification agreements, any reimbursement of the Registrant by such director or executive officer of any bonus or other incentive-based or equity-based compensation or of any profits realized by such director or executive officer from the sale of securities of the Registrant, as required in each case under the Exchange Act; or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the indemnification agreements, in connection with any proceeding initiated by such director or executive officer, unless</w:t>
      </w:r>
    </w:p>
    <w:p>
      <w:pPr>
        <w:spacing w:after="0" w:line="27" w:lineRule="exact"/>
        <w:rPr>
          <w:rFonts w:ascii="Times New Roman" w:cs="Times New Roman" w:eastAsia="Times New Roman" w:hAnsi="Times New Roman"/>
          <w:sz w:val="18"/>
          <w:szCs w:val="18"/>
          <w:color w:val="auto"/>
        </w:rPr>
      </w:pPr>
    </w:p>
    <w:p>
      <w:pPr>
        <w:ind w:left="66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Registrant’s Board of Directors authorized the proceeding prior to its initiation or (ii) the Registrant provides the indemnification, in its sole discretion, pursuant to the powers vested in the Registrant under applicable law.</w:t>
      </w:r>
    </w:p>
    <w:p>
      <w:pPr>
        <w:spacing w:after="0" w:line="18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indemnification agreements also set forth certain procedures, presumptions and remedies that will apply in the event of a claim for indemnification thereunder.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216"/>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Schedule</w:t>
            </w:r>
          </w:p>
        </w:tc>
        <w:tc>
          <w:tcPr>
            <w:tcW w:w="120" w:type="dxa"/>
            <w:vAlign w:val="bottom"/>
          </w:tcPr>
          <w:p>
            <w:pPr>
              <w:spacing w:after="0"/>
              <w:rPr>
                <w:sz w:val="18"/>
                <w:szCs w:val="18"/>
                <w:color w:val="auto"/>
              </w:rPr>
            </w:pPr>
          </w:p>
        </w:tc>
        <w:tc>
          <w:tcPr>
            <w:tcW w:w="7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File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4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7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w w:val="95"/>
              </w:rPr>
              <w:t>Filing Date</w:t>
            </w:r>
          </w:p>
        </w:tc>
      </w:tr>
      <w:tr>
        <w:trPr>
          <w:trHeight w:val="391"/>
        </w:trPr>
        <w:tc>
          <w:tcPr>
            <w:tcW w:w="240" w:type="dxa"/>
            <w:vAlign w:val="bottom"/>
          </w:tcPr>
          <w:p>
            <w:pPr>
              <w:spacing w:after="0"/>
              <w:rPr>
                <w:rFonts w:ascii="Times New Roman" w:cs="Times New Roman" w:eastAsia="Times New Roman" w:hAnsi="Times New Roman"/>
                <w:sz w:val="18"/>
                <w:szCs w:val="18"/>
                <w:color w:val="0000EE"/>
                <w:w w:val="97"/>
              </w:rPr>
            </w:pPr>
            <w:hyperlink r:id="rId29">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300" w:type="dxa"/>
            <w:vAlign w:val="bottom"/>
            <w:gridSpan w:val="13"/>
          </w:tcPr>
          <w:p>
            <w:pPr>
              <w:spacing w:after="0"/>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Restated Certificate of Incorporation of Marker Therapeutics, Inc., as amended through</w:t>
              </w:r>
            </w:hyperlink>
          </w:p>
        </w:tc>
        <w:tc>
          <w:tcPr>
            <w:tcW w:w="4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gridSpan w:val="3"/>
          </w:tcPr>
          <w:p>
            <w:pPr>
              <w:ind w:left="120"/>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001-</w:t>
              </w:r>
            </w:hyperlink>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300" w:type="dxa"/>
            <w:vAlign w:val="bottom"/>
            <w:gridSpan w:val="13"/>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May 24, 2022</w:t>
              </w:r>
            </w:hyperlink>
          </w:p>
        </w:tc>
        <w:tc>
          <w:tcPr>
            <w:tcW w:w="40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gridSpan w:val="2"/>
          </w:tcPr>
          <w:p>
            <w:pPr>
              <w:jc w:val="center"/>
              <w:ind w:right="200"/>
              <w:spacing w:after="0" w:line="196" w:lineRule="exact"/>
              <w:rPr>
                <w:rFonts w:ascii="Times New Roman" w:cs="Times New Roman" w:eastAsia="Times New Roman" w:hAnsi="Times New Roman"/>
                <w:sz w:val="18"/>
                <w:szCs w:val="18"/>
                <w:color w:val="0000EE"/>
                <w:w w:val="92"/>
              </w:rPr>
            </w:pPr>
            <w:hyperlink r:id="rId29">
              <w:r>
                <w:rPr>
                  <w:rFonts w:ascii="Times New Roman" w:cs="Times New Roman" w:eastAsia="Times New Roman" w:hAnsi="Times New Roman"/>
                  <w:sz w:val="18"/>
                  <w:szCs w:val="18"/>
                  <w:color w:val="0000EE"/>
                  <w:w w:val="92"/>
                </w:rPr>
                <w:t>8-K</w:t>
              </w:r>
            </w:hyperlink>
          </w:p>
        </w:tc>
        <w:tc>
          <w:tcPr>
            <w:tcW w:w="560" w:type="dxa"/>
            <w:vAlign w:val="bottom"/>
            <w:gridSpan w:val="3"/>
          </w:tcPr>
          <w:p>
            <w:pPr>
              <w:ind w:left="120"/>
              <w:spacing w:after="0" w:line="196" w:lineRule="exact"/>
              <w:rPr>
                <w:rFonts w:ascii="Times New Roman" w:cs="Times New Roman" w:eastAsia="Times New Roman" w:hAnsi="Times New Roman"/>
                <w:sz w:val="18"/>
                <w:szCs w:val="18"/>
                <w:color w:val="0000EE"/>
                <w:w w:val="88"/>
              </w:rPr>
            </w:pPr>
            <w:hyperlink r:id="rId29">
              <w:r>
                <w:rPr>
                  <w:rFonts w:ascii="Times New Roman" w:cs="Times New Roman" w:eastAsia="Times New Roman" w:hAnsi="Times New Roman"/>
                  <w:sz w:val="18"/>
                  <w:szCs w:val="18"/>
                  <w:color w:val="0000EE"/>
                  <w:w w:val="88"/>
                </w:rPr>
                <w:t>37939</w:t>
              </w:r>
            </w:hyperlink>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gridSpan w:val="2"/>
          </w:tcPr>
          <w:p>
            <w:pPr>
              <w:jc w:val="center"/>
              <w:ind w:left="210"/>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280" w:type="dxa"/>
            <w:vAlign w:val="bottom"/>
          </w:tcPr>
          <w:p>
            <w:pPr>
              <w:spacing w:after="0"/>
              <w:rPr>
                <w:sz w:val="17"/>
                <w:szCs w:val="17"/>
                <w:color w:val="auto"/>
              </w:rPr>
            </w:pPr>
          </w:p>
        </w:tc>
        <w:tc>
          <w:tcPr>
            <w:tcW w:w="820" w:type="dxa"/>
            <w:vAlign w:val="bottom"/>
            <w:gridSpan w:val="2"/>
          </w:tcPr>
          <w:p>
            <w:pPr>
              <w:jc w:val="center"/>
              <w:ind w:left="170"/>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5/27/22</w:t>
              </w:r>
            </w:hyperlink>
          </w:p>
        </w:tc>
        <w:tc>
          <w:tcPr>
            <w:tcW w:w="140" w:type="dxa"/>
            <w:vAlign w:val="bottom"/>
          </w:tcPr>
          <w:p>
            <w:pPr>
              <w:spacing w:after="0"/>
              <w:rPr>
                <w:sz w:val="17"/>
                <w:szCs w:val="17"/>
                <w:color w:val="auto"/>
              </w:rPr>
            </w:pPr>
          </w:p>
        </w:tc>
      </w:tr>
      <w:tr>
        <w:trPr>
          <w:trHeight w:val="20"/>
        </w:trPr>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Times New Roman" w:cs="Times New Roman" w:eastAsia="Times New Roman" w:hAnsi="Times New Roman"/>
                <w:sz w:val="18"/>
                <w:szCs w:val="18"/>
                <w:color w:val="0000EE"/>
                <w:w w:val="97"/>
              </w:rPr>
            </w:pPr>
            <w:hyperlink r:id="rId30">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4"/>
          </w:tcPr>
          <w:p>
            <w:pPr>
              <w:spacing w:after="0"/>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Bylaws of Marker Therapeutics, Inc.</w:t>
              </w:r>
            </w:hyperlink>
          </w:p>
        </w:tc>
        <w:tc>
          <w:tcPr>
            <w:tcW w:w="4040" w:type="dxa"/>
            <w:vAlign w:val="bottom"/>
            <w:gridSpan w:val="11"/>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gridSpan w:val="3"/>
          </w:tcPr>
          <w:p>
            <w:pPr>
              <w:ind w:left="120"/>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001-</w:t>
              </w:r>
            </w:hyperlink>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jc w:val="center"/>
              <w:spacing w:after="0" w:line="196" w:lineRule="exact"/>
              <w:rPr>
                <w:rFonts w:ascii="Times New Roman" w:cs="Times New Roman" w:eastAsia="Times New Roman" w:hAnsi="Times New Roman"/>
                <w:sz w:val="18"/>
                <w:szCs w:val="18"/>
                <w:color w:val="0000EE"/>
                <w:w w:val="92"/>
              </w:rPr>
            </w:pPr>
            <w:hyperlink r:id="rId30">
              <w:r>
                <w:rPr>
                  <w:rFonts w:ascii="Times New Roman" w:cs="Times New Roman" w:eastAsia="Times New Roman" w:hAnsi="Times New Roman"/>
                  <w:sz w:val="18"/>
                  <w:szCs w:val="18"/>
                  <w:color w:val="0000EE"/>
                  <w:w w:val="92"/>
                </w:rPr>
                <w:t>8-K</w:t>
              </w:r>
            </w:hyperlink>
          </w:p>
        </w:tc>
        <w:tc>
          <w:tcPr>
            <w:tcW w:w="220" w:type="dxa"/>
            <w:vAlign w:val="bottom"/>
          </w:tcPr>
          <w:p>
            <w:pPr>
              <w:spacing w:after="0"/>
              <w:rPr>
                <w:sz w:val="17"/>
                <w:szCs w:val="17"/>
                <w:color w:val="auto"/>
              </w:rPr>
            </w:pPr>
          </w:p>
        </w:tc>
        <w:tc>
          <w:tcPr>
            <w:tcW w:w="560" w:type="dxa"/>
            <w:vAlign w:val="bottom"/>
            <w:gridSpan w:val="3"/>
          </w:tcPr>
          <w:p>
            <w:pPr>
              <w:ind w:left="120"/>
              <w:spacing w:after="0" w:line="196" w:lineRule="exact"/>
              <w:rPr>
                <w:rFonts w:ascii="Times New Roman" w:cs="Times New Roman" w:eastAsia="Times New Roman" w:hAnsi="Times New Roman"/>
                <w:sz w:val="18"/>
                <w:szCs w:val="18"/>
                <w:color w:val="0000EE"/>
                <w:w w:val="88"/>
              </w:rPr>
            </w:pPr>
            <w:hyperlink r:id="rId30">
              <w:r>
                <w:rPr>
                  <w:rFonts w:ascii="Times New Roman" w:cs="Times New Roman" w:eastAsia="Times New Roman" w:hAnsi="Times New Roman"/>
                  <w:sz w:val="18"/>
                  <w:szCs w:val="18"/>
                  <w:color w:val="0000EE"/>
                  <w:w w:val="88"/>
                </w:rPr>
                <w:t>37939</w:t>
              </w:r>
            </w:hyperlink>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gridSpan w:val="2"/>
          </w:tcPr>
          <w:p>
            <w:pPr>
              <w:jc w:val="center"/>
              <w:ind w:left="210"/>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6</w:t>
              </w:r>
            </w:hyperlink>
          </w:p>
        </w:tc>
        <w:tc>
          <w:tcPr>
            <w:tcW w:w="280" w:type="dxa"/>
            <w:vAlign w:val="bottom"/>
          </w:tcPr>
          <w:p>
            <w:pPr>
              <w:spacing w:after="0"/>
              <w:rPr>
                <w:sz w:val="17"/>
                <w:szCs w:val="17"/>
                <w:color w:val="auto"/>
              </w:rPr>
            </w:pPr>
          </w:p>
        </w:tc>
        <w:tc>
          <w:tcPr>
            <w:tcW w:w="960" w:type="dxa"/>
            <w:vAlign w:val="bottom"/>
            <w:gridSpan w:val="3"/>
          </w:tcPr>
          <w:p>
            <w:pPr>
              <w:jc w:val="center"/>
              <w:ind w:left="30"/>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10/17/18</w:t>
              </w:r>
            </w:hyperlink>
          </w:p>
        </w:tc>
      </w:tr>
      <w:tr>
        <w:trPr>
          <w:trHeight w:val="20"/>
        </w:trPr>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240" w:type="dxa"/>
            <w:vAlign w:val="bottom"/>
          </w:tcPr>
          <w:p>
            <w:pPr>
              <w:spacing w:after="0"/>
              <w:rPr>
                <w:rFonts w:ascii="Times New Roman" w:cs="Times New Roman" w:eastAsia="Times New Roman" w:hAnsi="Times New Roman"/>
                <w:sz w:val="18"/>
                <w:szCs w:val="18"/>
                <w:color w:val="0000EE"/>
                <w:w w:val="97"/>
              </w:rPr>
            </w:pPr>
            <w:hyperlink r:id="rId3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00" w:type="dxa"/>
            <w:vAlign w:val="bottom"/>
            <w:gridSpan w:val="15"/>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Marker Therapeutics, Inc. 2020 Equity Incentive Plan.</w:t>
              </w:r>
            </w:hyperlink>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gridSpan w:val="3"/>
          </w:tcPr>
          <w:p>
            <w:pPr>
              <w:ind w:left="120"/>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333-</w:t>
              </w:r>
            </w:hyperlink>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jc w:val="center"/>
              <w:spacing w:after="0" w:line="196" w:lineRule="exact"/>
              <w:rPr>
                <w:rFonts w:ascii="Times New Roman" w:cs="Times New Roman" w:eastAsia="Times New Roman" w:hAnsi="Times New Roman"/>
                <w:sz w:val="18"/>
                <w:szCs w:val="18"/>
                <w:color w:val="0000EE"/>
                <w:w w:val="95"/>
              </w:rPr>
            </w:pPr>
            <w:hyperlink r:id="rId31">
              <w:r>
                <w:rPr>
                  <w:rFonts w:ascii="Times New Roman" w:cs="Times New Roman" w:eastAsia="Times New Roman" w:hAnsi="Times New Roman"/>
                  <w:sz w:val="18"/>
                  <w:szCs w:val="18"/>
                  <w:color w:val="0000EE"/>
                  <w:w w:val="95"/>
                </w:rPr>
                <w:t>S-8</w:t>
              </w:r>
            </w:hyperlink>
          </w:p>
        </w:tc>
        <w:tc>
          <w:tcPr>
            <w:tcW w:w="220" w:type="dxa"/>
            <w:vAlign w:val="bottom"/>
          </w:tcPr>
          <w:p>
            <w:pPr>
              <w:spacing w:after="0"/>
              <w:rPr>
                <w:sz w:val="17"/>
                <w:szCs w:val="17"/>
                <w:color w:val="auto"/>
              </w:rPr>
            </w:pPr>
          </w:p>
        </w:tc>
        <w:tc>
          <w:tcPr>
            <w:tcW w:w="900" w:type="dxa"/>
            <w:vAlign w:val="bottom"/>
            <w:gridSpan w:val="5"/>
          </w:tcPr>
          <w:p>
            <w:pPr>
              <w:ind w:left="120"/>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239136</w:t>
              </w:r>
            </w:hyperlink>
          </w:p>
        </w:tc>
        <w:tc>
          <w:tcPr>
            <w:tcW w:w="820" w:type="dxa"/>
            <w:vAlign w:val="bottom"/>
            <w:gridSpan w:val="3"/>
          </w:tcPr>
          <w:p>
            <w:pPr>
              <w:jc w:val="cente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820" w:type="dxa"/>
            <w:vAlign w:val="bottom"/>
            <w:gridSpan w:val="2"/>
          </w:tcPr>
          <w:p>
            <w:pPr>
              <w:jc w:val="center"/>
              <w:ind w:left="170"/>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6/12/20</w:t>
              </w:r>
            </w:hyperlink>
          </w:p>
        </w:tc>
        <w:tc>
          <w:tcPr>
            <w:tcW w:w="140" w:type="dxa"/>
            <w:vAlign w:val="bottom"/>
          </w:tcPr>
          <w:p>
            <w:pPr>
              <w:spacing w:after="0"/>
              <w:rPr>
                <w:sz w:val="17"/>
                <w:szCs w:val="17"/>
                <w:color w:val="auto"/>
              </w:rPr>
            </w:pPr>
          </w:p>
        </w:tc>
      </w:tr>
      <w:tr>
        <w:trPr>
          <w:trHeight w:val="20"/>
        </w:trPr>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Times New Roman" w:cs="Times New Roman" w:eastAsia="Times New Roman" w:hAnsi="Times New Roman"/>
                <w:sz w:val="18"/>
                <w:szCs w:val="18"/>
                <w:color w:val="0000EE"/>
                <w:w w:val="97"/>
              </w:rPr>
            </w:pPr>
            <w:hyperlink r:id="rId32">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20" w:type="dxa"/>
            <w:vAlign w:val="bottom"/>
            <w:gridSpan w:val="11"/>
          </w:tcPr>
          <w:p>
            <w:pPr>
              <w:spacing w:after="0"/>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Form of Stock Option Grant Notice and Stock Option Agreement under the Marker</w:t>
              </w:r>
            </w:hyperlink>
          </w:p>
        </w:tc>
        <w:tc>
          <w:tcPr>
            <w:tcW w:w="680" w:type="dxa"/>
            <w:vAlign w:val="bottom"/>
            <w:gridSpan w:val="4"/>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gridSpan w:val="3"/>
          </w:tcPr>
          <w:p>
            <w:pPr>
              <w:ind w:left="120"/>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001-</w:t>
              </w:r>
            </w:hyperlink>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60" w:type="dxa"/>
            <w:vAlign w:val="bottom"/>
            <w:gridSpan w:val="5"/>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Therapeutics, Inc. 2020 Equity Incentive Plan.</w:t>
              </w:r>
            </w:hyperlink>
          </w:p>
        </w:tc>
        <w:tc>
          <w:tcPr>
            <w:tcW w:w="2660" w:type="dxa"/>
            <w:vAlign w:val="bottom"/>
            <w:gridSpan w:val="6"/>
          </w:tcPr>
          <w:p>
            <w:pPr>
              <w:spacing w:after="0"/>
              <w:rPr>
                <w:sz w:val="17"/>
                <w:szCs w:val="17"/>
                <w:color w:val="auto"/>
              </w:rPr>
            </w:pPr>
          </w:p>
        </w:tc>
        <w:tc>
          <w:tcPr>
            <w:tcW w:w="680" w:type="dxa"/>
            <w:vAlign w:val="bottom"/>
            <w:gridSpan w:val="4"/>
          </w:tcPr>
          <w:p>
            <w:pPr>
              <w:spacing w:after="0"/>
              <w:rPr>
                <w:sz w:val="17"/>
                <w:szCs w:val="17"/>
                <w:color w:val="auto"/>
              </w:rPr>
            </w:pPr>
          </w:p>
        </w:tc>
        <w:tc>
          <w:tcPr>
            <w:tcW w:w="980" w:type="dxa"/>
            <w:vAlign w:val="bottom"/>
            <w:gridSpan w:val="3"/>
          </w:tcPr>
          <w:p>
            <w:pPr>
              <w:jc w:val="center"/>
              <w:ind w:left="210"/>
              <w:spacing w:after="0" w:line="196" w:lineRule="exact"/>
              <w:rPr>
                <w:rFonts w:ascii="Times New Roman" w:cs="Times New Roman" w:eastAsia="Times New Roman" w:hAnsi="Times New Roman"/>
                <w:sz w:val="18"/>
                <w:szCs w:val="18"/>
                <w:color w:val="0000EE"/>
                <w:w w:val="97"/>
              </w:rPr>
            </w:pPr>
            <w:hyperlink r:id="rId32">
              <w:r>
                <w:rPr>
                  <w:rFonts w:ascii="Times New Roman" w:cs="Times New Roman" w:eastAsia="Times New Roman" w:hAnsi="Times New Roman"/>
                  <w:sz w:val="18"/>
                  <w:szCs w:val="18"/>
                  <w:color w:val="0000EE"/>
                  <w:w w:val="97"/>
                </w:rPr>
                <w:t>10-Q</w:t>
              </w:r>
            </w:hyperlink>
          </w:p>
        </w:tc>
        <w:tc>
          <w:tcPr>
            <w:tcW w:w="560" w:type="dxa"/>
            <w:vAlign w:val="bottom"/>
            <w:gridSpan w:val="3"/>
          </w:tcPr>
          <w:p>
            <w:pPr>
              <w:ind w:left="120"/>
              <w:spacing w:after="0" w:line="196" w:lineRule="exact"/>
              <w:rPr>
                <w:rFonts w:ascii="Times New Roman" w:cs="Times New Roman" w:eastAsia="Times New Roman" w:hAnsi="Times New Roman"/>
                <w:sz w:val="18"/>
                <w:szCs w:val="18"/>
                <w:color w:val="0000EE"/>
                <w:w w:val="88"/>
              </w:rPr>
            </w:pPr>
            <w:hyperlink r:id="rId32">
              <w:r>
                <w:rPr>
                  <w:rFonts w:ascii="Times New Roman" w:cs="Times New Roman" w:eastAsia="Times New Roman" w:hAnsi="Times New Roman"/>
                  <w:sz w:val="18"/>
                  <w:szCs w:val="18"/>
                  <w:color w:val="0000EE"/>
                  <w:w w:val="88"/>
                </w:rPr>
                <w:t>37939</w:t>
              </w:r>
            </w:hyperlink>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3"/>
          </w:tcPr>
          <w:p>
            <w:pPr>
              <w:jc w:val="cente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820" w:type="dxa"/>
            <w:vAlign w:val="bottom"/>
            <w:gridSpan w:val="2"/>
          </w:tcPr>
          <w:p>
            <w:pPr>
              <w:jc w:val="center"/>
              <w:ind w:left="170"/>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11/9/20</w:t>
              </w:r>
            </w:hyperlink>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Times New Roman" w:cs="Times New Roman" w:eastAsia="Times New Roman" w:hAnsi="Times New Roman"/>
                <w:sz w:val="18"/>
                <w:szCs w:val="18"/>
                <w:color w:val="0000EE"/>
                <w:w w:val="97"/>
              </w:rPr>
            </w:pPr>
            <w:hyperlink r:id="rId33">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00" w:type="dxa"/>
            <w:vAlign w:val="bottom"/>
            <w:gridSpan w:val="15"/>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Form of Restricted Stock Unit Grant Notice and Restricted Stock Unit Award Agreement</w:t>
              </w:r>
            </w:hyperlink>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gridSpan w:val="3"/>
          </w:tcPr>
          <w:p>
            <w:pPr>
              <w:ind w:left="120"/>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001-</w:t>
              </w:r>
            </w:hyperlink>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20" w:type="dxa"/>
            <w:vAlign w:val="bottom"/>
            <w:gridSpan w:val="14"/>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under the Marker Therapeutics, Inc. 2020 Equity Incentive Plan.</w:t>
              </w:r>
            </w:hyperlink>
          </w:p>
        </w:tc>
        <w:tc>
          <w:tcPr>
            <w:tcW w:w="280" w:type="dxa"/>
            <w:vAlign w:val="bottom"/>
          </w:tcPr>
          <w:p>
            <w:pPr>
              <w:spacing w:after="0"/>
              <w:rPr>
                <w:sz w:val="17"/>
                <w:szCs w:val="17"/>
                <w:color w:val="auto"/>
              </w:rPr>
            </w:pPr>
          </w:p>
        </w:tc>
        <w:tc>
          <w:tcPr>
            <w:tcW w:w="980" w:type="dxa"/>
            <w:vAlign w:val="bottom"/>
            <w:gridSpan w:val="3"/>
          </w:tcPr>
          <w:p>
            <w:pPr>
              <w:jc w:val="center"/>
              <w:ind w:left="210"/>
              <w:spacing w:after="0" w:line="196" w:lineRule="exact"/>
              <w:rPr>
                <w:rFonts w:ascii="Times New Roman" w:cs="Times New Roman" w:eastAsia="Times New Roman" w:hAnsi="Times New Roman"/>
                <w:sz w:val="18"/>
                <w:szCs w:val="18"/>
                <w:color w:val="0000EE"/>
                <w:w w:val="97"/>
              </w:rPr>
            </w:pPr>
            <w:hyperlink r:id="rId33">
              <w:r>
                <w:rPr>
                  <w:rFonts w:ascii="Times New Roman" w:cs="Times New Roman" w:eastAsia="Times New Roman" w:hAnsi="Times New Roman"/>
                  <w:sz w:val="18"/>
                  <w:szCs w:val="18"/>
                  <w:color w:val="0000EE"/>
                  <w:w w:val="97"/>
                </w:rPr>
                <w:t>10-Q</w:t>
              </w:r>
            </w:hyperlink>
          </w:p>
        </w:tc>
        <w:tc>
          <w:tcPr>
            <w:tcW w:w="560" w:type="dxa"/>
            <w:vAlign w:val="bottom"/>
            <w:gridSpan w:val="3"/>
          </w:tcPr>
          <w:p>
            <w:pPr>
              <w:ind w:left="120"/>
              <w:spacing w:after="0" w:line="196" w:lineRule="exact"/>
              <w:rPr>
                <w:rFonts w:ascii="Times New Roman" w:cs="Times New Roman" w:eastAsia="Times New Roman" w:hAnsi="Times New Roman"/>
                <w:sz w:val="18"/>
                <w:szCs w:val="18"/>
                <w:color w:val="0000EE"/>
                <w:w w:val="88"/>
              </w:rPr>
            </w:pPr>
            <w:hyperlink r:id="rId33">
              <w:r>
                <w:rPr>
                  <w:rFonts w:ascii="Times New Roman" w:cs="Times New Roman" w:eastAsia="Times New Roman" w:hAnsi="Times New Roman"/>
                  <w:sz w:val="18"/>
                  <w:szCs w:val="18"/>
                  <w:color w:val="0000EE"/>
                  <w:w w:val="88"/>
                </w:rPr>
                <w:t>37939</w:t>
              </w:r>
            </w:hyperlink>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3"/>
          </w:tcPr>
          <w:p>
            <w:pPr>
              <w:jc w:val="cente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820" w:type="dxa"/>
            <w:vAlign w:val="bottom"/>
            <w:gridSpan w:val="2"/>
          </w:tcPr>
          <w:p>
            <w:pPr>
              <w:jc w:val="center"/>
              <w:ind w:left="170"/>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11/9/20</w:t>
              </w:r>
            </w:hyperlink>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Marker Therapeutics, Inc. 2020 Equity Incentive Plan, as amended on May 24, 2022</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3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Opinion of Cooley LLP</w:t>
            </w:r>
          </w:p>
        </w:tc>
        <w:tc>
          <w:tcPr>
            <w:tcW w:w="4360" w:type="dxa"/>
            <w:vAlign w:val="bottom"/>
            <w:tcBorders>
              <w:top w:val="single" w:sz="8" w:color="0000EE"/>
            </w:tcBorders>
            <w:gridSpan w:val="9"/>
          </w:tcPr>
          <w:p>
            <w:pPr>
              <w:spacing w:after="0"/>
              <w:rPr>
                <w:sz w:val="24"/>
                <w:szCs w:val="24"/>
                <w:color w:val="auto"/>
              </w:rPr>
            </w:pPr>
          </w:p>
        </w:tc>
        <w:tc>
          <w:tcPr>
            <w:tcW w:w="62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4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1*</w:t>
            </w:r>
          </w:p>
        </w:tc>
        <w:tc>
          <w:tcPr>
            <w:tcW w:w="380" w:type="dxa"/>
            <w:vAlign w:val="bottom"/>
          </w:tcPr>
          <w:p>
            <w:pPr>
              <w:spacing w:after="0"/>
              <w:rPr>
                <w:sz w:val="24"/>
                <w:szCs w:val="24"/>
                <w:color w:val="auto"/>
              </w:rPr>
            </w:pPr>
          </w:p>
        </w:tc>
        <w:tc>
          <w:tcPr>
            <w:tcW w:w="35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Cooley LLP (included in Exhibit 5.1).</w:t>
            </w:r>
          </w:p>
        </w:tc>
        <w:tc>
          <w:tcPr>
            <w:tcW w:w="3120" w:type="dxa"/>
            <w:vAlign w:val="bottom"/>
            <w:gridSpan w:val="9"/>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2*</w:t>
            </w:r>
          </w:p>
        </w:tc>
        <w:tc>
          <w:tcPr>
            <w:tcW w:w="380" w:type="dxa"/>
            <w:vAlign w:val="bottom"/>
          </w:tcPr>
          <w:p>
            <w:pPr>
              <w:spacing w:after="0"/>
              <w:rPr>
                <w:sz w:val="24"/>
                <w:szCs w:val="24"/>
                <w:color w:val="auto"/>
              </w:rPr>
            </w:pPr>
          </w:p>
        </w:tc>
        <w:tc>
          <w:tcPr>
            <w:tcW w:w="67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Consent of Marcum LLP, Independent Registered Public Accounting Firm</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4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24.</w:t>
            </w:r>
            <w:r>
              <w:rPr>
                <w:rFonts w:ascii="Times New Roman" w:cs="Times New Roman" w:eastAsia="Times New Roman" w:hAnsi="Times New Roman"/>
                <w:sz w:val="18"/>
                <w:szCs w:val="18"/>
                <w:u w:val="single" w:color="auto"/>
                <w:color w:val="0000EE"/>
                <w:w w:val="98"/>
              </w:rPr>
              <w:t>1*</w:t>
            </w:r>
          </w:p>
        </w:tc>
        <w:tc>
          <w:tcPr>
            <w:tcW w:w="380" w:type="dxa"/>
            <w:vAlign w:val="bottom"/>
          </w:tcPr>
          <w:p>
            <w:pPr>
              <w:spacing w:after="0"/>
              <w:rPr>
                <w:sz w:val="24"/>
                <w:szCs w:val="24"/>
                <w:color w:val="auto"/>
              </w:rPr>
            </w:pPr>
          </w:p>
        </w:tc>
        <w:tc>
          <w:tcPr>
            <w:tcW w:w="53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 of this Form S-8).</w:t>
            </w:r>
          </w:p>
        </w:tc>
        <w:tc>
          <w:tcPr>
            <w:tcW w:w="1340" w:type="dxa"/>
            <w:vAlign w:val="bottom"/>
            <w:gridSpan w:val="5"/>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3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8"/>
              </w:rPr>
              <w:t>107*</w:t>
            </w:r>
          </w:p>
        </w:tc>
        <w:tc>
          <w:tcPr>
            <w:tcW w:w="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9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Exhibit Fee Table</w:t>
            </w:r>
          </w:p>
        </w:tc>
        <w:tc>
          <w:tcPr>
            <w:tcW w:w="172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5" w:lineRule="exact"/>
        <w:rPr>
          <w:sz w:val="20"/>
          <w:szCs w:val="20"/>
          <w:color w:val="auto"/>
        </w:rPr>
      </w:pPr>
    </w:p>
    <w:p>
      <w:pPr>
        <w:ind w:left="800" w:hanging="792"/>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ind w:left="1300" w:right="960" w:hanging="644"/>
        <w:spacing w:after="0" w:line="500"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 (i)           To include any prospectus required by Section 10(a)(3) of the Securities Act;</w:t>
      </w:r>
    </w:p>
    <w:p>
      <w:pPr>
        <w:spacing w:after="0" w:line="2" w:lineRule="exact"/>
        <w:rPr>
          <w:sz w:val="20"/>
          <w:szCs w:val="20"/>
          <w:color w:val="auto"/>
        </w:rPr>
      </w:pPr>
    </w:p>
    <w:p>
      <w:pPr>
        <w:ind w:left="660" w:firstLine="648"/>
        <w:spacing w:after="0" w:line="255" w:lineRule="auto"/>
        <w:rPr>
          <w:sz w:val="20"/>
          <w:szCs w:val="20"/>
          <w:color w:val="auto"/>
        </w:rPr>
      </w:pPr>
      <w:r>
        <w:rPr>
          <w:rFonts w:ascii="Times New Roman" w:cs="Times New Roman" w:eastAsia="Times New Roman" w:hAnsi="Times New Roman"/>
          <w:sz w:val="18"/>
          <w:szCs w:val="18"/>
          <w:color w:val="auto"/>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89"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(iii)         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do not apply if the registration statement is on Form S-8, and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Commission by the Registrant pursuant to Section 13 or Section 15(d) of the Exchange Act that are incorporated by reference in the registration statement; and</w:t>
      </w:r>
    </w:p>
    <w:p>
      <w:pPr>
        <w:spacing w:after="0" w:line="175" w:lineRule="exact"/>
        <w:rPr>
          <w:sz w:val="20"/>
          <w:szCs w:val="20"/>
          <w:color w:val="auto"/>
        </w:rPr>
      </w:pPr>
    </w:p>
    <w:p>
      <w:pPr>
        <w:jc w:val="both"/>
        <w:ind w:left="1300" w:right="140" w:hanging="644"/>
        <w:spacing w:after="0" w:line="26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August 11, 2022.</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arker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Peter Hoang</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Each of the undersigned officers and directors of Marker Therapeutics, Inc., hereby constitutes and appoints Peter Hoang and Anthony Kim, their true and lawful attorney-in-fact and agent, for them and in their name, place and stead, in any and all capacities, to sign their name to any and all amendments to this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spacing w:after="0" w:line="18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80" w:type="dxa"/>
            <w:vAlign w:val="bottom"/>
          </w:tcPr>
          <w:p>
            <w:pPr>
              <w:spacing w:after="0"/>
              <w:rPr>
                <w:sz w:val="20"/>
                <w:szCs w:val="20"/>
                <w:color w:val="auto"/>
              </w:rPr>
            </w:pPr>
          </w:p>
        </w:tc>
        <w:tc>
          <w:tcPr>
            <w:tcW w:w="5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8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Hoang</w:t>
            </w:r>
          </w:p>
        </w:tc>
        <w:tc>
          <w:tcPr>
            <w:tcW w:w="80" w:type="dxa"/>
            <w:vAlign w:val="bottom"/>
          </w:tcPr>
          <w:p>
            <w:pPr>
              <w:spacing w:after="0"/>
              <w:rPr>
                <w:sz w:val="24"/>
                <w:szCs w:val="24"/>
                <w:color w:val="auto"/>
              </w:rPr>
            </w:pPr>
          </w:p>
        </w:tc>
        <w:tc>
          <w:tcPr>
            <w:tcW w:w="5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8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11, 2022</w:t>
            </w:r>
          </w:p>
        </w:tc>
      </w:tr>
      <w:tr>
        <w:trPr>
          <w:trHeight w:val="228"/>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Peter Hoang</w:t>
            </w:r>
          </w:p>
        </w:tc>
        <w:tc>
          <w:tcPr>
            <w:tcW w:w="80" w:type="dxa"/>
            <w:vAlign w:val="bottom"/>
          </w:tcPr>
          <w:p>
            <w:pPr>
              <w:spacing w:after="0"/>
              <w:rPr>
                <w:sz w:val="19"/>
                <w:szCs w:val="19"/>
                <w:color w:val="auto"/>
              </w:rPr>
            </w:pPr>
          </w:p>
        </w:tc>
        <w:tc>
          <w:tcPr>
            <w:tcW w:w="5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Kim</w:t>
            </w:r>
          </w:p>
        </w:tc>
        <w:tc>
          <w:tcPr>
            <w:tcW w:w="80" w:type="dxa"/>
            <w:vAlign w:val="bottom"/>
          </w:tcPr>
          <w:p>
            <w:pPr>
              <w:spacing w:after="0"/>
              <w:rPr>
                <w:sz w:val="24"/>
                <w:szCs w:val="24"/>
                <w:color w:val="auto"/>
              </w:rPr>
            </w:pPr>
          </w:p>
        </w:tc>
        <w:tc>
          <w:tcPr>
            <w:tcW w:w="5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(Principal Financial</w:t>
            </w:r>
          </w:p>
        </w:tc>
        <w:tc>
          <w:tcPr>
            <w:tcW w:w="8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11, 2022</w:t>
            </w:r>
          </w:p>
        </w:tc>
      </w:tr>
      <w:tr>
        <w:trPr>
          <w:trHeight w:val="228"/>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Anthony Kim</w:t>
            </w:r>
          </w:p>
        </w:tc>
        <w:tc>
          <w:tcPr>
            <w:tcW w:w="80" w:type="dxa"/>
            <w:vAlign w:val="bottom"/>
          </w:tcPr>
          <w:p>
            <w:pPr>
              <w:spacing w:after="0"/>
              <w:rPr>
                <w:sz w:val="19"/>
                <w:szCs w:val="19"/>
                <w:color w:val="auto"/>
              </w:rPr>
            </w:pPr>
          </w:p>
        </w:tc>
        <w:tc>
          <w:tcPr>
            <w:tcW w:w="5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Accounting Officer)</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Katharine Knobil</w:t>
            </w:r>
          </w:p>
        </w:tc>
        <w:tc>
          <w:tcPr>
            <w:tcW w:w="80" w:type="dxa"/>
            <w:vAlign w:val="bottom"/>
          </w:tcPr>
          <w:p>
            <w:pPr>
              <w:spacing w:after="0"/>
              <w:rPr>
                <w:sz w:val="24"/>
                <w:szCs w:val="24"/>
                <w:color w:val="auto"/>
              </w:rPr>
            </w:pPr>
          </w:p>
        </w:tc>
        <w:tc>
          <w:tcPr>
            <w:tcW w:w="5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8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11, 2022</w:t>
            </w:r>
          </w:p>
        </w:tc>
      </w:tr>
      <w:tr>
        <w:trPr>
          <w:trHeight w:val="228"/>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Katharine Knobil</w:t>
            </w:r>
          </w:p>
        </w:tc>
        <w:tc>
          <w:tcPr>
            <w:tcW w:w="8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Laskow-Pooley</w:t>
            </w:r>
          </w:p>
        </w:tc>
        <w:tc>
          <w:tcPr>
            <w:tcW w:w="80" w:type="dxa"/>
            <w:vAlign w:val="bottom"/>
          </w:tcPr>
          <w:p>
            <w:pPr>
              <w:spacing w:after="0"/>
              <w:rPr>
                <w:sz w:val="24"/>
                <w:szCs w:val="24"/>
                <w:color w:val="auto"/>
              </w:rPr>
            </w:pPr>
          </w:p>
        </w:tc>
        <w:tc>
          <w:tcPr>
            <w:tcW w:w="5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8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11, 2022</w:t>
            </w:r>
          </w:p>
        </w:tc>
      </w:tr>
      <w:tr>
        <w:trPr>
          <w:trHeight w:val="228"/>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David Laskow-Pooley</w:t>
            </w:r>
          </w:p>
        </w:tc>
        <w:tc>
          <w:tcPr>
            <w:tcW w:w="8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Wilson</w:t>
            </w:r>
          </w:p>
        </w:tc>
        <w:tc>
          <w:tcPr>
            <w:tcW w:w="80" w:type="dxa"/>
            <w:vAlign w:val="bottom"/>
          </w:tcPr>
          <w:p>
            <w:pPr>
              <w:spacing w:after="0"/>
              <w:rPr>
                <w:sz w:val="24"/>
                <w:szCs w:val="24"/>
                <w:color w:val="auto"/>
              </w:rPr>
            </w:pPr>
          </w:p>
        </w:tc>
        <w:tc>
          <w:tcPr>
            <w:tcW w:w="5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8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11, 2022</w:t>
            </w:r>
          </w:p>
        </w:tc>
      </w:tr>
      <w:tr>
        <w:trPr>
          <w:trHeight w:val="228"/>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John Wilson</w:t>
            </w:r>
          </w:p>
        </w:tc>
        <w:tc>
          <w:tcPr>
            <w:tcW w:w="8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Juan Vera</w:t>
            </w:r>
          </w:p>
        </w:tc>
        <w:tc>
          <w:tcPr>
            <w:tcW w:w="80" w:type="dxa"/>
            <w:vAlign w:val="bottom"/>
          </w:tcPr>
          <w:p>
            <w:pPr>
              <w:spacing w:after="0"/>
              <w:rPr>
                <w:sz w:val="24"/>
                <w:szCs w:val="24"/>
                <w:color w:val="auto"/>
              </w:rPr>
            </w:pPr>
          </w:p>
        </w:tc>
        <w:tc>
          <w:tcPr>
            <w:tcW w:w="5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8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11, 2022</w:t>
            </w:r>
          </w:p>
        </w:tc>
      </w:tr>
      <w:tr>
        <w:trPr>
          <w:trHeight w:val="228"/>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Juan Vera</w:t>
            </w:r>
          </w:p>
        </w:tc>
        <w:tc>
          <w:tcPr>
            <w:tcW w:w="8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 David Eansor</w:t>
            </w:r>
          </w:p>
        </w:tc>
        <w:tc>
          <w:tcPr>
            <w:tcW w:w="80" w:type="dxa"/>
            <w:vAlign w:val="bottom"/>
          </w:tcPr>
          <w:p>
            <w:pPr>
              <w:spacing w:after="0"/>
              <w:rPr>
                <w:sz w:val="24"/>
                <w:szCs w:val="24"/>
                <w:color w:val="auto"/>
              </w:rPr>
            </w:pPr>
          </w:p>
        </w:tc>
        <w:tc>
          <w:tcPr>
            <w:tcW w:w="5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8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11, 2022</w:t>
            </w:r>
          </w:p>
        </w:tc>
      </w:tr>
      <w:tr>
        <w:trPr>
          <w:trHeight w:val="228"/>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 David Eansor</w:t>
            </w:r>
          </w:p>
        </w:tc>
        <w:tc>
          <w:tcPr>
            <w:tcW w:w="8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Elms</w:t>
            </w:r>
          </w:p>
        </w:tc>
        <w:tc>
          <w:tcPr>
            <w:tcW w:w="80" w:type="dxa"/>
            <w:vAlign w:val="bottom"/>
          </w:tcPr>
          <w:p>
            <w:pPr>
              <w:spacing w:after="0"/>
              <w:rPr>
                <w:sz w:val="24"/>
                <w:szCs w:val="24"/>
                <w:color w:val="auto"/>
              </w:rPr>
            </w:pPr>
          </w:p>
        </w:tc>
        <w:tc>
          <w:tcPr>
            <w:tcW w:w="5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8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11, 2022</w:t>
            </w:r>
          </w:p>
        </w:tc>
      </w:tr>
      <w:tr>
        <w:trPr>
          <w:trHeight w:val="228"/>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Steve Elms</w:t>
            </w:r>
          </w:p>
        </w:tc>
        <w:tc>
          <w:tcPr>
            <w:tcW w:w="8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630"/>
        </w:trPr>
        <w:tc>
          <w:tcPr>
            <w:tcW w:w="314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2"/>
          </w:tcPr>
          <w:p>
            <w:pPr>
              <w:jc w:val="right"/>
              <w:ind w:right="335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4.4</w:t>
      </w:r>
    </w:p>
    <w:p>
      <w:pPr>
        <w:spacing w:after="0" w:line="21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arker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2020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pril</w:t>
      </w:r>
      <w:r>
        <w:rPr>
          <w:rFonts w:ascii="Times New Roman" w:cs="Times New Roman" w:eastAsia="Times New Roman" w:hAnsi="Times New Roman"/>
          <w:sz w:val="18"/>
          <w:szCs w:val="18"/>
          <w:b w:val="1"/>
          <w:bCs w:val="1"/>
          <w:color w:val="auto"/>
        </w:rPr>
        <w:t xml:space="preserve"> 14, 2020</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 xml:space="preserve"> 19, 2020</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pril</w:t>
      </w:r>
      <w:r>
        <w:rPr>
          <w:rFonts w:ascii="Times New Roman" w:cs="Times New Roman" w:eastAsia="Times New Roman" w:hAnsi="Times New Roman"/>
          <w:sz w:val="18"/>
          <w:szCs w:val="18"/>
          <w:b w:val="1"/>
          <w:bCs w:val="1"/>
          <w:color w:val="auto"/>
        </w:rPr>
        <w:t xml:space="preserve"> 5, 2022</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 xml:space="preserve">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8200" w:type="dxa"/>
            <w:vAlign w:val="bottom"/>
          </w:tcPr>
          <w:p>
            <w:pPr>
              <w:ind w:left="45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ontents</w:t>
            </w:r>
          </w:p>
        </w:tc>
        <w:tc>
          <w:tcPr>
            <w:tcW w:w="264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eneral</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ubject to the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ligibility and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imitations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ptions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ppreciation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ights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wards</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ther</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han</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ptions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ppreciation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ights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djustments upon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hanges in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ommon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O</w:t>
            </w:r>
            <w:r>
              <w:rPr>
                <w:rFonts w:ascii="Times New Roman" w:cs="Times New Roman" w:eastAsia="Times New Roman" w:hAnsi="Times New Roman"/>
                <w:sz w:val="12"/>
                <w:szCs w:val="12"/>
                <w:color w:val="auto"/>
              </w:rPr>
              <w:t>ther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orporate</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vents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dministration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ax</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ithholding</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everability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ermination of the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720" w:hanging="712"/>
        <w:spacing w:after="0"/>
        <w:tabs>
          <w:tab w:leader="none" w:pos="7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586"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 to and Continuation of Prior Plans. </w:t>
      </w:r>
      <w:r>
        <w:rPr>
          <w:rFonts w:ascii="Times New Roman" w:cs="Times New Roman" w:eastAsia="Times New Roman" w:hAnsi="Times New Roman"/>
          <w:sz w:val="18"/>
          <w:szCs w:val="18"/>
          <w:color w:val="auto"/>
        </w:rPr>
        <w:t>The Plan is the successor to and continuation of the Prior Plans. As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(i) no additional awards may be granted under the Prior Plans; (ii) the Prior Plans’ Available Reserve plus any Returning Shares will become available for issuance pursuant to Awards granted under this Plan; and (iii) all outstanding awards granted under the Prior Plans will remain subject to the terms of the Prior Plans (except to the extent such outstanding awards result in Returning Shares that become available for issuance pursuant to Awards granted under this Plan). All Awards granted under this Plan will be subject to the terms of this Plan.</w:t>
      </w:r>
    </w:p>
    <w:p>
      <w:pPr>
        <w:spacing w:after="0" w:line="179" w:lineRule="exact"/>
        <w:rPr>
          <w:rFonts w:ascii="Times New Roman" w:cs="Times New Roman" w:eastAsia="Times New Roman" w:hAnsi="Times New Roman"/>
          <w:sz w:val="18"/>
          <w:szCs w:val="18"/>
          <w:b w:val="1"/>
          <w:bCs w:val="1"/>
          <w:color w:val="auto"/>
        </w:rPr>
      </w:pPr>
    </w:p>
    <w:p>
      <w:pPr>
        <w:jc w:val="both"/>
        <w:ind w:right="20" w:firstLine="656"/>
        <w:spacing w:after="0" w:line="268" w:lineRule="auto"/>
        <w:tabs>
          <w:tab w:leader="none" w:pos="1552"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 Employees, Directors and Consultants,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70"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711"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(iii) SARs; (iv) Restricted Stock Awards; (v) RSU Awards; (vi) Performance Awards; and (vii) Other Awards.</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714"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Adoption Date. </w:t>
      </w:r>
      <w:r>
        <w:rPr>
          <w:rFonts w:ascii="Times New Roman" w:cs="Times New Roman" w:eastAsia="Times New Roman" w:hAnsi="Times New Roman"/>
          <w:sz w:val="18"/>
          <w:szCs w:val="18"/>
          <w:color w:val="auto"/>
        </w:rPr>
        <w:t>The Plan will come into existence on the Adoption Date. No Award may be granted under the Plan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Adoption Date. Any Award granted prior to the Effective Date is contingent upon timely receipt of stockholder approval to the extent required under applicable tax, securities and regulatory rules, and satisfaction of any other compliance requirements.</w:t>
      </w:r>
    </w:p>
    <w:p>
      <w:pPr>
        <w:spacing w:after="0" w:line="170" w:lineRule="exact"/>
        <w:rPr>
          <w:rFonts w:ascii="Times New Roman" w:cs="Times New Roman" w:eastAsia="Times New Roman" w:hAnsi="Times New Roman"/>
          <w:sz w:val="18"/>
          <w:szCs w:val="18"/>
          <w:b w:val="1"/>
          <w:bCs w:val="1"/>
          <w:color w:val="auto"/>
        </w:rPr>
      </w:pPr>
    </w:p>
    <w:p>
      <w:pPr>
        <w:ind w:left="780" w:hanging="772"/>
        <w:spacing w:after="0"/>
        <w:tabs>
          <w:tab w:leader="none" w:pos="7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3" w:lineRule="auto"/>
        <w:tabs>
          <w:tab w:leader="none" w:pos="1924"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adjustment in accordance with Section 2(d) and any adjustments as necessary to implement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Capitalization Adjustments, the aggregate number of shares of Common Stock that may be issued pursuant to Awards will not exceed the sum of</w:t>
      </w:r>
    </w:p>
    <w:p>
      <w:pPr>
        <w:jc w:val="both"/>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8,500,000 new shares that were approved at the Company’s 2022 Annual Meeting of Stockholders; plus (ii) 3,260,000 shares that were approved in connection with the initial adoption of the Plan as of the Effective Date; plus (iii) the Prior Plans’ Available Reserve; plus (iv) the number of Returning Shares, if any, as such shares become available from time to time.</w:t>
      </w:r>
    </w:p>
    <w:p>
      <w:pPr>
        <w:spacing w:after="0" w:line="181"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565"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Fungible Share Counting. </w:t>
      </w:r>
      <w:r>
        <w:rPr>
          <w:rFonts w:ascii="Times New Roman" w:cs="Times New Roman" w:eastAsia="Times New Roman" w:hAnsi="Times New Roman"/>
          <w:sz w:val="18"/>
          <w:szCs w:val="18"/>
          <w:color w:val="auto"/>
        </w:rPr>
        <w:t>Subject to adjustment in accordance with Section 2(d), the number of shares of Common Stock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issuance under the Plan will be reduced by: (i) one share for each share of Common Stock issued pursuant to an Option or SAR with respect to which the exercise or strike price is at least 100% of the Fair Market Value of the Common Stock subject to the Option or SAR on the grant date (each, an “</w:t>
      </w:r>
      <w:r>
        <w:rPr>
          <w:rFonts w:ascii="Times New Roman" w:cs="Times New Roman" w:eastAsia="Times New Roman" w:hAnsi="Times New Roman"/>
          <w:sz w:val="18"/>
          <w:szCs w:val="18"/>
          <w:b w:val="1"/>
          <w:bCs w:val="1"/>
          <w:i w:val="1"/>
          <w:iCs w:val="1"/>
          <w:color w:val="auto"/>
        </w:rPr>
        <w:t>Appreciation Award</w:t>
      </w:r>
      <w:r>
        <w:rPr>
          <w:rFonts w:ascii="Times New Roman" w:cs="Times New Roman" w:eastAsia="Times New Roman" w:hAnsi="Times New Roman"/>
          <w:sz w:val="18"/>
          <w:szCs w:val="18"/>
          <w:color w:val="auto"/>
        </w:rPr>
        <w:t>”); and (ii) 1.23 shares for each share of Common Stock issued pursuant to any Award (other than an Appreciation Award) (each, a “</w:t>
      </w:r>
      <w:r>
        <w:rPr>
          <w:rFonts w:ascii="Times New Roman" w:cs="Times New Roman" w:eastAsia="Times New Roman" w:hAnsi="Times New Roman"/>
          <w:sz w:val="18"/>
          <w:szCs w:val="18"/>
          <w:b w:val="1"/>
          <w:bCs w:val="1"/>
          <w:i w:val="1"/>
          <w:iCs w:val="1"/>
          <w:color w:val="auto"/>
        </w:rPr>
        <w:t>Full Value Award</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522"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Notwithstanding anything to the contrary in Section 2(a) and subject to any adjustments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implement any Capitalization Adjustments, the aggregate maximum number of shares of Common Stock that may be issued pursuant to the exercise of Incentive Stock Options is 57,818,394 shares.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ind w:left="1500" w:hanging="844"/>
        <w:spacing w:after="0"/>
        <w:tabs>
          <w:tab w:leader="none" w:pos="1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 Operation.</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2325"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 limit on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2145"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Actions that Do Not Constitute Issuance of Common Stock and Do Not Reduce Share Reserve. </w:t>
      </w:r>
      <w:r>
        <w:rPr>
          <w:rFonts w:ascii="Times New Roman" w:cs="Times New Roman" w:eastAsia="Times New Roman" w:hAnsi="Times New Roman"/>
          <w:sz w:val="18"/>
          <w:szCs w:val="18"/>
          <w:color w:val="auto"/>
        </w:rPr>
        <w:t>The following actions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Common Stock), (3) the withholding of shares that would otherwise be issued by the Company to satisfy the exercise or strike price of an Appreciation Award; (4) the withholding of shares that would otherwise be issued by the Company to satisfy a tax withholding obligation in connection with an Appreciation Award.</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2308"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Previously Issued Shares of Common Stock to Share Reserve. </w:t>
      </w:r>
      <w:r>
        <w:rPr>
          <w:rFonts w:ascii="Times New Roman" w:cs="Times New Roman" w:eastAsia="Times New Roman" w:hAnsi="Times New Roman"/>
          <w:sz w:val="18"/>
          <w:szCs w:val="18"/>
          <w:color w:val="auto"/>
        </w:rPr>
        <w:t>The following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or strike price of an Appreciation Award; and (3) any shares that are reacquired by the Company to satisfy a tax withholding obligation in connection with an Appreciation Award. For each share subject to a Full Value Award that is added back to the Share Reserve pursuant to this subsection, the number of shares of Common Stock available for issuance under the Plan will increase by 1.23 shares.</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2235"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Shares Not Available For Subsequent Issuance. </w:t>
      </w:r>
      <w:r>
        <w:rPr>
          <w:rFonts w:ascii="Times New Roman" w:cs="Times New Roman" w:eastAsia="Times New Roman" w:hAnsi="Times New Roman"/>
          <w:sz w:val="18"/>
          <w:szCs w:val="18"/>
          <w:color w:val="auto"/>
        </w:rPr>
        <w:t>Any shares of Common Stock reacquired or withheld (or not issued)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to satisfy the purchase price of a Full Value Award will no longer be available for issuance under the Plan, including any shares subject to a Full Value Award that are not delivered to a Participant because such Full Value Award is settled through a reduction of shares subject to such Full Value Award. In addition, any shares reacquired or withheld (or not issued) by the Company to satisfy a tax withholding obligation in connection with a Full Value Award, or any shares repurchased by the Company on the open market with the proceeds from the purchase price of a Full Value Award will no longer be available for issuance under the Plan.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left="820" w:hanging="812"/>
        <w:spacing w:after="0"/>
        <w:tabs>
          <w:tab w:leader="none" w:pos="8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imitations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1540" w:hanging="884"/>
        <w:spacing w:after="0"/>
        <w:tabs>
          <w:tab w:leader="none" w:pos="154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 are eligible to receive Awards.</w:t>
      </w:r>
    </w:p>
    <w:p>
      <w:pPr>
        <w:spacing w:after="0" w:line="225" w:lineRule="exact"/>
        <w:rPr>
          <w:rFonts w:ascii="Times New Roman" w:cs="Times New Roman" w:eastAsia="Times New Roman" w:hAnsi="Times New Roman"/>
          <w:sz w:val="18"/>
          <w:szCs w:val="18"/>
          <w:b w:val="1"/>
          <w:bCs w:val="1"/>
          <w:color w:val="auto"/>
        </w:rPr>
      </w:pPr>
    </w:p>
    <w:p>
      <w:pPr>
        <w:ind w:left="1500" w:hanging="844"/>
        <w:spacing w:after="0"/>
        <w:tabs>
          <w:tab w:leader="none" w:pos="150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p>
    <w:p>
      <w:pPr>
        <w:spacing w:after="0" w:line="225"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2419" w:val="left"/>
        </w:tabs>
        <w:numPr>
          <w:ilvl w:val="2"/>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 only to Employees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 “parent corporation” or “subsidiary corporation” thereof (as such terms are defined in Sections 424(e) and (f) of the Code).</w:t>
      </w:r>
    </w:p>
    <w:p>
      <w:pPr>
        <w:spacing w:after="0" w:line="154"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2186" w:val="left"/>
        </w:tabs>
        <w:numPr>
          <w:ilvl w:val="2"/>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 (determined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82" w:lineRule="exact"/>
        <w:rPr>
          <w:rFonts w:ascii="Times New Roman" w:cs="Times New Roman" w:eastAsia="Times New Roman" w:hAnsi="Times New Roman"/>
          <w:sz w:val="18"/>
          <w:szCs w:val="18"/>
          <w:b w:val="1"/>
          <w:bCs w:val="1"/>
          <w:color w:val="auto"/>
        </w:rPr>
      </w:pPr>
    </w:p>
    <w:p>
      <w:pPr>
        <w:jc w:val="both"/>
        <w:ind w:right="20" w:firstLine="1304"/>
        <w:spacing w:after="0" w:line="268" w:lineRule="auto"/>
        <w:tabs>
          <w:tab w:leader="none" w:pos="2254" w:val="left"/>
        </w:tabs>
        <w:numPr>
          <w:ilvl w:val="2"/>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Options Granted to Ten Percent Stockholders. </w:t>
      </w:r>
      <w:r>
        <w:rPr>
          <w:rFonts w:ascii="Times New Roman" w:cs="Times New Roman" w:eastAsia="Times New Roman" w:hAnsi="Times New Roman"/>
          <w:sz w:val="18"/>
          <w:szCs w:val="18"/>
          <w:color w:val="auto"/>
        </w:rPr>
        <w:t>A Ten Percent Stockholder may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an 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62" w:lineRule="auto"/>
        <w:tabs>
          <w:tab w:leader="none" w:pos="2343" w:val="left"/>
        </w:tabs>
        <w:numPr>
          <w:ilvl w:val="2"/>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 may not be granted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76"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2423" w:val="left"/>
        </w:tabs>
        <w:numPr>
          <w:ilvl w:val="2"/>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Dividends or dividend equivalents may be paid or credited, as applicable,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to any shares of Common Stock subject to an Award, as determined by the Board and contained in the applicable Award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no dividends or dividend equivalents may be paid with respect to any such shares before the date such shares have vested under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 that are credited with respect to any such shares will be forfeited to the Company on the date, if any, such shares are forfeited to or repurchased by the Company due to a failure to meet any vesting conditions under the terms of such Award Agreement.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right="20" w:firstLine="656"/>
        <w:spacing w:after="0" w:line="286" w:lineRule="auto"/>
        <w:tabs>
          <w:tab w:leader="none" w:pos="1536"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The aggregate maximum number of shares of Common Stock that may be issued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exercise of Incentive Stock Options is the number of shares specified in Section 2(c).</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754"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Non-Employee Director Compensation Limit. </w:t>
      </w:r>
      <w:r>
        <w:rPr>
          <w:rFonts w:ascii="Times New Roman" w:cs="Times New Roman" w:eastAsia="Times New Roman" w:hAnsi="Times New Roman"/>
          <w:sz w:val="18"/>
          <w:szCs w:val="18"/>
          <w:color w:val="auto"/>
        </w:rPr>
        <w:t>The aggregate value of all compensation granted or paid, as applicable,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for service as a Non-Employee Director with respect to any calendar year, including Awards granted and cash fees paid by the Company to such Non-Employee Director, will not exceed (i) $500,000 in total value or (ii) in the event such Non-Employee Director is first appointed or elected to the Board during such calendar year, $750,000 in total value, in each case calculating the value of any equity awards based on the grant date fair value of such equity awards for financial reporting purposes.</w:t>
      </w:r>
    </w:p>
    <w:p>
      <w:pPr>
        <w:spacing w:after="0" w:line="179" w:lineRule="exact"/>
        <w:rPr>
          <w:rFonts w:ascii="Times New Roman" w:cs="Times New Roman" w:eastAsia="Times New Roman" w:hAnsi="Times New Roman"/>
          <w:sz w:val="18"/>
          <w:szCs w:val="18"/>
          <w:b w:val="1"/>
          <w:bCs w:val="1"/>
          <w:color w:val="auto"/>
        </w:rPr>
      </w:pPr>
    </w:p>
    <w:p>
      <w:pPr>
        <w:ind w:left="820" w:hanging="812"/>
        <w:spacing w:after="0"/>
        <w:tabs>
          <w:tab w:leader="none" w:pos="8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83" w:lineRule="exact"/>
        <w:rPr>
          <w:sz w:val="20"/>
          <w:szCs w:val="20"/>
          <w:color w:val="auto"/>
        </w:rPr>
      </w:pPr>
    </w:p>
    <w:p>
      <w:pPr>
        <w:ind w:right="20" w:firstLine="656"/>
        <w:spacing w:after="0" w:line="286" w:lineRule="auto"/>
        <w:tabs>
          <w:tab w:leader="none" w:pos="1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Section 3(b) regarding Ten Percent Stockholders, no Option or SAR will be exercisable after the expiration of 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from the date of grant of such Award or such shorter period specified in the Award Agreement.</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59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or Strike Price. </w:t>
      </w:r>
      <w:r>
        <w:rPr>
          <w:rFonts w:ascii="Times New Roman" w:cs="Times New Roman" w:eastAsia="Times New Roman" w:hAnsi="Times New Roman"/>
          <w:sz w:val="18"/>
          <w:szCs w:val="18"/>
          <w:color w:val="auto"/>
        </w:rPr>
        <w:t>Subject to Section 3(b) regarding Ten Percent Stockholders, the exercise or strike price of each Option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53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86" w:lineRule="exact"/>
        <w:rPr>
          <w:rFonts w:ascii="Times New Roman" w:cs="Times New Roman" w:eastAsia="Times New Roman" w:hAnsi="Times New Roman"/>
          <w:sz w:val="18"/>
          <w:szCs w:val="18"/>
          <w:b w:val="1"/>
          <w:bCs w:val="1"/>
          <w:color w:val="auto"/>
        </w:rPr>
      </w:pPr>
    </w:p>
    <w:p>
      <w:pPr>
        <w:ind w:left="2240" w:hanging="936"/>
        <w:spacing w:after="0"/>
        <w:tabs>
          <w:tab w:leader="none" w:pos="224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2213"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1304"/>
        <w:spacing w:after="0" w:line="255" w:lineRule="auto"/>
        <w:tabs>
          <w:tab w:leader="none" w:pos="2106"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88"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2154"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79" w:lineRule="exact"/>
        <w:rPr>
          <w:rFonts w:ascii="Times New Roman" w:cs="Times New Roman" w:eastAsia="Times New Roman" w:hAnsi="Times New Roman"/>
          <w:sz w:val="18"/>
          <w:szCs w:val="18"/>
          <w:b w:val="1"/>
          <w:bCs w:val="1"/>
          <w:color w:val="auto"/>
        </w:rPr>
      </w:pPr>
    </w:p>
    <w:p>
      <w:pPr>
        <w:ind w:left="2180" w:hanging="876"/>
        <w:spacing w:after="0"/>
        <w:tabs>
          <w:tab w:leader="none" w:pos="218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221"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71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Appreciation Distribution for SARs. </w:t>
      </w:r>
      <w:r>
        <w:rPr>
          <w:rFonts w:ascii="Times New Roman" w:cs="Times New Roman" w:eastAsia="Times New Roman" w:hAnsi="Times New Roman"/>
          <w:sz w:val="18"/>
          <w:szCs w:val="18"/>
          <w:color w:val="auto"/>
        </w:rPr>
        <w:t>In order to exercise any SAR, the Participant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57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 Option is an Incentive Stock Option, such Option may be deemed to be a Nonstatutory Stock Option as a result of such transfer:</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59" w:lineRule="auto"/>
        <w:tabs>
          <w:tab w:leader="none" w:pos="2568"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1304"/>
        <w:spacing w:after="0" w:line="268" w:lineRule="auto"/>
        <w:tabs>
          <w:tab w:leader="none" w:pos="2226"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subject to the execution of transfer documentation in a format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acceptable to the Company and subject to the approval of the Board or a duly authorized Officer, an Option or SAR may be transferred pursuant to a domestic relations order.</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831"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 exercisability of an Option or SAR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Except as otherwise provided in the Award Agreement or other written agreement between a Participant and the Company or an Affiliate, vesting of Options and SARs will cease upon termination of the Participant’s Continuous Service.</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667"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for Cause. </w:t>
      </w:r>
      <w:r>
        <w:rPr>
          <w:rFonts w:ascii="Times New Roman" w:cs="Times New Roman" w:eastAsia="Times New Roman" w:hAnsi="Times New Roman"/>
          <w:sz w:val="18"/>
          <w:szCs w:val="18"/>
          <w:color w:val="auto"/>
        </w:rPr>
        <w:t>Except as explicitly otherwise provided in the Award Agreement or other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7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83"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246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162" w:lineRule="exact"/>
        <w:rPr>
          <w:sz w:val="20"/>
          <w:szCs w:val="20"/>
          <w:color w:val="auto"/>
        </w:rPr>
      </w:pPr>
    </w:p>
    <w:p>
      <w:pPr>
        <w:ind w:left="2160" w:hanging="856"/>
        <w:spacing w:after="0"/>
        <w:tabs>
          <w:tab w:leader="none" w:pos="21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225" w:lineRule="exact"/>
        <w:rPr>
          <w:rFonts w:ascii="Times New Roman" w:cs="Times New Roman" w:eastAsia="Times New Roman" w:hAnsi="Times New Roman"/>
          <w:sz w:val="18"/>
          <w:szCs w:val="18"/>
          <w:b w:val="1"/>
          <w:bCs w:val="1"/>
          <w:color w:val="auto"/>
        </w:rPr>
      </w:pPr>
    </w:p>
    <w:p>
      <w:pPr>
        <w:ind w:left="2120" w:hanging="816"/>
        <w:spacing w:after="0"/>
        <w:tabs>
          <w:tab w:leader="none" w:pos="21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225"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2167"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76" w:lineRule="exact"/>
        <w:rPr>
          <w:sz w:val="20"/>
          <w:szCs w:val="20"/>
          <w:color w:val="auto"/>
        </w:rPr>
      </w:pPr>
    </w:p>
    <w:p>
      <w:pPr>
        <w:jc w:val="both"/>
        <w:ind w:firstLine="656"/>
        <w:spacing w:after="0" w:line="254" w:lineRule="auto"/>
        <w:tabs>
          <w:tab w:leader="none" w:pos="1839"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 SAR at any time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723"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Non-Exempt Employees</w:t>
      </w:r>
      <w:r>
        <w:rPr>
          <w:rFonts w:ascii="Times New Roman" w:cs="Times New Roman" w:eastAsia="Times New Roman" w:hAnsi="Times New Roman"/>
          <w:sz w:val="18"/>
          <w:szCs w:val="18"/>
          <w:color w:val="auto"/>
        </w:rPr>
        <w:t>. No Option or SAR, whether or not vested, granted to an Employee who is a non-exempt employee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84" w:lineRule="exact"/>
        <w:rPr>
          <w:rFonts w:ascii="Times New Roman" w:cs="Times New Roman" w:eastAsia="Times New Roman" w:hAnsi="Times New Roman"/>
          <w:sz w:val="18"/>
          <w:szCs w:val="18"/>
          <w:b w:val="1"/>
          <w:bCs w:val="1"/>
          <w:color w:val="auto"/>
        </w:rPr>
      </w:pPr>
    </w:p>
    <w:p>
      <w:pPr>
        <w:ind w:left="1500" w:hanging="844"/>
        <w:spacing w:after="0"/>
        <w:tabs>
          <w:tab w:leader="none" w:pos="15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Whole Shares</w:t>
      </w:r>
      <w:r>
        <w:rPr>
          <w:rFonts w:ascii="Times New Roman" w:cs="Times New Roman" w:eastAsia="Times New Roman" w:hAnsi="Times New Roman"/>
          <w:sz w:val="18"/>
          <w:szCs w:val="18"/>
          <w:color w:val="auto"/>
        </w:rPr>
        <w:t>. Options and SARs may be exercised only with respect to whole shares of Common Stock or their equivalents.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820" w:hanging="812"/>
        <w:spacing w:after="0"/>
        <w:tabs>
          <w:tab w:leader="none" w:pos="8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613"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and RSU Awards. </w:t>
      </w:r>
      <w:r>
        <w:rPr>
          <w:rFonts w:ascii="Times New Roman" w:cs="Times New Roman" w:eastAsia="Times New Roman" w:hAnsi="Times New Roman"/>
          <w:sz w:val="18"/>
          <w:szCs w:val="18"/>
          <w:color w:val="auto"/>
        </w:rPr>
        <w:t>Each Restricted Stock Award and RSU Award will have such terms and conditions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70" w:lineRule="exact"/>
        <w:rPr>
          <w:rFonts w:ascii="Times New Roman" w:cs="Times New Roman" w:eastAsia="Times New Roman" w:hAnsi="Times New Roman"/>
          <w:sz w:val="18"/>
          <w:szCs w:val="18"/>
          <w:b w:val="1"/>
          <w:bCs w:val="1"/>
          <w:color w:val="auto"/>
        </w:rPr>
      </w:pPr>
    </w:p>
    <w:p>
      <w:pPr>
        <w:ind w:left="2240" w:hanging="936"/>
        <w:spacing w:after="0"/>
        <w:tabs>
          <w:tab w:leader="none" w:pos="2240" w:val="left"/>
        </w:tabs>
        <w:numPr>
          <w:ilvl w:val="2"/>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229" w:lineRule="exact"/>
        <w:rPr>
          <w:rFonts w:ascii="Times New Roman" w:cs="Times New Roman" w:eastAsia="Times New Roman" w:hAnsi="Times New Roman"/>
          <w:sz w:val="18"/>
          <w:szCs w:val="18"/>
          <w:b w:val="1"/>
          <w:bCs w:val="1"/>
          <w:color w:val="auto"/>
        </w:rPr>
      </w:pPr>
    </w:p>
    <w:p>
      <w:pPr>
        <w:jc w:val="both"/>
        <w:ind w:firstLine="1952"/>
        <w:spacing w:after="0" w:line="258" w:lineRule="auto"/>
        <w:tabs>
          <w:tab w:leader="none" w:pos="3058" w:val="left"/>
        </w:tabs>
        <w:numPr>
          <w:ilvl w:val="3"/>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83" w:lineRule="exact"/>
        <w:rPr>
          <w:rFonts w:ascii="Times New Roman" w:cs="Times New Roman" w:eastAsia="Times New Roman" w:hAnsi="Times New Roman"/>
          <w:sz w:val="18"/>
          <w:szCs w:val="18"/>
          <w:b w:val="1"/>
          <w:bCs w:val="1"/>
          <w:color w:val="auto"/>
        </w:rPr>
      </w:pPr>
    </w:p>
    <w:p>
      <w:pPr>
        <w:jc w:val="both"/>
        <w:ind w:firstLine="1952"/>
        <w:spacing w:after="0" w:line="256" w:lineRule="auto"/>
        <w:tabs>
          <w:tab w:leader="none" w:pos="2869" w:val="left"/>
        </w:tabs>
        <w:numPr>
          <w:ilvl w:val="3"/>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83" w:lineRule="exact"/>
        <w:rPr>
          <w:rFonts w:ascii="Times New Roman" w:cs="Times New Roman" w:eastAsia="Times New Roman" w:hAnsi="Times New Roman"/>
          <w:sz w:val="18"/>
          <w:szCs w:val="18"/>
          <w:b w:val="1"/>
          <w:bCs w:val="1"/>
          <w:color w:val="auto"/>
        </w:rPr>
      </w:pPr>
    </w:p>
    <w:p>
      <w:pPr>
        <w:ind w:left="2160" w:hanging="856"/>
        <w:spacing w:after="0"/>
        <w:tabs>
          <w:tab w:leader="none" w:pos="2160" w:val="left"/>
        </w:tabs>
        <w:numPr>
          <w:ilvl w:val="2"/>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29"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896" w:val="left"/>
        </w:tabs>
        <w:numPr>
          <w:ilvl w:val="3"/>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175" w:lineRule="exact"/>
        <w:rPr>
          <w:rFonts w:ascii="Times New Roman" w:cs="Times New Roman" w:eastAsia="Times New Roman" w:hAnsi="Times New Roman"/>
          <w:sz w:val="18"/>
          <w:szCs w:val="18"/>
          <w:b w:val="1"/>
          <w:bCs w:val="1"/>
          <w:color w:val="auto"/>
        </w:rPr>
      </w:pPr>
    </w:p>
    <w:p>
      <w:pPr>
        <w:jc w:val="both"/>
        <w:ind w:firstLine="1952"/>
        <w:spacing w:after="0" w:line="256" w:lineRule="auto"/>
        <w:tabs>
          <w:tab w:leader="none" w:pos="2855" w:val="left"/>
        </w:tabs>
        <w:numPr>
          <w:ilvl w:val="3"/>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1304"/>
        <w:spacing w:after="0" w:line="268" w:lineRule="auto"/>
        <w:tabs>
          <w:tab w:leader="none" w:pos="216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of a Restricted Stock Award or RSU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2329"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 other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a 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2504"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Subject to Section 3(b)(v), dividends or dividend equivalents may be paid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credited, as applicable, with respect to any shares of Common Stock subject to a Restricted Stock Award or RSU Award, as determined by the Board and specified in the Award Agreement.</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2329"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RSU Awards</w:t>
      </w:r>
      <w:r>
        <w:rPr>
          <w:rFonts w:ascii="Times New Roman" w:cs="Times New Roman" w:eastAsia="Times New Roman" w:hAnsi="Times New Roman"/>
          <w:sz w:val="18"/>
          <w:szCs w:val="18"/>
          <w:color w:val="auto"/>
        </w:rPr>
        <w:t>. A RSU Award may be settled by the issuance of shares of Common Stock or cash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579"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With respect to any Performance Award, the length of any Performance Period, the Performance Goals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achieved during the Performance Period, the other terms and conditions of such Award, and the measure of whether and to what degree such Performance Goals have been attained will be determined by the Board.</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603"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Awards</w:t>
      </w:r>
      <w:r>
        <w:rPr>
          <w:rFonts w:ascii="Times New Roman" w:cs="Times New Roman" w:eastAsia="Times New Roman" w:hAnsi="Times New Roman"/>
          <w:sz w:val="18"/>
          <w:szCs w:val="18"/>
          <w:color w:val="auto"/>
        </w:rPr>
        <w:t>. Other forms of Awards valued in whole or in part by reference to, or otherwise based on, Common Stock,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780" w:hanging="772"/>
        <w:spacing w:after="0"/>
        <w:tabs>
          <w:tab w:leader="none" w:pos="7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vents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532"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shall appropriately and proportionately adjust: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class(es) and maximum number of shares of Common Stock subject to the Plan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538"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Except as otherwise provided in the Award Agreement, in the event of a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698"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 </w:t>
      </w:r>
      <w:r>
        <w:rPr>
          <w:rFonts w:ascii="Times New Roman" w:cs="Times New Roman" w:eastAsia="Times New Roman" w:hAnsi="Times New Roman"/>
          <w:sz w:val="18"/>
          <w:szCs w:val="18"/>
          <w:color w:val="auto"/>
        </w:rPr>
        <w:t>The following provisions will apply to Awards in the event of a Corporate Transaction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 instrument evidencing the Award or any other written agreement between the Company or any Affiliate and the Participant or unless otherwise expressly provided by the Board at the time of grant of an Award.</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2284" w:val="left"/>
        </w:tabs>
        <w:numPr>
          <w:ilvl w:val="2"/>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Corporate Transaction, any surviving corporation or acquiring corporation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84"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2388" w:val="left"/>
        </w:tabs>
        <w:numPr>
          <w:ilvl w:val="2"/>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Current Participants. </w:t>
      </w:r>
      <w:r>
        <w:rPr>
          <w:rFonts w:ascii="Times New Roman" w:cs="Times New Roman" w:eastAsia="Times New Roman" w:hAnsi="Times New Roman"/>
          <w:sz w:val="18"/>
          <w:szCs w:val="18"/>
          <w:color w:val="auto"/>
        </w:rPr>
        <w:t>In the event of a Corporate Transaction in which the surviving corporation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1304"/>
        <w:spacing w:after="0" w:line="257" w:lineRule="auto"/>
        <w:tabs>
          <w:tab w:leader="none" w:pos="2173" w:val="left"/>
        </w:tabs>
        <w:numPr>
          <w:ilvl w:val="2"/>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Corporate Transaction in which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9" w:lineRule="auto"/>
        <w:tabs>
          <w:tab w:leader="none" w:pos="2383" w:val="left"/>
        </w:tabs>
        <w:numPr>
          <w:ilvl w:val="2"/>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for Awards in Lieu of Exercise. </w:t>
      </w:r>
      <w:r>
        <w:rPr>
          <w:rFonts w:ascii="Times New Roman" w:cs="Times New Roman" w:eastAsia="Times New Roman" w:hAnsi="Times New Roman"/>
          <w:sz w:val="18"/>
          <w:szCs w:val="18"/>
          <w:color w:val="auto"/>
        </w:rPr>
        <w:t>Notwithstanding the foregoing, in the event an Award will terminate if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511"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 Plan, a Participant will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576"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Restriction on Right to Undertake Transactions</w:t>
      </w:r>
      <w:r>
        <w:rPr>
          <w:rFonts w:ascii="Times New Roman" w:cs="Times New Roman" w:eastAsia="Times New Roman" w:hAnsi="Times New Roman"/>
          <w:sz w:val="18"/>
          <w:szCs w:val="18"/>
          <w:color w:val="auto"/>
        </w:rPr>
        <w:t>. The grant of any Award under the Plan and the issuance of shares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82" w:lineRule="exact"/>
        <w:rPr>
          <w:rFonts w:ascii="Times New Roman" w:cs="Times New Roman" w:eastAsia="Times New Roman" w:hAnsi="Times New Roman"/>
          <w:sz w:val="18"/>
          <w:szCs w:val="18"/>
          <w:b w:val="1"/>
          <w:bCs w:val="1"/>
          <w:color w:val="auto"/>
        </w:rPr>
      </w:pPr>
    </w:p>
    <w:p>
      <w:pPr>
        <w:ind w:left="820" w:hanging="812"/>
        <w:spacing w:after="0"/>
        <w:tabs>
          <w:tab w:leader="none" w:pos="8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dministration</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654"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 administration of the Plan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or Committees, as provided in subsection (c) below.</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left="1500" w:hanging="844"/>
        <w:spacing w:after="0"/>
        <w:tabs>
          <w:tab w:leader="none" w:pos="15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2298"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and (6) the Fair Market Value applicable to an Award.</w:t>
      </w:r>
    </w:p>
    <w:p>
      <w:pPr>
        <w:spacing w:after="0" w:line="183"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2199"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75" w:lineRule="exact"/>
        <w:rPr>
          <w:rFonts w:ascii="Times New Roman" w:cs="Times New Roman" w:eastAsia="Times New Roman" w:hAnsi="Times New Roman"/>
          <w:sz w:val="18"/>
          <w:szCs w:val="18"/>
          <w:b w:val="1"/>
          <w:bCs w:val="1"/>
          <w:color w:val="auto"/>
        </w:rPr>
      </w:pPr>
    </w:p>
    <w:p>
      <w:pPr>
        <w:ind w:left="2120" w:hanging="816"/>
        <w:spacing w:after="0"/>
        <w:tabs>
          <w:tab w:leader="none" w:pos="212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25" w:lineRule="exact"/>
        <w:rPr>
          <w:rFonts w:ascii="Times New Roman" w:cs="Times New Roman" w:eastAsia="Times New Roman" w:hAnsi="Times New Roman"/>
          <w:sz w:val="18"/>
          <w:szCs w:val="18"/>
          <w:b w:val="1"/>
          <w:bCs w:val="1"/>
          <w:color w:val="auto"/>
        </w:rPr>
      </w:pPr>
    </w:p>
    <w:p>
      <w:pPr>
        <w:ind w:right="20" w:firstLine="1304"/>
        <w:spacing w:after="0" w:line="282" w:lineRule="auto"/>
        <w:tabs>
          <w:tab w:leader="none" w:pos="2221"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245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79" w:lineRule="exact"/>
        <w:rPr>
          <w:rFonts w:ascii="Times New Roman" w:cs="Times New Roman" w:eastAsia="Times New Roman" w:hAnsi="Times New Roman"/>
          <w:sz w:val="18"/>
          <w:szCs w:val="18"/>
          <w:b w:val="1"/>
          <w:bCs w:val="1"/>
          <w:color w:val="auto"/>
        </w:rPr>
      </w:pPr>
    </w:p>
    <w:p>
      <w:pPr>
        <w:ind w:right="20" w:firstLine="1304"/>
        <w:spacing w:after="0" w:line="282" w:lineRule="auto"/>
        <w:tabs>
          <w:tab w:leader="none" w:pos="2289"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1304"/>
        <w:spacing w:after="0" w:line="261" w:lineRule="auto"/>
        <w:tabs>
          <w:tab w:leader="none" w:pos="2110"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81" w:lineRule="exact"/>
        <w:rPr>
          <w:rFonts w:ascii="Times New Roman" w:cs="Times New Roman" w:eastAsia="Times New Roman" w:hAnsi="Times New Roman"/>
          <w:sz w:val="18"/>
          <w:szCs w:val="18"/>
          <w:b w:val="1"/>
          <w:bCs w:val="1"/>
          <w:color w:val="auto"/>
        </w:rPr>
      </w:pPr>
    </w:p>
    <w:p>
      <w:pPr>
        <w:ind w:left="2020" w:hanging="716"/>
        <w:spacing w:after="0"/>
        <w:tabs>
          <w:tab w:leader="none" w:pos="2020"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81" w:lineRule="auto"/>
        <w:tabs>
          <w:tab w:leader="none" w:pos="2140" w:val="left"/>
        </w:tabs>
        <w:numPr>
          <w:ilvl w:val="1"/>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Participant’s rights under any Award will not be Materially Impaired by any such amendment unless (1) the Company requests the consent of the affected Participant, and (2) such Participant consents in writing.</w:t>
      </w:r>
    </w:p>
    <w:p>
      <w:pPr>
        <w:spacing w:after="0" w:line="164" w:lineRule="exact"/>
        <w:rPr>
          <w:rFonts w:ascii="Times New Roman" w:cs="Times New Roman" w:eastAsia="Times New Roman" w:hAnsi="Times New Roman"/>
          <w:sz w:val="17"/>
          <w:szCs w:val="17"/>
          <w:b w:val="1"/>
          <w:bCs w:val="1"/>
          <w:color w:val="auto"/>
        </w:rPr>
      </w:pPr>
    </w:p>
    <w:p>
      <w:pPr>
        <w:ind w:right="20" w:firstLine="1304"/>
        <w:spacing w:after="0" w:line="282" w:lineRule="auto"/>
        <w:tabs>
          <w:tab w:leader="none" w:pos="2248"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2154"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75" w:lineRule="exact"/>
        <w:rPr>
          <w:rFonts w:ascii="Times New Roman" w:cs="Times New Roman" w:eastAsia="Times New Roman" w:hAnsi="Times New Roman"/>
          <w:sz w:val="18"/>
          <w:szCs w:val="18"/>
          <w:b w:val="1"/>
          <w:bCs w:val="1"/>
          <w:color w:val="auto"/>
        </w:rPr>
      </w:pPr>
    </w:p>
    <w:p>
      <w:pPr>
        <w:ind w:left="1540" w:hanging="884"/>
        <w:spacing w:after="0"/>
        <w:tabs>
          <w:tab w:leader="none" w:pos="15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2622"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84" w:lineRule="exact"/>
        <w:rPr>
          <w:rFonts w:ascii="Times New Roman" w:cs="Times New Roman" w:eastAsia="Times New Roman" w:hAnsi="Times New Roman"/>
          <w:sz w:val="18"/>
          <w:szCs w:val="18"/>
          <w:b w:val="1"/>
          <w:bCs w:val="1"/>
          <w:color w:val="auto"/>
        </w:rPr>
      </w:pPr>
    </w:p>
    <w:p>
      <w:pPr>
        <w:jc w:val="both"/>
        <w:ind w:firstLine="1304"/>
        <w:spacing w:after="0" w:line="262" w:lineRule="auto"/>
        <w:tabs>
          <w:tab w:leader="none" w:pos="2145"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To the extent an Award is intended to qualify for the exemption from Section 16(b) of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 w:name="page22"/>
    <w:bookmarkEnd w:id="21"/>
    <w:p>
      <w:pPr>
        <w:ind w:left="-8" w:right="20" w:firstLine="656"/>
        <w:spacing w:after="0" w:line="286" w:lineRule="auto"/>
        <w:tabs>
          <w:tab w:leader="none" w:pos="1544"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or any Committee in good faith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not be subject to review by any person and will be final, binding and conclusive on all persons.</w:t>
      </w:r>
    </w:p>
    <w:p>
      <w:pPr>
        <w:spacing w:after="0" w:line="154" w:lineRule="exact"/>
        <w:rPr>
          <w:rFonts w:ascii="Times New Roman" w:cs="Times New Roman" w:eastAsia="Times New Roman" w:hAnsi="Times New Roman"/>
          <w:sz w:val="18"/>
          <w:szCs w:val="18"/>
          <w:b w:val="1"/>
          <w:bCs w:val="1"/>
          <w:color w:val="auto"/>
        </w:rPr>
      </w:pPr>
    </w:p>
    <w:p>
      <w:pPr>
        <w:jc w:val="both"/>
        <w:ind w:left="-8" w:firstLine="656"/>
        <w:spacing w:after="0" w:line="262" w:lineRule="auto"/>
        <w:tabs>
          <w:tab w:leader="none" w:pos="1528"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Cancellation and Re-Grant of Awards</w:t>
      </w:r>
      <w:r>
        <w:rPr>
          <w:rFonts w:ascii="Times New Roman" w:cs="Times New Roman" w:eastAsia="Times New Roman" w:hAnsi="Times New Roman"/>
          <w:sz w:val="18"/>
          <w:szCs w:val="18"/>
          <w:color w:val="auto"/>
        </w:rPr>
        <w:t>. Neither the Board nor any Committee will have the authority to: (i) reduce the 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strike price of any outstanding Options or SARs under the Plan, or (ii) cancel any outstanding Options or SARs that have an exercise price or strike price greater than the current Fair Market Value in exchange for cash or other Awards under the Plan, unless the stockholders of the Company have approved such an action within twelve months prior to such an event.</w:t>
      </w:r>
    </w:p>
    <w:p>
      <w:pPr>
        <w:spacing w:after="0" w:line="176" w:lineRule="exact"/>
        <w:rPr>
          <w:rFonts w:ascii="Times New Roman" w:cs="Times New Roman" w:eastAsia="Times New Roman" w:hAnsi="Times New Roman"/>
          <w:sz w:val="18"/>
          <w:szCs w:val="18"/>
          <w:b w:val="1"/>
          <w:bCs w:val="1"/>
          <w:color w:val="auto"/>
        </w:rPr>
      </w:pPr>
    </w:p>
    <w:p>
      <w:pPr>
        <w:jc w:val="both"/>
        <w:ind w:left="-8" w:firstLine="656"/>
        <w:spacing w:after="0" w:line="254" w:lineRule="auto"/>
        <w:tabs>
          <w:tab w:leader="none" w:pos="16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an Officer. </w:t>
      </w:r>
      <w:r>
        <w:rPr>
          <w:rFonts w:ascii="Times New Roman" w:cs="Times New Roman" w:eastAsia="Times New Roman" w:hAnsi="Times New Roman"/>
          <w:sz w:val="18"/>
          <w:szCs w:val="18"/>
          <w:color w:val="auto"/>
        </w:rPr>
        <w:t>The Board or any Committee may delegate to one or more Officers the authority to do one or both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188" w:lineRule="exact"/>
        <w:rPr>
          <w:rFonts w:ascii="Times New Roman" w:cs="Times New Roman" w:eastAsia="Times New Roman" w:hAnsi="Times New Roman"/>
          <w:sz w:val="18"/>
          <w:szCs w:val="18"/>
          <w:b w:val="1"/>
          <w:bCs w:val="1"/>
          <w:color w:val="auto"/>
        </w:rPr>
      </w:pPr>
    </w:p>
    <w:p>
      <w:pPr>
        <w:ind w:left="812" w:hanging="812"/>
        <w:spacing w:after="0"/>
        <w:tabs>
          <w:tab w:leader="none" w:pos="812"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ithholding</w:t>
      </w:r>
    </w:p>
    <w:p>
      <w:pPr>
        <w:spacing w:after="0" w:line="225" w:lineRule="exact"/>
        <w:rPr>
          <w:rFonts w:ascii="Times New Roman" w:cs="Times New Roman" w:eastAsia="Times New Roman" w:hAnsi="Times New Roman"/>
          <w:sz w:val="18"/>
          <w:szCs w:val="18"/>
          <w:b w:val="1"/>
          <w:bCs w:val="1"/>
          <w:color w:val="auto"/>
        </w:rPr>
      </w:pPr>
    </w:p>
    <w:p>
      <w:pPr>
        <w:jc w:val="both"/>
        <w:ind w:left="-8" w:firstLine="656"/>
        <w:spacing w:after="0" w:line="257" w:lineRule="auto"/>
        <w:tabs>
          <w:tab w:leader="none" w:pos="1646"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 Participant authorizes withholding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grant,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2" w:lineRule="exact"/>
        <w:rPr>
          <w:rFonts w:ascii="Times New Roman" w:cs="Times New Roman" w:eastAsia="Times New Roman" w:hAnsi="Times New Roman"/>
          <w:sz w:val="18"/>
          <w:szCs w:val="18"/>
          <w:b w:val="1"/>
          <w:bCs w:val="1"/>
          <w:color w:val="auto"/>
        </w:rPr>
      </w:pPr>
    </w:p>
    <w:p>
      <w:pPr>
        <w:jc w:val="both"/>
        <w:ind w:left="-8" w:firstLine="656"/>
        <w:spacing w:after="0" w:line="256" w:lineRule="auto"/>
        <w:tabs>
          <w:tab w:leader="none" w:pos="153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Satisfaction of Withholding Obligation. </w:t>
      </w:r>
      <w:r>
        <w:rPr>
          <w:rFonts w:ascii="Times New Roman" w:cs="Times New Roman" w:eastAsia="Times New Roman" w:hAnsi="Times New Roman"/>
          <w:sz w:val="18"/>
          <w:szCs w:val="18"/>
          <w:color w:val="auto"/>
        </w:rPr>
        <w:t>To the extent permitted by the terms of an Award Agreement, the Company may,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39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2" w:name="page23"/>
    <w:bookmarkEnd w:id="22"/>
    <w:p>
      <w:pPr>
        <w:jc w:val="both"/>
        <w:ind w:firstLine="656"/>
        <w:spacing w:after="0" w:line="253" w:lineRule="auto"/>
        <w:tabs>
          <w:tab w:leader="none" w:pos="1630"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No Liability to Claims. </w:t>
      </w:r>
      <w:r>
        <w:rPr>
          <w:rFonts w:ascii="Times New Roman" w:cs="Times New Roman" w:eastAsia="Times New Roman" w:hAnsi="Times New Roman"/>
          <w:sz w:val="18"/>
          <w:szCs w:val="18"/>
          <w:color w:val="auto"/>
        </w:rPr>
        <w:t>Except as required by Applicable Law the Company has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579"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Indemnification. </w:t>
      </w:r>
      <w:r>
        <w:rPr>
          <w:rFonts w:ascii="Times New Roman" w:cs="Times New Roman" w:eastAsia="Times New Roman" w:hAnsi="Times New Roman"/>
          <w:sz w:val="18"/>
          <w:szCs w:val="18"/>
          <w:color w:val="auto"/>
        </w:rPr>
        <w:t>As a condition to accepting an Award under the Plan, in the event that the amount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76" w:lineRule="exact"/>
        <w:rPr>
          <w:rFonts w:ascii="Times New Roman" w:cs="Times New Roman" w:eastAsia="Times New Roman" w:hAnsi="Times New Roman"/>
          <w:sz w:val="18"/>
          <w:szCs w:val="18"/>
          <w:b w:val="1"/>
          <w:bCs w:val="1"/>
          <w:color w:val="auto"/>
        </w:rPr>
      </w:pPr>
    </w:p>
    <w:p>
      <w:pPr>
        <w:ind w:left="780" w:hanging="772"/>
        <w:spacing w:after="0"/>
        <w:tabs>
          <w:tab w:leader="none" w:pos="7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843"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shares repurchased by the Company on the open market or otherwise.</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781"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general funds of the Company.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656"/>
        <w:spacing w:after="0" w:line="256" w:lineRule="auto"/>
        <w:tabs>
          <w:tab w:leader="none" w:pos="1806"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606"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59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80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Time Commitment</w:t>
      </w:r>
      <w:r>
        <w:rPr>
          <w:rFonts w:ascii="Times New Roman" w:cs="Times New Roman" w:eastAsia="Times New Roman" w:hAnsi="Times New Roman"/>
          <w:sz w:val="18"/>
          <w:szCs w:val="18"/>
          <w:color w:val="auto"/>
        </w:rPr>
        <w:t>. In the event a Participant’s regular level of time commitment in the performance of his or 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65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under the Plan, the Participant agrees to execute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4" w:name="page25"/>
    <w:bookmarkEnd w:id="24"/>
    <w:p>
      <w:pPr>
        <w:jc w:val="both"/>
        <w:ind w:firstLine="656"/>
        <w:spacing w:after="0" w:line="257" w:lineRule="auto"/>
        <w:tabs>
          <w:tab w:leader="none" w:pos="1579"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 and Participation</w:t>
      </w:r>
      <w:r>
        <w:rPr>
          <w:rFonts w:ascii="Times New Roman" w:cs="Times New Roman" w:eastAsia="Times New Roman" w:hAnsi="Times New Roman"/>
          <w:sz w:val="18"/>
          <w:szCs w:val="18"/>
          <w:color w:val="auto"/>
        </w:rPr>
        <w:t>. Any reference herein or in an Award Agreement to a “written” agreement or document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587"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Clawback/Recovery</w:t>
      </w:r>
      <w:r>
        <w:rPr>
          <w:rFonts w:ascii="Times New Roman" w:cs="Times New Roman" w:eastAsia="Times New Roman" w:hAnsi="Times New Roman"/>
          <w:sz w:val="18"/>
          <w:szCs w:val="18"/>
          <w:color w:val="auto"/>
        </w:rPr>
        <w:t>. All Awards granted under the Plan will be subject to recoupment in accordance with any clawback policy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759"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687"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 form of Award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713"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 determined upon grant, vesting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656"/>
        <w:spacing w:after="0" w:line="268" w:lineRule="auto"/>
        <w:tabs>
          <w:tab w:leader="none" w:pos="1552"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or 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1498"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 Award Agreements will be interpreted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89"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532"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hoice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and any controversy arising out of or relating to this Plan shall be governed by, and construed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internal laws of the State of Delaware, without regard to conflict of law principles that would result in any application of any law other than the law of the State of Delaware.</w:t>
      </w:r>
    </w:p>
    <w:p>
      <w:pPr>
        <w:spacing w:after="0" w:line="170" w:lineRule="exact"/>
        <w:rPr>
          <w:rFonts w:ascii="Times New Roman" w:cs="Times New Roman" w:eastAsia="Times New Roman" w:hAnsi="Times New Roman"/>
          <w:sz w:val="18"/>
          <w:szCs w:val="18"/>
          <w:b w:val="1"/>
          <w:bCs w:val="1"/>
          <w:color w:val="auto"/>
        </w:rPr>
      </w:pPr>
    </w:p>
    <w:p>
      <w:pPr>
        <w:ind w:left="860" w:hanging="852"/>
        <w:spacing w:after="0"/>
        <w:tabs>
          <w:tab w:leader="none" w:pos="8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748"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Law. </w:t>
      </w:r>
      <w:r>
        <w:rPr>
          <w:rFonts w:ascii="Times New Roman" w:cs="Times New Roman" w:eastAsia="Times New Roman" w:hAnsi="Times New Roman"/>
          <w:sz w:val="18"/>
          <w:szCs w:val="18"/>
          <w:color w:val="auto"/>
        </w:rPr>
        <w:t>The Company will seek to obtain from each regulatory commission or agency, as may be deemed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84" w:lineRule="exact"/>
        <w:rPr>
          <w:rFonts w:ascii="Times New Roman" w:cs="Times New Roman" w:eastAsia="Times New Roman" w:hAnsi="Times New Roman"/>
          <w:sz w:val="18"/>
          <w:szCs w:val="18"/>
          <w:b w:val="1"/>
          <w:bCs w:val="1"/>
          <w:color w:val="auto"/>
        </w:rPr>
      </w:pPr>
    </w:p>
    <w:p>
      <w:pPr>
        <w:ind w:left="860" w:hanging="852"/>
        <w:spacing w:after="0"/>
        <w:tabs>
          <w:tab w:leader="none" w:pos="8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everability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6" w:lineRule="exact"/>
        <w:rPr>
          <w:sz w:val="20"/>
          <w:szCs w:val="20"/>
          <w:color w:val="auto"/>
        </w:rPr>
      </w:pPr>
    </w:p>
    <w:p>
      <w:pPr>
        <w:ind w:left="860" w:hanging="852"/>
        <w:spacing w:after="0"/>
        <w:tabs>
          <w:tab w:leader="none" w:pos="8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 earlier of:</w:t>
      </w:r>
    </w:p>
    <w:p>
      <w:pPr>
        <w:spacing w:after="0" w:line="27" w:lineRule="exact"/>
        <w:rPr>
          <w:sz w:val="20"/>
          <w:szCs w:val="20"/>
          <w:color w:val="auto"/>
        </w:rPr>
      </w:pPr>
    </w:p>
    <w:p>
      <w:pPr>
        <w:ind w:left="5520" w:right="920" w:hanging="5512"/>
        <w:spacing w:after="0" w:line="761" w:lineRule="auto"/>
        <w:tabs>
          <w:tab w:leader="none" w:pos="23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Date, or (ii) the Effective Date. No Awards may be granted under the Plan while the Plan is suspended or after it is terminated.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left="860" w:hanging="852"/>
        <w:spacing w:after="0"/>
        <w:tabs>
          <w:tab w:leader="none" w:pos="8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221" w:lineRule="exact"/>
        <w:rPr>
          <w:sz w:val="20"/>
          <w:szCs w:val="20"/>
          <w:color w:val="auto"/>
        </w:rPr>
      </w:pPr>
    </w:p>
    <w:p>
      <w:pPr>
        <w:ind w:left="1540" w:hanging="884"/>
        <w:spacing w:after="0"/>
        <w:tabs>
          <w:tab w:leader="none" w:pos="1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Corporate Transaction.</w:t>
      </w:r>
    </w:p>
    <w:p>
      <w:pPr>
        <w:spacing w:after="0" w:line="225" w:lineRule="exact"/>
        <w:rPr>
          <w:rFonts w:ascii="Times New Roman" w:cs="Times New Roman" w:eastAsia="Times New Roman" w:hAnsi="Times New Roman"/>
          <w:sz w:val="18"/>
          <w:szCs w:val="18"/>
          <w:b w:val="1"/>
          <w:bCs w:val="1"/>
          <w:color w:val="auto"/>
        </w:rPr>
      </w:pPr>
    </w:p>
    <w:p>
      <w:pPr>
        <w:ind w:left="1560" w:hanging="904"/>
        <w:spacing w:after="0"/>
        <w:tabs>
          <w:tab w:leader="none" w:pos="15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617"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57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711"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 RSU Award, a SAR, a Performance Award or any Other Award).</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65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528"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538"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538"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ind w:firstLine="656"/>
        <w:spacing w:after="0" w:line="268" w:lineRule="auto"/>
        <w:tabs>
          <w:tab w:leader="none" w:pos="164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174" w:lineRule="exact"/>
        <w:rPr>
          <w:rFonts w:ascii="Times New Roman" w:cs="Times New Roman" w:eastAsia="Times New Roman" w:hAnsi="Times New Roman"/>
          <w:sz w:val="18"/>
          <w:szCs w:val="18"/>
          <w:b w:val="1"/>
          <w:bCs w:val="1"/>
          <w:color w:val="auto"/>
        </w:rPr>
      </w:pPr>
    </w:p>
    <w:p>
      <w:pPr>
        <w:jc w:val="both"/>
        <w:ind w:left="80" w:firstLine="1305"/>
        <w:spacing w:after="0" w:line="253" w:lineRule="auto"/>
        <w:tabs>
          <w:tab w:leader="none" w:pos="2391"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91" w:lineRule="exact"/>
        <w:rPr>
          <w:rFonts w:ascii="Times New Roman" w:cs="Times New Roman" w:eastAsia="Times New Roman" w:hAnsi="Times New Roman"/>
          <w:sz w:val="18"/>
          <w:szCs w:val="18"/>
          <w:b w:val="1"/>
          <w:bCs w:val="1"/>
          <w:color w:val="auto"/>
        </w:rPr>
      </w:pPr>
    </w:p>
    <w:p>
      <w:pPr>
        <w:jc w:val="both"/>
        <w:ind w:left="80" w:firstLine="1305"/>
        <w:spacing w:after="0" w:line="256" w:lineRule="auto"/>
        <w:tabs>
          <w:tab w:leader="none" w:pos="2464"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7" w:lineRule="exact"/>
        <w:rPr>
          <w:rFonts w:ascii="Times New Roman" w:cs="Times New Roman" w:eastAsia="Times New Roman" w:hAnsi="Times New Roman"/>
          <w:sz w:val="18"/>
          <w:szCs w:val="18"/>
          <w:b w:val="1"/>
          <w:bCs w:val="1"/>
          <w:color w:val="auto"/>
        </w:rPr>
      </w:pPr>
    </w:p>
    <w:p>
      <w:pPr>
        <w:ind w:left="80" w:firstLine="1305"/>
        <w:spacing w:after="0" w:line="282" w:lineRule="auto"/>
        <w:tabs>
          <w:tab w:leader="none" w:pos="2577"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61" w:lineRule="exact"/>
        <w:rPr>
          <w:rFonts w:ascii="Times New Roman" w:cs="Times New Roman" w:eastAsia="Times New Roman" w:hAnsi="Times New Roman"/>
          <w:sz w:val="18"/>
          <w:szCs w:val="18"/>
          <w:b w:val="1"/>
          <w:bCs w:val="1"/>
          <w:color w:val="auto"/>
        </w:rPr>
      </w:pPr>
    </w:p>
    <w:p>
      <w:pPr>
        <w:jc w:val="both"/>
        <w:ind w:left="80" w:firstLine="1305"/>
        <w:spacing w:after="0" w:line="258" w:lineRule="auto"/>
        <w:tabs>
          <w:tab w:leader="none" w:pos="2558"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79" w:lineRule="exact"/>
        <w:rPr>
          <w:rFonts w:ascii="Times New Roman" w:cs="Times New Roman" w:eastAsia="Times New Roman" w:hAnsi="Times New Roman"/>
          <w:sz w:val="18"/>
          <w:szCs w:val="18"/>
          <w:b w:val="1"/>
          <w:bCs w:val="1"/>
          <w:color w:val="auto"/>
        </w:rPr>
      </w:pPr>
    </w:p>
    <w:p>
      <w:pPr>
        <w:jc w:val="both"/>
        <w:ind w:left="80" w:firstLine="1305"/>
        <w:spacing w:after="0" w:line="262" w:lineRule="auto"/>
        <w:tabs>
          <w:tab w:leader="none" w:pos="2449"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179" w:lineRule="exact"/>
        <w:rPr>
          <w:sz w:val="20"/>
          <w:szCs w:val="20"/>
          <w:color w:val="auto"/>
        </w:rPr>
      </w:pPr>
    </w:p>
    <w:p>
      <w:pPr>
        <w:ind w:left="1500" w:hanging="844"/>
        <w:spacing w:after="0"/>
        <w:tabs>
          <w:tab w:leader="none" w:pos="15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519"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Directors to whom authority has been delegated by the Board or Compensation Committee in accordance with the Plan.</w:t>
      </w:r>
    </w:p>
    <w:p>
      <w:pPr>
        <w:spacing w:after="0" w:line="154" w:lineRule="exact"/>
        <w:rPr>
          <w:rFonts w:ascii="Times New Roman" w:cs="Times New Roman" w:eastAsia="Times New Roman" w:hAnsi="Times New Roman"/>
          <w:sz w:val="18"/>
          <w:szCs w:val="18"/>
          <w:b w:val="1"/>
          <w:bCs w:val="1"/>
          <w:color w:val="auto"/>
        </w:rPr>
      </w:pPr>
    </w:p>
    <w:p>
      <w:pPr>
        <w:ind w:left="1560" w:hanging="904"/>
        <w:spacing w:after="0"/>
        <w:tabs>
          <w:tab w:leader="none" w:pos="15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b w:val="1"/>
          <w:bCs w:val="1"/>
          <w:color w:val="auto"/>
        </w:rPr>
      </w:pPr>
    </w:p>
    <w:p>
      <w:pPr>
        <w:ind w:left="1500" w:hanging="844"/>
        <w:spacing w:after="0"/>
        <w:tabs>
          <w:tab w:leader="none" w:pos="15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Marker Therapeutics, Inc.,</w:t>
      </w:r>
      <w:r>
        <w:rPr>
          <w:rFonts w:ascii="Times New Roman" w:cs="Times New Roman" w:eastAsia="Times New Roman" w:hAnsi="Times New Roman"/>
          <w:sz w:val="18"/>
          <w:szCs w:val="18"/>
          <w:color w:val="auto"/>
        </w:rPr>
        <w:t xml:space="preserve"> a Delaware corporation.</w:t>
      </w:r>
    </w:p>
    <w:p>
      <w:pPr>
        <w:spacing w:after="0" w:line="225" w:lineRule="exact"/>
        <w:rPr>
          <w:rFonts w:ascii="Times New Roman" w:cs="Times New Roman" w:eastAsia="Times New Roman" w:hAnsi="Times New Roman"/>
          <w:sz w:val="18"/>
          <w:szCs w:val="18"/>
          <w:b w:val="1"/>
          <w:bCs w:val="1"/>
          <w:color w:val="auto"/>
        </w:rPr>
      </w:pPr>
    </w:p>
    <w:p>
      <w:pPr>
        <w:ind w:left="1540" w:hanging="884"/>
        <w:spacing w:after="0"/>
        <w:tabs>
          <w:tab w:leader="none" w:pos="1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718"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1646"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1560" w:hanging="904"/>
        <w:spacing w:after="0"/>
        <w:tabs>
          <w:tab w:leader="none" w:pos="15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events:</w:t>
      </w:r>
    </w:p>
    <w:p>
      <w:pPr>
        <w:spacing w:after="0" w:line="206" w:lineRule="exact"/>
        <w:rPr>
          <w:rFonts w:ascii="Times New Roman" w:cs="Times New Roman" w:eastAsia="Times New Roman" w:hAnsi="Times New Roman"/>
          <w:sz w:val="18"/>
          <w:szCs w:val="18"/>
          <w:b w:val="1"/>
          <w:bCs w:val="1"/>
          <w:color w:val="auto"/>
        </w:rPr>
      </w:pPr>
    </w:p>
    <w:p>
      <w:pPr>
        <w:ind w:left="2340" w:hanging="955"/>
        <w:spacing w:after="0"/>
        <w:tabs>
          <w:tab w:leader="none" w:pos="2340"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w:t>
      </w:r>
    </w:p>
    <w:p>
      <w:pPr>
        <w:spacing w:after="0" w:line="27" w:lineRule="exact"/>
        <w:rPr>
          <w:rFonts w:ascii="Times New Roman" w:cs="Times New Roman" w:eastAsia="Times New Roman" w:hAnsi="Times New Roman"/>
          <w:sz w:val="18"/>
          <w:szCs w:val="18"/>
          <w:b w:val="1"/>
          <w:bCs w:val="1"/>
          <w:color w:val="auto"/>
        </w:rPr>
      </w:pPr>
    </w:p>
    <w:p>
      <w:pPr>
        <w:ind w:left="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and its Subsidiaries;</w:t>
      </w:r>
    </w:p>
    <w:p>
      <w:pPr>
        <w:spacing w:after="0" w:line="206" w:lineRule="exact"/>
        <w:rPr>
          <w:rFonts w:ascii="Times New Roman" w:cs="Times New Roman" w:eastAsia="Times New Roman" w:hAnsi="Times New Roman"/>
          <w:sz w:val="18"/>
          <w:szCs w:val="18"/>
          <w:b w:val="1"/>
          <w:bCs w:val="1"/>
          <w:color w:val="auto"/>
        </w:rPr>
      </w:pPr>
    </w:p>
    <w:p>
      <w:pPr>
        <w:ind w:left="2320" w:hanging="935"/>
        <w:spacing w:after="0"/>
        <w:tabs>
          <w:tab w:leader="none" w:pos="2320"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2320" w:hanging="935"/>
        <w:spacing w:after="0"/>
        <w:tabs>
          <w:tab w:leader="none" w:pos="2320"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25" w:lineRule="exact"/>
        <w:rPr>
          <w:rFonts w:ascii="Times New Roman" w:cs="Times New Roman" w:eastAsia="Times New Roman" w:hAnsi="Times New Roman"/>
          <w:sz w:val="18"/>
          <w:szCs w:val="18"/>
          <w:b w:val="1"/>
          <w:bCs w:val="1"/>
          <w:color w:val="auto"/>
        </w:rPr>
      </w:pPr>
    </w:p>
    <w:p>
      <w:pPr>
        <w:jc w:val="both"/>
        <w:ind w:left="80" w:firstLine="1305"/>
        <w:spacing w:after="0" w:line="266" w:lineRule="auto"/>
        <w:tabs>
          <w:tab w:leader="none" w:pos="2378"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1" w:lineRule="exact"/>
        <w:rPr>
          <w:rFonts w:ascii="Times New Roman" w:cs="Times New Roman" w:eastAsia="Times New Roman" w:hAnsi="Times New Roman"/>
          <w:sz w:val="18"/>
          <w:szCs w:val="18"/>
          <w:b w:val="1"/>
          <w:bCs w:val="1"/>
          <w:color w:val="auto"/>
        </w:rPr>
      </w:pPr>
    </w:p>
    <w:p>
      <w:pPr>
        <w:ind w:left="1560" w:hanging="904"/>
        <w:spacing w:after="0"/>
        <w:tabs>
          <w:tab w:leader="none" w:pos="15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left="1560" w:hanging="904"/>
        <w:spacing w:after="0"/>
        <w:tabs>
          <w:tab w:leader="none" w:pos="15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579"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76"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53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of the annual meeting of stockholders of the Company held in 2020 provided this Plan is approved by the Company’s stockholders at such meeting.</w:t>
      </w:r>
    </w:p>
    <w:p>
      <w:pPr>
        <w:spacing w:after="0" w:line="154"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1563"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4" w:lineRule="exact"/>
        <w:rPr>
          <w:rFonts w:ascii="Times New Roman" w:cs="Times New Roman" w:eastAsia="Times New Roman" w:hAnsi="Times New Roman"/>
          <w:sz w:val="18"/>
          <w:szCs w:val="18"/>
          <w:b w:val="1"/>
          <w:bCs w:val="1"/>
          <w:color w:val="auto"/>
        </w:rPr>
      </w:pPr>
    </w:p>
    <w:p>
      <w:pPr>
        <w:ind w:left="1540" w:hanging="884"/>
        <w:spacing w:after="0"/>
        <w:tabs>
          <w:tab w:leader="none" w:pos="15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225" w:lineRule="exact"/>
        <w:rPr>
          <w:rFonts w:ascii="Times New Roman" w:cs="Times New Roman" w:eastAsia="Times New Roman" w:hAnsi="Times New Roman"/>
          <w:sz w:val="18"/>
          <w:szCs w:val="18"/>
          <w:b w:val="1"/>
          <w:bCs w:val="1"/>
          <w:color w:val="auto"/>
        </w:rPr>
      </w:pPr>
    </w:p>
    <w:p>
      <w:pPr>
        <w:ind w:left="1540" w:hanging="884"/>
        <w:spacing w:after="0"/>
        <w:tabs>
          <w:tab w:leader="none" w:pos="15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rFonts w:ascii="Times New Roman" w:cs="Times New Roman" w:eastAsia="Times New Roman" w:hAnsi="Times New Roman"/>
          <w:sz w:val="18"/>
          <w:szCs w:val="18"/>
          <w:b w:val="1"/>
          <w:bCs w:val="1"/>
          <w:color w:val="auto"/>
        </w:rPr>
      </w:pPr>
    </w:p>
    <w:p>
      <w:pPr>
        <w:ind w:left="1540" w:hanging="884"/>
        <w:spacing w:after="0"/>
        <w:tabs>
          <w:tab w:leader="none" w:pos="15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56"/>
        <w:spacing w:after="0" w:line="255" w:lineRule="auto"/>
        <w:tabs>
          <w:tab w:leader="none" w:pos="1523"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ind w:firstLine="656"/>
        <w:spacing w:after="0" w:line="286" w:lineRule="auto"/>
        <w:tabs>
          <w:tab w:leader="none" w:pos="1476"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158" w:lineRule="exact"/>
        <w:rPr>
          <w:rFonts w:ascii="Times New Roman" w:cs="Times New Roman" w:eastAsia="Times New Roman" w:hAnsi="Times New Roman"/>
          <w:sz w:val="18"/>
          <w:szCs w:val="18"/>
          <w:b w:val="1"/>
          <w:bCs w:val="1"/>
          <w:color w:val="auto"/>
        </w:rPr>
      </w:pPr>
    </w:p>
    <w:p>
      <w:pPr>
        <w:jc w:val="both"/>
        <w:ind w:left="80" w:firstLine="1305"/>
        <w:spacing w:after="0" w:line="266" w:lineRule="auto"/>
        <w:tabs>
          <w:tab w:leader="none" w:pos="2499"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75" w:lineRule="exact"/>
        <w:rPr>
          <w:rFonts w:ascii="Times New Roman" w:cs="Times New Roman" w:eastAsia="Times New Roman" w:hAnsi="Times New Roman"/>
          <w:sz w:val="18"/>
          <w:szCs w:val="18"/>
          <w:b w:val="1"/>
          <w:bCs w:val="1"/>
          <w:color w:val="auto"/>
        </w:rPr>
      </w:pPr>
    </w:p>
    <w:p>
      <w:pPr>
        <w:ind w:left="80" w:firstLine="1305"/>
        <w:spacing w:after="0" w:line="282" w:lineRule="auto"/>
        <w:tabs>
          <w:tab w:leader="none" w:pos="2266"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161" w:lineRule="exact"/>
        <w:rPr>
          <w:rFonts w:ascii="Times New Roman" w:cs="Times New Roman" w:eastAsia="Times New Roman" w:hAnsi="Times New Roman"/>
          <w:sz w:val="18"/>
          <w:szCs w:val="18"/>
          <w:b w:val="1"/>
          <w:bCs w:val="1"/>
          <w:color w:val="auto"/>
        </w:rPr>
      </w:pPr>
    </w:p>
    <w:p>
      <w:pPr>
        <w:ind w:left="80" w:right="20" w:firstLine="1305"/>
        <w:spacing w:after="0" w:line="282" w:lineRule="auto"/>
        <w:tabs>
          <w:tab w:leader="none" w:pos="2253"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57"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728"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476"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70"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16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427"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3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left="1500" w:hanging="844"/>
        <w:spacing w:after="0"/>
        <w:tabs>
          <w:tab w:leader="none" w:pos="15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w:t>
      </w:r>
    </w:p>
    <w:p>
      <w:pPr>
        <w:spacing w:after="0" w:line="203" w:lineRule="exact"/>
        <w:rPr>
          <w:sz w:val="20"/>
          <w:szCs w:val="20"/>
          <w:color w:val="auto"/>
        </w:rPr>
      </w:pPr>
    </w:p>
    <w:p>
      <w:pPr>
        <w:ind w:left="1460" w:hanging="804"/>
        <w:spacing w:after="0"/>
        <w:tabs>
          <w:tab w:leader="none" w:pos="14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rFonts w:ascii="Times New Roman" w:cs="Times New Roman" w:eastAsia="Times New Roman" w:hAnsi="Times New Roman"/>
          <w:sz w:val="18"/>
          <w:szCs w:val="18"/>
          <w:b w:val="1"/>
          <w:bCs w:val="1"/>
          <w:color w:val="auto"/>
        </w:rPr>
      </w:pPr>
    </w:p>
    <w:p>
      <w:pPr>
        <w:ind w:left="1540" w:hanging="884"/>
        <w:spacing w:after="0"/>
        <w:tabs>
          <w:tab w:leader="none" w:pos="15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w:t>
      </w:r>
    </w:p>
    <w:p>
      <w:pPr>
        <w:spacing w:after="0" w:line="203" w:lineRule="exact"/>
        <w:rPr>
          <w:sz w:val="20"/>
          <w:szCs w:val="20"/>
          <w:color w:val="auto"/>
        </w:rPr>
      </w:pPr>
    </w:p>
    <w:p>
      <w:pPr>
        <w:jc w:val="both"/>
        <w:ind w:firstLine="656"/>
        <w:spacing w:after="0" w:line="262" w:lineRule="auto"/>
        <w:tabs>
          <w:tab w:leader="none" w:pos="1373"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ind w:left="1520" w:hanging="864"/>
        <w:spacing w:after="0"/>
        <w:tabs>
          <w:tab w:leader="none" w:pos="15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outstanding Option.</w:t>
      </w:r>
    </w:p>
    <w:p>
      <w:pPr>
        <w:spacing w:after="0" w:line="202"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351"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5(c).</w:t>
      </w:r>
    </w:p>
    <w:p>
      <w:pPr>
        <w:spacing w:after="0" w:line="154"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1431"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65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6"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58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53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377"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will select for purposes of establishing the Performance Goals for a Performance Period. The Performance Criteria that will be used to establish such Performance Goals may be based on any measure of performance selected by the Board.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firstLine="656"/>
        <w:spacing w:after="0" w:line="252" w:lineRule="auto"/>
        <w:tabs>
          <w:tab w:leader="none" w:pos="1493"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(11) to exclude the goodwill and intangible asset impairment charges that are required to be recorded under generally accepted accounting principles; and (12) to exclude the effects of the timing of acceptance for review and/or approval of submissions to the U.S. Food and Drug Administration or any other regulatory body.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89"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477"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70"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Marker Therapeutics, Inc. 2020 Equity Incentive Plan, as amended.</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469"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 to day operations of the Plan and the Company’s other equity incentive programs.</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5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658"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Plans’ Available Reserve</w:t>
      </w:r>
      <w:r>
        <w:rPr>
          <w:rFonts w:ascii="Times New Roman" w:cs="Times New Roman" w:eastAsia="Times New Roman" w:hAnsi="Times New Roman"/>
          <w:sz w:val="18"/>
          <w:szCs w:val="18"/>
          <w:color w:val="auto"/>
        </w:rPr>
        <w:t>” means the number of shares available for the grant of new awards under the Prior Plans as of immediately prior to the Effective Date.</w:t>
      </w:r>
    </w:p>
    <w:p>
      <w:pPr>
        <w:spacing w:after="0" w:line="154" w:lineRule="exact"/>
        <w:rPr>
          <w:rFonts w:ascii="Times New Roman" w:cs="Times New Roman" w:eastAsia="Times New Roman" w:hAnsi="Times New Roman"/>
          <w:sz w:val="18"/>
          <w:szCs w:val="18"/>
          <w:b w:val="1"/>
          <w:bCs w:val="1"/>
          <w:color w:val="auto"/>
        </w:rPr>
      </w:pPr>
    </w:p>
    <w:p>
      <w:pPr>
        <w:ind w:left="1540" w:hanging="884"/>
        <w:spacing w:after="0"/>
        <w:tabs>
          <w:tab w:leader="none" w:pos="15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Plans</w:t>
      </w:r>
      <w:r>
        <w:rPr>
          <w:rFonts w:ascii="Times New Roman" w:cs="Times New Roman" w:eastAsia="Times New Roman" w:hAnsi="Times New Roman"/>
          <w:sz w:val="18"/>
          <w:szCs w:val="18"/>
          <w:color w:val="auto"/>
        </w:rPr>
        <w:t>” mean the TapImmune Inc. 2014 Omnibus Stock Ownership Plan and the Tap Immune Inc. 2009 Stock Incentive Plan,</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as amended.</w:t>
      </w:r>
    </w:p>
    <w:p>
      <w:pPr>
        <w:spacing w:after="0" w:line="202" w:lineRule="exact"/>
        <w:rPr>
          <w:rFonts w:ascii="Times New Roman" w:cs="Times New Roman" w:eastAsia="Times New Roman" w:hAnsi="Times New Roman"/>
          <w:sz w:val="18"/>
          <w:szCs w:val="18"/>
          <w:b w:val="1"/>
          <w:bCs w:val="1"/>
          <w:color w:val="auto"/>
        </w:rPr>
      </w:pPr>
    </w:p>
    <w:p>
      <w:pPr>
        <w:ind w:left="1480" w:hanging="824"/>
        <w:spacing w:after="0"/>
        <w:tabs>
          <w:tab w:leader="none" w:pos="14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document containing the Plan information specified in Section 10(a) of the Securities Act.</w:t>
      </w:r>
    </w:p>
    <w:p>
      <w:pPr>
        <w:spacing w:after="0" w:line="225" w:lineRule="exact"/>
        <w:rPr>
          <w:sz w:val="20"/>
          <w:szCs w:val="20"/>
          <w:color w:val="auto"/>
        </w:rPr>
      </w:pPr>
    </w:p>
    <w:p>
      <w:pPr>
        <w:ind w:firstLine="656"/>
        <w:spacing w:after="0" w:line="286" w:lineRule="auto"/>
        <w:tabs>
          <w:tab w:leader="none" w:pos="168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 of Section 5(a).</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firstLine="656"/>
        <w:spacing w:after="0" w:line="282" w:lineRule="auto"/>
        <w:tabs>
          <w:tab w:leader="none" w:pos="1459"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 Award Agreement</w:t>
      </w:r>
      <w:r>
        <w:rPr>
          <w:rFonts w:ascii="Times New Roman" w:cs="Times New Roman" w:eastAsia="Times New Roman" w:hAnsi="Times New Roman"/>
          <w:sz w:val="17"/>
          <w:szCs w:val="17"/>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61" w:lineRule="exact"/>
        <w:rPr>
          <w:rFonts w:ascii="Times New Roman" w:cs="Times New Roman" w:eastAsia="Times New Roman" w:hAnsi="Times New Roman"/>
          <w:sz w:val="17"/>
          <w:szCs w:val="17"/>
          <w:b w:val="1"/>
          <w:bCs w:val="1"/>
          <w:color w:val="auto"/>
        </w:rPr>
      </w:pPr>
    </w:p>
    <w:p>
      <w:pPr>
        <w:jc w:val="both"/>
        <w:ind w:firstLine="656"/>
        <w:spacing w:after="0" w:line="259" w:lineRule="auto"/>
        <w:tabs>
          <w:tab w:leader="none" w:pos="146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means shares subject to outstanding stock awards granted under the Prior Plans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405"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46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agreement between the Company and a holder of a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ind w:left="1460" w:hanging="804"/>
        <w:spacing w:after="0"/>
        <w:tabs>
          <w:tab w:leader="none" w:pos="14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25" w:lineRule="exact"/>
        <w:rPr>
          <w:rFonts w:ascii="Times New Roman" w:cs="Times New Roman" w:eastAsia="Times New Roman" w:hAnsi="Times New Roman"/>
          <w:sz w:val="18"/>
          <w:szCs w:val="18"/>
          <w:b w:val="1"/>
          <w:bCs w:val="1"/>
          <w:color w:val="auto"/>
        </w:rPr>
      </w:pPr>
    </w:p>
    <w:p>
      <w:pPr>
        <w:ind w:left="1360" w:hanging="704"/>
        <w:spacing w:after="0"/>
        <w:tabs>
          <w:tab w:leader="none" w:pos="13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225" w:lineRule="exact"/>
        <w:rPr>
          <w:rFonts w:ascii="Times New Roman" w:cs="Times New Roman" w:eastAsia="Times New Roman" w:hAnsi="Times New Roman"/>
          <w:sz w:val="18"/>
          <w:szCs w:val="18"/>
          <w:b w:val="1"/>
          <w:bCs w:val="1"/>
          <w:color w:val="auto"/>
        </w:rPr>
      </w:pPr>
    </w:p>
    <w:p>
      <w:pPr>
        <w:ind w:left="1340" w:hanging="684"/>
        <w:spacing w:after="0"/>
        <w:tabs>
          <w:tab w:leader="none" w:pos="13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503"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70" w:lineRule="exact"/>
        <w:rPr>
          <w:rFonts w:ascii="Times New Roman" w:cs="Times New Roman" w:eastAsia="Times New Roman" w:hAnsi="Times New Roman"/>
          <w:sz w:val="18"/>
          <w:szCs w:val="18"/>
          <w:b w:val="1"/>
          <w:bCs w:val="1"/>
          <w:color w:val="auto"/>
        </w:rPr>
      </w:pPr>
    </w:p>
    <w:p>
      <w:pPr>
        <w:ind w:left="1460" w:hanging="804"/>
        <w:spacing w:after="0"/>
        <w:tabs>
          <w:tab w:leader="none" w:pos="14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left="1340" w:hanging="684"/>
        <w:spacing w:after="0"/>
        <w:tabs>
          <w:tab w:leader="none" w:pos="13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right="20" w:firstLine="656"/>
        <w:spacing w:after="0" w:line="286" w:lineRule="auto"/>
        <w:tabs>
          <w:tab w:leader="none" w:pos="1458"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424"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378"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393"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54"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156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397000" cy="5657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13970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Madison A. Jones</w:t>
      </w:r>
    </w:p>
    <w:p>
      <w:pPr>
        <w:spacing w:after="0" w:line="27" w:lineRule="exact"/>
        <w:rPr>
          <w:sz w:val="20"/>
          <w:szCs w:val="20"/>
          <w:color w:val="auto"/>
        </w:rPr>
      </w:pPr>
    </w:p>
    <w:p>
      <w:pPr>
        <w:ind w:right="9200" w:firstLine="8"/>
        <w:spacing w:after="0" w:line="260" w:lineRule="auto"/>
        <w:tabs>
          <w:tab w:leader="none" w:pos="19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+1 202 728 7087 madison.jones@cooley.com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3200 Southwest Freeway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 77027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represented Marker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by the Company of a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covering the offering of up to 8,500,000 shares of the Company’s common stock, par value $0.01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issuable pursuant to the Company’s amended 2020 Equity Incentive Plan (the “</w:t>
      </w:r>
      <w:r>
        <w:rPr>
          <w:rFonts w:ascii="Times New Roman" w:cs="Times New Roman" w:eastAsia="Times New Roman" w:hAnsi="Times New Roman"/>
          <w:sz w:val="18"/>
          <w:szCs w:val="18"/>
          <w:b w:val="1"/>
          <w:bCs w:val="1"/>
          <w:i w:val="1"/>
          <w:iCs w:val="1"/>
          <w:color w:val="auto"/>
        </w:rPr>
        <w:t>Amended 2020 Plan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(i) the Registration Statement and related prospectus, (ii) the Company’s Amended and Restated Certificate of Incorporation, as amended, and Amended and Restated Bylaws, each as currently in effect, (iii) the Amended 2020 Plan, and</w:t>
      </w:r>
    </w:p>
    <w:p>
      <w:pPr>
        <w:jc w:val="both"/>
        <w:ind w:firstLine="8"/>
        <w:spacing w:after="0" w:line="253" w:lineRule="auto"/>
        <w:tabs>
          <w:tab w:leader="none" w:pos="33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originals or copies certified to our satisfaction of such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and the due authorization, execution and delivery of all documents for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issued in accordance with the Amended 2020 Plan, the Registration Statement and related prospectus, will be validly issued, fully paid and nonassessable (except as to shares issued pursuant to deferred payment arrangements, which will be fully paid and nonassessable when such deferred payments are made in full).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1299 Pennsylvania Avenue NW Suite 700 Washington, DC 20004-2400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+1 202 842 7800 f: +1 202 842 7899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97000" cy="5657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397000" cy="56578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 Madison Jones</w:t>
            </w:r>
          </w:p>
        </w:tc>
      </w:tr>
      <w:tr>
        <w:trPr>
          <w:trHeight w:val="228"/>
        </w:trPr>
        <w:tc>
          <w:tcPr>
            <w:tcW w:w="340" w:type="dxa"/>
            <w:vAlign w:val="bottom"/>
          </w:tcPr>
          <w:p>
            <w:pPr>
              <w:spacing w:after="0"/>
              <w:rPr>
                <w:sz w:val="19"/>
                <w:szCs w:val="19"/>
                <w:color w:val="auto"/>
              </w:rPr>
            </w:pPr>
          </w:p>
        </w:tc>
        <w:tc>
          <w:tcPr>
            <w:tcW w:w="5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Madison Jones</w:t>
            </w:r>
          </w:p>
        </w:tc>
      </w:tr>
    </w:tbl>
    <w:p>
      <w:pPr>
        <w:spacing w:after="0" w:line="1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Cooley LLP 1299 Pennsylvania Avenue NW Suite 700 Washington, DC 20004-2400</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 +1 202 842 7800 f: +1 202 842 7899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of Marker Therapeutics, Inc. on Form S-8 of our report dated March 17, 2022, which includes an explanatory paragraph as to the Company’s ability to continue as a going concern, with respect to our audits of the consolidated financial statements of Marker Therapeutics, Inc. as of December 31, 2021 and 2020 and for the years ended December 31, 2021 and 2020 appearing in the Annual Report on Form 10-K of Marker Therapeutics, Inc. for the year ended December 31,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tbl>
      <w:tblPr>
        <w:tblLayout w:type="fixed"/>
        <w:tblInd w:w="10" w:type="dxa"/>
        <w:tblCellMar>
          <w:top w:w="0" w:type="dxa"/>
          <w:left w:w="0" w:type="dxa"/>
          <w:bottom w:w="0" w:type="dxa"/>
          <w:right w:w="0" w:type="dxa"/>
        </w:tblCellMar>
      </w:tblPr>
      <w:tr>
        <w:trPr>
          <w:trHeight w:val="286"/>
        </w:trPr>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w w:val="94"/>
              </w:rPr>
              <w:t>Exhibit 107</w:t>
            </w:r>
          </w:p>
        </w:tc>
        <w:tc>
          <w:tcPr>
            <w:tcW w:w="0" w:type="dxa"/>
            <w:vAlign w:val="bottom"/>
          </w:tcPr>
          <w:p>
            <w:pPr>
              <w:spacing w:after="0"/>
              <w:rPr>
                <w:sz w:val="1"/>
                <w:szCs w:val="1"/>
                <w:color w:val="auto"/>
              </w:rPr>
            </w:pPr>
          </w:p>
        </w:tc>
      </w:tr>
      <w:tr>
        <w:trPr>
          <w:trHeight w:val="447"/>
        </w:trPr>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Calculation of Filing Fee Tables</w:t>
            </w: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80" w:type="dxa"/>
            <w:vAlign w:val="bottom"/>
            <w:gridSpan w:val="4"/>
          </w:tcPr>
          <w:p>
            <w:pPr>
              <w:jc w:val="center"/>
              <w:ind w:right="1290"/>
              <w:spacing w:after="0"/>
              <w:rPr>
                <w:sz w:val="20"/>
                <w:szCs w:val="20"/>
                <w:color w:val="auto"/>
              </w:rPr>
            </w:pPr>
            <w:r>
              <w:rPr>
                <w:rFonts w:ascii="Times New Roman" w:cs="Times New Roman" w:eastAsia="Times New Roman" w:hAnsi="Times New Roman"/>
                <w:sz w:val="18"/>
                <w:szCs w:val="18"/>
                <w:b w:val="1"/>
                <w:bCs w:val="1"/>
                <w:color w:val="auto"/>
                <w:w w:val="99"/>
              </w:rPr>
              <w:t>Registration Statement on Form S-8</w:t>
            </w: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80" w:type="dxa"/>
            <w:vAlign w:val="bottom"/>
            <w:gridSpan w:val="4"/>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380" w:type="dxa"/>
            <w:vAlign w:val="bottom"/>
            <w:tcBorders>
              <w:left w:val="single" w:sz="8" w:color="auto"/>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Proposed</w:t>
            </w:r>
          </w:p>
        </w:tc>
        <w:tc>
          <w:tcPr>
            <w:tcW w:w="100" w:type="dxa"/>
            <w:vAlign w:val="bottom"/>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100" w:type="dxa"/>
            <w:vAlign w:val="bottom"/>
          </w:tcPr>
          <w:p>
            <w:pPr>
              <w:spacing w:after="0"/>
              <w:rPr>
                <w:sz w:val="18"/>
                <w:szCs w:val="18"/>
                <w:color w:val="auto"/>
              </w:rPr>
            </w:pPr>
          </w:p>
        </w:tc>
        <w:tc>
          <w:tcPr>
            <w:tcW w:w="16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Class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00" w:type="dxa"/>
            <w:vAlign w:val="bottom"/>
          </w:tcPr>
          <w:p>
            <w:pPr>
              <w:spacing w:after="0"/>
              <w:rPr>
                <w:sz w:val="18"/>
                <w:szCs w:val="18"/>
                <w:color w:val="auto"/>
              </w:rPr>
            </w:pPr>
          </w:p>
        </w:tc>
        <w:tc>
          <w:tcPr>
            <w:tcW w:w="16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Aggregate Offering</w:t>
            </w:r>
          </w:p>
        </w:tc>
        <w:tc>
          <w:tcPr>
            <w:tcW w:w="12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 (1)</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 Unit (3)</w:t>
            </w: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Price (3)</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0" w:type="dxa"/>
            <w:vAlign w:val="bottom"/>
          </w:tcPr>
          <w:p>
            <w:pPr>
              <w:spacing w:after="0"/>
              <w:rPr>
                <w:sz w:val="1"/>
                <w:szCs w:val="1"/>
                <w:color w:val="auto"/>
              </w:rPr>
            </w:pPr>
          </w:p>
        </w:tc>
      </w:tr>
      <w:tr>
        <w:trPr>
          <w:trHeight w:val="191"/>
        </w:trPr>
        <w:tc>
          <w:tcPr>
            <w:tcW w:w="1380" w:type="dxa"/>
            <w:vAlign w:val="bottom"/>
            <w:tcBorders>
              <w:left w:val="single" w:sz="8" w:color="auto"/>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w:t>
            </w:r>
          </w:p>
        </w:tc>
        <w:tc>
          <w:tcPr>
            <w:tcW w:w="13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Equity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 par</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Other(3)</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8,500,000(2)</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$0.525</w:t>
            </w:r>
          </w:p>
        </w:tc>
        <w:tc>
          <w:tcPr>
            <w:tcW w:w="100" w:type="dxa"/>
            <w:vAlign w:val="bottom"/>
          </w:tcPr>
          <w:p>
            <w:pPr>
              <w:spacing w:after="0"/>
              <w:rPr>
                <w:sz w:val="18"/>
                <w:szCs w:val="18"/>
                <w:color w:val="auto"/>
              </w:rPr>
            </w:pPr>
          </w:p>
        </w:tc>
        <w:tc>
          <w:tcPr>
            <w:tcW w:w="1680" w:type="dxa"/>
            <w:vAlign w:val="bottom"/>
            <w:tcBorders>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8"/>
              </w:rPr>
              <w:t>$4,462,500</w:t>
            </w:r>
          </w:p>
        </w:tc>
        <w:tc>
          <w:tcPr>
            <w:tcW w:w="122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$.0000927</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$413.67</w:t>
            </w:r>
          </w:p>
        </w:tc>
        <w:tc>
          <w:tcPr>
            <w:tcW w:w="0" w:type="dxa"/>
            <w:vAlign w:val="bottom"/>
          </w:tcPr>
          <w:p>
            <w:pPr>
              <w:spacing w:after="0"/>
              <w:rPr>
                <w:sz w:val="1"/>
                <w:szCs w:val="1"/>
                <w:color w:val="auto"/>
              </w:rPr>
            </w:pPr>
          </w:p>
        </w:tc>
      </w:tr>
      <w:tr>
        <w:trPr>
          <w:trHeight w:val="126"/>
        </w:trPr>
        <w:tc>
          <w:tcPr>
            <w:tcW w:w="1380" w:type="dxa"/>
            <w:vAlign w:val="bottom"/>
            <w:tcBorders>
              <w:left w:val="single" w:sz="8" w:color="auto"/>
              <w:right w:val="single" w:sz="8" w:color="auto"/>
            </w:tcBorders>
            <w:vMerge w:val="continue"/>
          </w:tcPr>
          <w:p>
            <w:pPr>
              <w:spacing w:after="0"/>
              <w:rPr>
                <w:sz w:val="10"/>
                <w:szCs w:val="10"/>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value $0.001</w:t>
            </w:r>
          </w:p>
        </w:tc>
        <w:tc>
          <w:tcPr>
            <w:tcW w:w="136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8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80" w:type="dxa"/>
            <w:vAlign w:val="bottom"/>
            <w:tcBorders>
              <w:left w:val="single" w:sz="8" w:color="auto"/>
              <w:bottom w:val="single" w:sz="8" w:color="auto"/>
            </w:tcBorders>
          </w:tcPr>
          <w:p>
            <w:pPr>
              <w:spacing w:after="0"/>
              <w:rPr>
                <w:sz w:val="18"/>
                <w:szCs w:val="18"/>
                <w:color w:val="auto"/>
              </w:rPr>
            </w:pPr>
          </w:p>
        </w:tc>
        <w:tc>
          <w:tcPr>
            <w:tcW w:w="2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13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$4,462,500</w:t>
            </w:r>
          </w:p>
        </w:tc>
        <w:tc>
          <w:tcPr>
            <w:tcW w:w="12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1380" w:type="dxa"/>
            <w:vAlign w:val="bottom"/>
            <w:tcBorders>
              <w:left w:val="single" w:sz="8" w:color="auto"/>
              <w:bottom w:val="single" w:sz="8" w:color="auto"/>
            </w:tcBorders>
          </w:tcPr>
          <w:p>
            <w:pPr>
              <w:spacing w:after="0"/>
              <w:rPr>
                <w:sz w:val="18"/>
                <w:szCs w:val="18"/>
                <w:color w:val="auto"/>
              </w:rPr>
            </w:pPr>
          </w:p>
        </w:tc>
        <w:tc>
          <w:tcPr>
            <w:tcW w:w="2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3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1380" w:type="dxa"/>
            <w:vAlign w:val="bottom"/>
            <w:tcBorders>
              <w:left w:val="single" w:sz="8" w:color="auto"/>
              <w:bottom w:val="single" w:sz="8" w:color="auto"/>
            </w:tcBorders>
          </w:tcPr>
          <w:p>
            <w:pPr>
              <w:spacing w:after="0"/>
              <w:rPr>
                <w:sz w:val="18"/>
                <w:szCs w:val="18"/>
                <w:color w:val="auto"/>
              </w:rPr>
            </w:pPr>
          </w:p>
        </w:tc>
        <w:tc>
          <w:tcPr>
            <w:tcW w:w="2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3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$413.67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ind w:left="420" w:right="520" w:hanging="412"/>
        <w:spacing w:after="0" w:line="257" w:lineRule="auto"/>
        <w:tabs>
          <w:tab w:leader="none" w:pos="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the Registrant’s Common Stock (“Common Stock”) that become issuable under the Marker Therapeutics, Inc. 2020 Equity Incentive Plan, as amended (the “2020 Plan”) by reason of any stock dividend, stock split, recapitalization or other similar transaction.</w:t>
      </w:r>
    </w:p>
    <w:p>
      <w:pPr>
        <w:spacing w:after="0" w:line="1" w:lineRule="exact"/>
        <w:rPr>
          <w:rFonts w:ascii="Times New Roman" w:cs="Times New Roman" w:eastAsia="Times New Roman" w:hAnsi="Times New Roman"/>
          <w:sz w:val="18"/>
          <w:szCs w:val="18"/>
          <w:color w:val="auto"/>
        </w:rPr>
      </w:pPr>
    </w:p>
    <w:p>
      <w:pPr>
        <w:ind w:left="420" w:right="40" w:hanging="412"/>
        <w:spacing w:after="0" w:line="250" w:lineRule="auto"/>
        <w:tabs>
          <w:tab w:leader="none" w:pos="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that were added to the shares reserved for future issuance under the 2020 Plan upon approval of an amendment to the 2020 Plan at the Company’s 2022 Annual Meeting of Stockholders.</w:t>
      </w:r>
    </w:p>
    <w:p>
      <w:pPr>
        <w:jc w:val="both"/>
        <w:ind w:left="420" w:hanging="412"/>
        <w:spacing w:after="0" w:line="255" w:lineRule="auto"/>
        <w:tabs>
          <w:tab w:leader="none" w:pos="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estimate is made solely for the purpose of calculating the amount of the registration fee pursuant to Rule 457(h) and Rule 457(c) of the Securities Act. The price per share and aggregate offering price are based upon the average of the high and low prices of Registrant’s Common Stock on August 9, 2022, as reported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lowerLetter"/>
      <w:start w:val="1"/>
    </w:lvl>
  </w:abstractNum>
  <w:abstractNum w:abstractNumId="1">
    <w:nsid w:val="836C40E"/>
    <w:multiLevelType w:val="hybridMultilevel"/>
    <w:lvl w:ilvl="0">
      <w:lvlJc w:val="left"/>
      <w:lvlText w:val="(%1)"/>
      <w:numFmt w:val="lowerRoman"/>
      <w:start w:val="4"/>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2"/>
    </w:lvl>
  </w:abstractNum>
  <w:abstractNum w:abstractNumId="6">
    <w:nsid w:val="7C3DBD3D"/>
    <w:multiLevelType w:val="hybridMultilevel"/>
    <w:lvl w:ilvl="0">
      <w:lvlJc w:val="left"/>
      <w:lvlText w:val="%1."/>
      <w:numFmt w:val="decimal"/>
      <w:start w:val="1"/>
    </w:lvl>
    <w:lvl w:ilvl="1">
      <w:lvlJc w:val="left"/>
      <w:lvlText w:val="(%2)"/>
      <w:numFmt w:val="lowerLetter"/>
      <w:start w:val="1"/>
    </w:lvl>
  </w:abstractNum>
  <w:abstractNum w:abstractNumId="7">
    <w:nsid w:val="737B8DDC"/>
    <w:multiLevelType w:val="hybridMultilevel"/>
    <w:lvl w:ilvl="0">
      <w:lvlJc w:val="left"/>
      <w:lvlText w:val="(%1)"/>
      <w:numFmt w:val="lowerLetter"/>
      <w:start w:val="4"/>
    </w:lvl>
    <w:lvl w:ilvl="1">
      <w:lvlJc w:val="left"/>
      <w:lvlText w:val="(%2)"/>
      <w:numFmt w:val="lowerRoman"/>
      <w:start w:val="1"/>
    </w:lvl>
  </w:abstractNum>
  <w:abstractNum w:abstractNumId="8">
    <w:nsid w:val="6CEAF08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
    <w:nsid w:val="22221A70"/>
    <w:multiLevelType w:val="hybridMultilevel"/>
    <w:lvl w:ilvl="0">
      <w:lvlJc w:val="left"/>
      <w:lvlText w:val="%1"/>
      <w:numFmt w:val="decimal"/>
      <w:start w:val="1"/>
    </w:lvl>
    <w:lvl w:ilvl="1">
      <w:lvlJc w:val="left"/>
      <w:lvlText w:val="(%2)"/>
      <w:numFmt w:val="lowerLetter"/>
      <w:start w:val="3"/>
    </w:lvl>
  </w:abstractNum>
  <w:abstractNum w:abstractNumId="10">
    <w:nsid w:val="4516DDE9"/>
    <w:multiLevelType w:val="hybridMultilevel"/>
    <w:lvl w:ilvl="0">
      <w:lvlJc w:val="left"/>
      <w:lvlText w:val="%1."/>
      <w:numFmt w:val="decimal"/>
      <w:start w:val="4"/>
    </w:lvl>
    <w:lvl w:ilvl="1">
      <w:lvlJc w:val="left"/>
      <w:lvlText w:val="%2"/>
      <w:numFmt w:val="lowerLetter"/>
      <w:start w:val="1"/>
    </w:lvl>
  </w:abstractNum>
  <w:abstractNum w:abstractNumId="11">
    <w:nsid w:val="3006C83E"/>
    <w:multiLevelType w:val="hybridMultilevel"/>
    <w:lvl w:ilvl="0">
      <w:lvlJc w:val="left"/>
      <w:lvlText w:val="(%1)"/>
      <w:numFmt w:val="lowerLetter"/>
      <w:start w:val="1"/>
    </w:lvl>
    <w:lvl w:ilvl="1">
      <w:lvlJc w:val="left"/>
      <w:lvlText w:val="(%2)"/>
      <w:numFmt w:val="lowerRoman"/>
      <w:start w:val="1"/>
    </w:lvl>
  </w:abstractNum>
  <w:abstractNum w:abstractNumId="12">
    <w:nsid w:val="614FD4A1"/>
    <w:multiLevelType w:val="hybridMultilevel"/>
    <w:lvl w:ilvl="0">
      <w:lvlJc w:val="left"/>
      <w:lvlText w:val="%1"/>
      <w:numFmt w:val="lowerLetter"/>
      <w:start w:val="1"/>
    </w:lvl>
    <w:lvl w:ilvl="1">
      <w:lvlJc w:val="left"/>
      <w:lvlText w:val="(%2)"/>
      <w:numFmt w:val="lowerRoman"/>
      <w:start w:val="3"/>
    </w:lvl>
  </w:abstractNum>
  <w:abstractNum w:abstractNumId="13">
    <w:nsid w:val="419AC241"/>
    <w:multiLevelType w:val="hybridMultilevel"/>
    <w:lvl w:ilvl="0">
      <w:lvlJc w:val="left"/>
      <w:lvlText w:val="(%1)"/>
      <w:numFmt w:val="lowerLetter"/>
      <w:start w:val="4"/>
    </w:lvl>
    <w:lvl w:ilvl="1">
      <w:lvlJc w:val="left"/>
      <w:lvlText w:val="(%2)"/>
      <w:numFmt w:val="lowerRoman"/>
      <w:start w:val="1"/>
    </w:lvl>
  </w:abstractNum>
  <w:abstractNum w:abstractNumId="14">
    <w:nsid w:val="5577F8E1"/>
    <w:multiLevelType w:val="hybridMultilevel"/>
    <w:lvl w:ilvl="0">
      <w:lvlJc w:val="left"/>
      <w:lvlText w:val="%1"/>
      <w:numFmt w:val="lowerLetter"/>
      <w:start w:val="1"/>
    </w:lvl>
    <w:lvl w:ilvl="1">
      <w:lvlJc w:val="left"/>
      <w:lvlText w:val="(%2)"/>
      <w:numFmt w:val="lowerLetter"/>
      <w:start w:val="35"/>
    </w:lvl>
  </w:abstractNum>
  <w:abstractNum w:abstractNumId="15">
    <w:nsid w:val="440BADFC"/>
    <w:multiLevelType w:val="hybridMultilevel"/>
    <w:lvl w:ilvl="0">
      <w:lvlJc w:val="left"/>
      <w:lvlText w:val="(%1)"/>
      <w:numFmt w:val="lowerLetter"/>
      <w:start w:val="6"/>
    </w:lvl>
    <w:lvl w:ilvl="1">
      <w:lvlJc w:val="left"/>
      <w:lvlText w:val="(%2)"/>
      <w:numFmt w:val="lowerLetter"/>
      <w:start w:val="9"/>
    </w:lvl>
  </w:abstractNum>
  <w:abstractNum w:abstractNumId="16">
    <w:nsid w:val="5072367"/>
    <w:multiLevelType w:val="hybridMultilevel"/>
    <w:lvl w:ilvl="0">
      <w:lvlJc w:val="left"/>
      <w:lvlText w:val="(%1)"/>
      <w:numFmt w:val="lowerRoman"/>
      <w:start w:val="2"/>
    </w:lvl>
  </w:abstractNum>
  <w:abstractNum w:abstractNumId="17">
    <w:nsid w:val="3804823E"/>
    <w:multiLevelType w:val="hybridMultilevel"/>
    <w:lvl w:ilvl="0">
      <w:lvlJc w:val="left"/>
      <w:lvlText w:val="(%1)"/>
      <w:numFmt w:val="lowerLetter"/>
      <w:start w:val="9"/>
    </w:lvl>
  </w:abstractNum>
  <w:abstractNum w:abstractNumId="18">
    <w:nsid w:val="77465F0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9">
    <w:nsid w:val="7724C67E"/>
    <w:multiLevelType w:val="hybridMultilevel"/>
    <w:lvl w:ilvl="0">
      <w:lvlJc w:val="left"/>
      <w:lvlText w:val="%1"/>
      <w:numFmt w:val="lowerLetter"/>
      <w:start w:val="1"/>
    </w:lvl>
    <w:lvl w:ilvl="1">
      <w:lvlJc w:val="left"/>
      <w:lvlText w:val="(%2)"/>
      <w:numFmt w:val="lowerRoman"/>
      <w:start w:val="3"/>
    </w:lvl>
  </w:abstractNum>
  <w:abstractNum w:abstractNumId="20">
    <w:nsid w:val="5C482A97"/>
    <w:multiLevelType w:val="hybridMultilevel"/>
    <w:lvl w:ilvl="0">
      <w:lvlJc w:val="left"/>
      <w:lvlText w:val="(%1)"/>
      <w:numFmt w:val="lowerLetter"/>
      <w:start w:val="2"/>
    </w:lvl>
    <w:lvl w:ilvl="1">
      <w:lvlJc w:val="left"/>
      <w:lvlText w:val="%2"/>
      <w:numFmt w:val="lowerRoman"/>
      <w:start w:val="1"/>
    </w:lvl>
  </w:abstractNum>
  <w:abstractNum w:abstractNumId="21">
    <w:nsid w:val="2463B9E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2">
    <w:nsid w:val="5E884A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3">
    <w:nsid w:val="51EAD36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4">
    <w:nsid w:val="2D51779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5">
    <w:nsid w:val="580BD78F"/>
    <w:multiLevelType w:val="hybridMultilevel"/>
    <w:lvl w:ilvl="0">
      <w:lvlJc w:val="left"/>
      <w:lvlText w:val="(%1)"/>
      <w:numFmt w:val="lowerLetter"/>
      <w:start w:val="2"/>
    </w:lvl>
    <w:lvl w:ilvl="1">
      <w:lvlJc w:val="left"/>
      <w:lvlText w:val="(%2)"/>
      <w:numFmt w:val="lowerRoman"/>
      <w:start w:val="1"/>
    </w:lvl>
  </w:abstractNum>
  <w:abstractNum w:abstractNumId="26">
    <w:nsid w:val="153EA438"/>
    <w:multiLevelType w:val="hybridMultilevel"/>
    <w:lvl w:ilvl="0">
      <w:lvlJc w:val="left"/>
      <w:lvlText w:val="%1"/>
      <w:numFmt w:val="lowerLetter"/>
      <w:start w:val="1"/>
    </w:lvl>
    <w:lvl w:ilvl="1">
      <w:lvlJc w:val="left"/>
      <w:lvlText w:val="(%2)"/>
      <w:numFmt w:val="lowerRoman"/>
      <w:start w:val="7"/>
    </w:lvl>
  </w:abstractNum>
  <w:abstractNum w:abstractNumId="27">
    <w:nsid w:val="3855585C"/>
    <w:multiLevelType w:val="hybridMultilevel"/>
    <w:lvl w:ilvl="0">
      <w:lvlJc w:val="left"/>
      <w:lvlText w:val="(%1)"/>
      <w:numFmt w:val="lowerLetter"/>
      <w:start w:val="3"/>
    </w:lvl>
    <w:lvl w:ilvl="1">
      <w:lvlJc w:val="left"/>
      <w:lvlText w:val="(%2)"/>
      <w:numFmt w:val="lowerRoman"/>
      <w:start w:val="1"/>
    </w:lvl>
  </w:abstractNum>
  <w:abstractNum w:abstractNumId="28">
    <w:nsid w:val="70A64E2A"/>
    <w:multiLevelType w:val="hybridMultilevel"/>
    <w:lvl w:ilvl="0">
      <w:lvlJc w:val="left"/>
      <w:lvlText w:val="%1"/>
      <w:numFmt w:val="decimal"/>
      <w:start w:val="1"/>
    </w:lvl>
    <w:lvl w:ilvl="1">
      <w:lvlJc w:val="left"/>
      <w:lvlText w:val="(%2)"/>
      <w:numFmt w:val="lowerLetter"/>
      <w:start w:val="4"/>
    </w:lvl>
  </w:abstractNum>
  <w:abstractNum w:abstractNumId="29">
    <w:nsid w:val="6A2342EC"/>
    <w:multiLevelType w:val="hybridMultilevel"/>
    <w:lvl w:ilvl="0">
      <w:lvlJc w:val="left"/>
      <w:lvlText w:val="%1."/>
      <w:numFmt w:val="decimal"/>
      <w:start w:val="8"/>
    </w:lvl>
    <w:lvl w:ilvl="1">
      <w:lvlJc w:val="left"/>
      <w:lvlText w:val="(%2)"/>
      <w:numFmt w:val="lowerLetter"/>
      <w:start w:val="1"/>
    </w:lvl>
  </w:abstractNum>
  <w:abstractNum w:abstractNumId="30">
    <w:nsid w:val="2A487CB0"/>
    <w:multiLevelType w:val="hybridMultilevel"/>
    <w:lvl w:ilvl="0">
      <w:lvlJc w:val="left"/>
      <w:lvlText w:val="%1"/>
      <w:numFmt w:val="decimal"/>
      <w:start w:val="1"/>
    </w:lvl>
    <w:lvl w:ilvl="1">
      <w:lvlJc w:val="left"/>
      <w:lvlText w:val="(%2)"/>
      <w:numFmt w:val="lowerLetter"/>
      <w:start w:val="3"/>
    </w:lvl>
  </w:abstractNum>
  <w:abstractNum w:abstractNumId="31">
    <w:nsid w:val="1D4ED43B"/>
    <w:multiLevelType w:val="hybridMultilevel"/>
    <w:lvl w:ilvl="0">
      <w:lvlJc w:val="left"/>
      <w:lvlText w:val="%1."/>
      <w:numFmt w:val="decimal"/>
      <w:start w:val="9"/>
    </w:lvl>
    <w:lvl w:ilvl="1">
      <w:lvlJc w:val="left"/>
      <w:lvlText w:val="(%2)"/>
      <w:numFmt w:val="lowerLetter"/>
      <w:start w:val="1"/>
    </w:lvl>
  </w:abstractNum>
  <w:abstractNum w:abstractNumId="32">
    <w:nsid w:val="725A06FB"/>
    <w:multiLevelType w:val="hybridMultilevel"/>
    <w:lvl w:ilvl="0">
      <w:lvlJc w:val="left"/>
      <w:lvlText w:val="(%1)"/>
      <w:numFmt w:val="lowerLetter"/>
      <w:start w:val="3"/>
    </w:lvl>
  </w:abstractNum>
  <w:abstractNum w:abstractNumId="33">
    <w:nsid w:val="2CD89A32"/>
    <w:multiLevelType w:val="hybridMultilevel"/>
    <w:lvl w:ilvl="0">
      <w:lvlJc w:val="left"/>
      <w:lvlText w:val="(%1)"/>
      <w:numFmt w:val="lowerLetter"/>
      <w:start w:val="8"/>
    </w:lvl>
  </w:abstractNum>
  <w:abstractNum w:abstractNumId="34">
    <w:nsid w:val="57E4CCAF"/>
    <w:multiLevelType w:val="hybridMultilevel"/>
    <w:lvl w:ilvl="0">
      <w:lvlJc w:val="left"/>
      <w:lvlText w:val="%1"/>
      <w:numFmt w:val="decimal"/>
      <w:start w:val="1"/>
    </w:lvl>
    <w:lvl w:ilvl="1">
      <w:lvlJc w:val="left"/>
      <w:lvlText w:val="(%2)"/>
      <w:numFmt w:val="lowerLetter"/>
      <w:start w:val="13"/>
    </w:lvl>
  </w:abstractNum>
  <w:abstractNum w:abstractNumId="35">
    <w:nsid w:val="7A6D8D3C"/>
    <w:multiLevelType w:val="hybridMultilevel"/>
    <w:lvl w:ilvl="0">
      <w:lvlJc w:val="left"/>
      <w:lvlText w:val="%1."/>
      <w:numFmt w:val="decimal"/>
      <w:start w:val="10"/>
    </w:lvl>
    <w:lvl w:ilvl="1">
      <w:lvlJc w:val="left"/>
      <w:lvlText w:val="(%2)"/>
      <w:numFmt w:val="lowerLetter"/>
      <w:start w:val="1"/>
    </w:lvl>
  </w:abstractNum>
  <w:abstractNum w:abstractNumId="36">
    <w:nsid w:val="4B588F54"/>
    <w:multiLevelType w:val="hybridMultilevel"/>
    <w:lvl w:ilvl="0">
      <w:lvlJc w:val="left"/>
      <w:lvlText w:val="%1."/>
      <w:numFmt w:val="decimal"/>
      <w:start w:val="12"/>
    </w:lvl>
  </w:abstractNum>
  <w:abstractNum w:abstractNumId="37">
    <w:nsid w:val="542289EC"/>
    <w:multiLevelType w:val="hybridMultilevel"/>
    <w:lvl w:ilvl="0">
      <w:lvlJc w:val="left"/>
      <w:lvlText w:val="(%1)"/>
      <w:numFmt w:val="lowerRoman"/>
      <w:start w:val="1"/>
    </w:lvl>
  </w:abstractNum>
  <w:abstractNum w:abstractNumId="38">
    <w:nsid w:val="6DE91B18"/>
    <w:multiLevelType w:val="hybridMultilevel"/>
    <w:lvl w:ilvl="0">
      <w:lvlJc w:val="left"/>
      <w:lvlText w:val="%1."/>
      <w:numFmt w:val="decimal"/>
      <w:start w:val="13"/>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lowerLetter"/>
      <w:start w:val="10"/>
    </w:lvl>
    <w:lvl w:ilvl="1">
      <w:lvlJc w:val="left"/>
      <w:lvlText w:val="(%2)"/>
      <w:numFmt w:val="lowerRoman"/>
      <w:start w:val="1"/>
    </w:lvl>
  </w:abstractNum>
  <w:abstractNum w:abstractNumId="41">
    <w:nsid w:val="32FFF902"/>
    <w:multiLevelType w:val="hybridMultilevel"/>
    <w:lvl w:ilvl="0">
      <w:lvlJc w:val="left"/>
      <w:lvlText w:val="(%1)"/>
      <w:numFmt w:val="lowerLetter"/>
      <w:start w:val="11"/>
    </w:lvl>
  </w:abstractNum>
  <w:abstractNum w:abstractNumId="42">
    <w:nsid w:val="684A481A"/>
    <w:multiLevelType w:val="hybridMultilevel"/>
    <w:lvl w:ilvl="0">
      <w:lvlJc w:val="left"/>
      <w:lvlText w:val="(%1)"/>
      <w:numFmt w:val="lowerLetter"/>
      <w:start w:val="18"/>
    </w:lvl>
    <w:lvl w:ilvl="1">
      <w:lvlJc w:val="left"/>
      <w:lvlText w:val="(%2)"/>
      <w:numFmt w:val="lowerRoman"/>
      <w:start w:val="1"/>
    </w:lvl>
  </w:abstractNum>
  <w:abstractNum w:abstractNumId="43">
    <w:nsid w:val="579478FE"/>
    <w:multiLevelType w:val="hybridMultilevel"/>
    <w:lvl w:ilvl="0">
      <w:lvlJc w:val="left"/>
      <w:lvlText w:val="(%1)"/>
      <w:numFmt w:val="lowerLetter"/>
      <w:start w:val="27"/>
    </w:lvl>
  </w:abstractNum>
  <w:abstractNum w:abstractNumId="44">
    <w:nsid w:val="749ABB43"/>
    <w:multiLevelType w:val="hybridMultilevel"/>
    <w:lvl w:ilvl="0">
      <w:lvlJc w:val="left"/>
      <w:lvlText w:val="(%1)"/>
      <w:numFmt w:val="lowerLetter"/>
      <w:start w:val="28"/>
    </w:lvl>
    <w:lvl w:ilvl="1">
      <w:lvlJc w:val="left"/>
      <w:lvlText w:val="(%2)"/>
      <w:numFmt w:val="lowerRoman"/>
      <w:start w:val="1"/>
    </w:lvl>
  </w:abstractNum>
  <w:abstractNum w:abstractNumId="45">
    <w:nsid w:val="3DC240FB"/>
    <w:multiLevelType w:val="hybridMultilevel"/>
    <w:lvl w:ilvl="0">
      <w:lvlJc w:val="left"/>
      <w:lvlText w:val="(%1)"/>
      <w:numFmt w:val="lowerLetter"/>
      <w:start w:val="34"/>
    </w:lvl>
  </w:abstractNum>
  <w:abstractNum w:abstractNumId="46">
    <w:nsid w:val="1BA026FA"/>
    <w:multiLevelType w:val="hybridMultilevel"/>
    <w:lvl w:ilvl="0">
      <w:lvlJc w:val="left"/>
      <w:lvlText w:val="(%1)"/>
      <w:numFmt w:val="lowerLetter"/>
      <w:start w:val="35"/>
    </w:lvl>
  </w:abstractNum>
  <w:abstractNum w:abstractNumId="47">
    <w:nsid w:val="79A1DEAA"/>
    <w:multiLevelType w:val="hybridMultilevel"/>
    <w:lvl w:ilvl="0">
      <w:lvlJc w:val="left"/>
      <w:lvlText w:val="(%1)"/>
      <w:numFmt w:val="lowerLetter"/>
      <w:start w:val="37"/>
    </w:lvl>
  </w:abstractNum>
  <w:abstractNum w:abstractNumId="48">
    <w:nsid w:val="75C6C33A"/>
    <w:multiLevelType w:val="hybridMultilevel"/>
    <w:lvl w:ilvl="0">
      <w:lvlJc w:val="left"/>
      <w:lvlText w:val="(%1)"/>
      <w:numFmt w:val="lowerLetter"/>
      <w:start w:val="45"/>
    </w:lvl>
  </w:abstractNum>
  <w:abstractNum w:abstractNumId="49">
    <w:nsid w:val="12E685FB"/>
    <w:multiLevelType w:val="hybridMultilevel"/>
    <w:lvl w:ilvl="0">
      <w:lvlJc w:val="left"/>
      <w:lvlText w:val="(%1)"/>
      <w:numFmt w:val="lowerLetter"/>
      <w:start w:val="53"/>
    </w:lvl>
  </w:abstractNum>
  <w:abstractNum w:abstractNumId="50">
    <w:nsid w:val="70C6A529"/>
    <w:multiLevelType w:val="hybridMultilevel"/>
    <w:lvl w:ilvl="0">
      <w:lvlJc w:val="left"/>
      <w:lvlText w:val="(%1)"/>
      <w:numFmt w:val="lowerLetter"/>
      <w:start w:val="54"/>
    </w:lvl>
  </w:abstractNum>
  <w:abstractNum w:abstractNumId="51">
    <w:nsid w:val="520EEDD1"/>
    <w:multiLevelType w:val="hybridMultilevel"/>
    <w:lvl w:ilvl="0">
      <w:lvlJc w:val="left"/>
      <w:lvlText w:val="(%1)"/>
      <w:numFmt w:val="lowerLetter"/>
      <w:start w:val="64"/>
    </w:lvl>
  </w:abstractNum>
  <w:abstractNum w:abstractNumId="52">
    <w:nsid w:val="374A3FE6"/>
    <w:multiLevelType w:val="hybridMultilevel"/>
    <w:lvl w:ilvl="0">
      <w:lvlJc w:val="left"/>
      <w:lvlText w:val="%1:"/>
      <w:numFmt w:val="upperLetter"/>
      <w:start w:val="20"/>
    </w:lvl>
  </w:abstractNum>
  <w:abstractNum w:abstractNumId="53">
    <w:nsid w:val="4F4EF005"/>
    <w:multiLevelType w:val="hybridMultilevel"/>
    <w:lvl w:ilvl="0">
      <w:lvlJc w:val="left"/>
      <w:lvlText w:val="(%1)"/>
      <w:numFmt w:val="lowerRoman"/>
      <w:start w:val="4"/>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jpeg"/><Relationship Id="rId67" Type="http://schemas.openxmlformats.org/officeDocument/2006/relationships/image" Target="media/image48.png"/><Relationship Id="rId68" Type="http://schemas.openxmlformats.org/officeDocument/2006/relationships/image" Target="media/image49.jpe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20" Type="http://schemas.openxmlformats.org/officeDocument/2006/relationships/hyperlink" Target="https://www.sec.gov/ix?doc=/Archives/edgar/data/0001094038/000141057822000418/mrkr-20211231x10k.htm" TargetMode="External"/><Relationship Id="rId21" Type="http://schemas.openxmlformats.org/officeDocument/2006/relationships/hyperlink" Target="https://www.sec.gov/Archives/edgar/data/0001094038/000110465922046490/tm2211212-3_def14a.htm" TargetMode="External"/><Relationship Id="rId22" Type="http://schemas.openxmlformats.org/officeDocument/2006/relationships/hyperlink" Target="https://www.sec.gov/ix?doc=/Archives/edgar/data/0001094038/000141057822001389/mrkr-20220331x10q.htm" TargetMode="External"/><Relationship Id="rId23" Type="http://schemas.openxmlformats.org/officeDocument/2006/relationships/hyperlink" Target="https://www.sec.gov/ix?doc=/Archives/edgar/data/1094038/000141057822002292/mrkr-20220630x10q.htm" TargetMode="External"/><Relationship Id="rId24" Type="http://schemas.openxmlformats.org/officeDocument/2006/relationships/hyperlink" Target="https://www.sec.gov/ix?doc=/Archives/edgar/data/0001094038/000110465922049970/tm2213489d1_8k.htm" TargetMode="External"/><Relationship Id="rId25" Type="http://schemas.openxmlformats.org/officeDocument/2006/relationships/hyperlink" Target="https://www.sec.gov/ix?doc=/Archives/edgar/data/1094038/000119312522162322/d480537d8k.htm" TargetMode="External"/><Relationship Id="rId26" Type="http://schemas.openxmlformats.org/officeDocument/2006/relationships/hyperlink" Target="https://www.sec.gov/Archives/edgar/data/0001094038/000114420416131272/v452031_8a12b.htm" TargetMode="External"/><Relationship Id="rId29" Type="http://schemas.openxmlformats.org/officeDocument/2006/relationships/hyperlink" Target="https://www.sec.gov/Archives/edgar/data/1094038/000119312522162322/d480537dex31.htm" TargetMode="External"/><Relationship Id="rId30" Type="http://schemas.openxmlformats.org/officeDocument/2006/relationships/hyperlink" Target="https://www.sec.gov/Archives/edgar/data/1094038/000114420418054209/tv504951_ex3-6.htm" TargetMode="External"/><Relationship Id="rId31" Type="http://schemas.openxmlformats.org/officeDocument/2006/relationships/hyperlink" Target="https://www.sec.gov/Archives/edgar/data/1094038/000110465920072918/tm2022347d1_ex99-1.htm" TargetMode="External"/><Relationship Id="rId32" Type="http://schemas.openxmlformats.org/officeDocument/2006/relationships/hyperlink" Target="https://www.sec.gov/Archives/edgar/data/1094038/000110465920123055/mrkr-20200930xex10d1.htm" TargetMode="External"/><Relationship Id="rId33" Type="http://schemas.openxmlformats.org/officeDocument/2006/relationships/hyperlink" Target="https://www.sec.gov/Archives/edgar/data/1094038/000110465920123055/mrkr-20200930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2022-08-12T11:58:06Z</dcterms:created>
  <dcterms:modified xsi:type="dcterms:W3CDTF">2022-08-12T11:58:06Z</dcterms:modified>
</cp:coreProperties>
</file>