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3060" w:type="dxa"/>
            <w:vAlign w:val="bottom"/>
            <w:gridSpan w:val="2"/>
            <w:vMerge w:val="restart"/>
          </w:tcPr>
          <w:p>
            <w:pPr>
              <w:spacing w:after="0"/>
              <w:rPr>
                <w:rFonts w:ascii="Arial" w:cs="Arial" w:eastAsia="Arial" w:hAnsi="Arial"/>
                <w:sz w:val="24"/>
                <w:szCs w:val="24"/>
                <w:color w:val="0000EE"/>
              </w:rPr>
            </w:pPr>
            <w:hyperlink r:id="rId10">
              <w:r>
                <w:rPr>
                  <w:rFonts w:ascii="Arial" w:cs="Arial" w:eastAsia="Arial" w:hAnsi="Arial"/>
                  <w:sz w:val="24"/>
                  <w:szCs w:val="24"/>
                  <w:color w:val="0000EE"/>
                </w:rPr>
                <w:t>Lurier Eliot M</w:t>
              </w:r>
            </w:hyperlink>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060" w:type="dxa"/>
            <w:vAlign w:val="bottom"/>
            <w:gridSpan w:val="2"/>
            <w:vMerge w:val="continue"/>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06/30/2023</w:t>
            </w:r>
          </w:p>
        </w:tc>
        <w:tc>
          <w:tcPr>
            <w:tcW w:w="0" w:type="dxa"/>
            <w:vAlign w:val="bottom"/>
          </w:tcPr>
          <w:p>
            <w:pPr>
              <w:spacing w:after="0"/>
              <w:rPr>
                <w:sz w:val="1"/>
                <w:szCs w:val="1"/>
                <w:color w:val="auto"/>
              </w:rPr>
            </w:pPr>
          </w:p>
        </w:tc>
      </w:tr>
    </w:tbl>
    <w:p>
      <w:pPr>
        <w:spacing w:after="0" w:line="15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4" w:lineRule="exact"/>
        <w:rPr>
          <w:sz w:val="24"/>
          <w:szCs w:val="24"/>
          <w:color w:val="auto"/>
        </w:rPr>
      </w:pPr>
    </w:p>
    <w:p>
      <w:pPr>
        <w:ind w:left="140" w:right="1860"/>
        <w:spacing w:after="0" w:line="269" w:lineRule="auto"/>
        <w:rPr>
          <w:sz w:val="20"/>
          <w:szCs w:val="20"/>
          <w:color w:val="auto"/>
        </w:rPr>
      </w:pPr>
      <w:r>
        <w:rPr>
          <w:rFonts w:ascii="Arial" w:cs="Arial" w:eastAsia="Arial" w:hAnsi="Arial"/>
          <w:sz w:val="20"/>
          <w:szCs w:val="20"/>
          <w:color w:val="0000FF"/>
        </w:rPr>
        <w:t>C/O MARKER THERAPEUTICS,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9350 KIRBY DRIVE, SUITE 300</w:t>
      </w:r>
    </w:p>
    <w:p>
      <w:pPr>
        <w:spacing w:after="0" w:line="324"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6"/>
                <w:szCs w:val="16"/>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HOUSTON TX</w:t>
            </w:r>
          </w:p>
        </w:tc>
        <w:tc>
          <w:tcPr>
            <w:tcW w:w="860" w:type="dxa"/>
            <w:vAlign w:val="bottom"/>
          </w:tcPr>
          <w:p>
            <w:pPr>
              <w:jc w:val="right"/>
              <w:spacing w:after="0"/>
              <w:rPr>
                <w:sz w:val="20"/>
                <w:szCs w:val="20"/>
                <w:color w:val="auto"/>
              </w:rPr>
            </w:pPr>
            <w:r>
              <w:rPr>
                <w:rFonts w:ascii="Arial" w:cs="Arial" w:eastAsia="Arial" w:hAnsi="Arial"/>
                <w:sz w:val="20"/>
                <w:szCs w:val="20"/>
                <w:color w:val="0000FF"/>
              </w:rPr>
              <w:t>77054</w:t>
            </w:r>
          </w:p>
        </w:tc>
      </w:tr>
    </w:tbl>
    <w:p>
      <w:pPr>
        <w:spacing w:after="0" w:line="3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Marker Therapeutics,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MRKR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20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6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140" w:type="dxa"/>
            <w:vAlign w:val="bottom"/>
          </w:tcPr>
          <w:p>
            <w:pPr>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6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140" w:type="dxa"/>
            <w:vAlign w:val="bottom"/>
          </w:tcPr>
          <w:p>
            <w:pPr>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6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140" w:type="dxa"/>
            <w:vAlign w:val="bottom"/>
            <w:vMerge w:val="restart"/>
          </w:tcPr>
          <w:p>
            <w:pPr>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1600" w:type="dxa"/>
            <w:vAlign w:val="bottom"/>
          </w:tcPr>
          <w:p>
            <w:pPr>
              <w:ind w:left="600"/>
              <w:spacing w:after="0"/>
              <w:rPr>
                <w:sz w:val="20"/>
                <w:szCs w:val="20"/>
                <w:color w:val="auto"/>
              </w:rPr>
            </w:pPr>
            <w:r>
              <w:rPr>
                <w:rFonts w:ascii="Arial" w:cs="Arial" w:eastAsia="Arial" w:hAnsi="Arial"/>
                <w:sz w:val="20"/>
                <w:szCs w:val="20"/>
                <w:color w:val="0000FF"/>
                <w:w w:val="89"/>
              </w:rPr>
              <w:t>Interim CFO</w:t>
            </w: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46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6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8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9"/>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26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260" w:type="dxa"/>
            <w:vAlign w:val="bottom"/>
            <w:vMerge w:val="continue"/>
          </w:tcPr>
          <w:p>
            <w:pPr>
              <w:spacing w:after="0"/>
              <w:rPr>
                <w:sz w:val="18"/>
                <w:szCs w:val="18"/>
                <w:color w:val="auto"/>
              </w:rPr>
            </w:pP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No securities beneficially owned. Exhibit List - Exhbit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20" w:type="dxa"/>
            <w:vAlign w:val="bottom"/>
          </w:tcPr>
          <w:p>
            <w:pPr>
              <w:spacing w:after="0"/>
              <w:rPr>
                <w:sz w:val="21"/>
                <w:szCs w:val="21"/>
                <w:color w:val="auto"/>
              </w:rPr>
            </w:pPr>
          </w:p>
        </w:tc>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Jason Minio, Attorney-</w:t>
            </w:r>
          </w:p>
        </w:tc>
        <w:tc>
          <w:tcPr>
            <w:tcW w:w="160" w:type="dxa"/>
            <w:vAlign w:val="bottom"/>
          </w:tcPr>
          <w:p>
            <w:pPr>
              <w:spacing w:after="0"/>
              <w:rPr>
                <w:sz w:val="21"/>
                <w:szCs w:val="21"/>
                <w:color w:val="auto"/>
              </w:rPr>
            </w:pPr>
          </w:p>
        </w:tc>
        <w:tc>
          <w:tcPr>
            <w:tcW w:w="880" w:type="dxa"/>
            <w:vAlign w:val="bottom"/>
            <w:vMerge w:val="restart"/>
          </w:tcPr>
          <w:p>
            <w:pPr>
              <w:spacing w:after="0"/>
              <w:rPr>
                <w:sz w:val="20"/>
                <w:szCs w:val="20"/>
                <w:color w:val="auto"/>
              </w:rPr>
            </w:pPr>
            <w:r>
              <w:rPr>
                <w:rFonts w:ascii="Arial" w:cs="Arial" w:eastAsia="Arial" w:hAnsi="Arial"/>
                <w:sz w:val="20"/>
                <w:szCs w:val="20"/>
                <w:color w:val="0000FF"/>
                <w:w w:val="85"/>
              </w:rPr>
              <w:t>07/05/2023</w:t>
            </w: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560" w:type="dxa"/>
            <w:vAlign w:val="bottom"/>
            <w:vMerge w:val="restart"/>
          </w:tcPr>
          <w:p>
            <w:pPr>
              <w:spacing w:after="0" w:line="220" w:lineRule="exact"/>
              <w:rPr>
                <w:sz w:val="20"/>
                <w:szCs w:val="20"/>
                <w:color w:val="auto"/>
              </w:rPr>
            </w:pPr>
            <w:r>
              <w:rPr>
                <w:rFonts w:ascii="Arial" w:cs="Arial" w:eastAsia="Arial" w:hAnsi="Arial"/>
                <w:sz w:val="20"/>
                <w:szCs w:val="20"/>
                <w:color w:val="0000FF"/>
                <w:w w:val="88"/>
              </w:rPr>
              <w:t>in-Fact</w:t>
            </w:r>
          </w:p>
        </w:tc>
        <w:tc>
          <w:tcPr>
            <w:tcW w:w="1640" w:type="dxa"/>
            <w:vAlign w:val="bottom"/>
            <w:gridSpan w:val="2"/>
            <w:vMerge w:val="restart"/>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20" w:type="dxa"/>
            <w:vAlign w:val="bottom"/>
          </w:tcPr>
          <w:p>
            <w:pPr>
              <w:spacing w:after="0"/>
              <w:rPr>
                <w:sz w:val="8"/>
                <w:szCs w:val="8"/>
                <w:color w:val="auto"/>
              </w:rPr>
            </w:pPr>
          </w:p>
        </w:tc>
        <w:tc>
          <w:tcPr>
            <w:tcW w:w="560" w:type="dxa"/>
            <w:vAlign w:val="bottom"/>
            <w:tcBorders>
              <w:bottom w:val="single" w:sz="8" w:color="auto"/>
            </w:tcBorders>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6520" w:type="dxa"/>
            <w:vAlign w:val="bottom"/>
          </w:tcPr>
          <w:p>
            <w:pPr>
              <w:spacing w:after="0"/>
              <w:rPr>
                <w:sz w:val="20"/>
                <w:szCs w:val="20"/>
                <w:color w:val="auto"/>
              </w:rPr>
            </w:pPr>
          </w:p>
        </w:tc>
        <w:tc>
          <w:tcPr>
            <w:tcW w:w="220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5"/>
        </w:trPr>
        <w:tc>
          <w:tcPr>
            <w:tcW w:w="6520" w:type="dxa"/>
            <w:vAlign w:val="bottom"/>
          </w:tcPr>
          <w:p>
            <w:pPr>
              <w:spacing w:after="0"/>
              <w:rPr>
                <w:sz w:val="9"/>
                <w:szCs w:val="9"/>
                <w:color w:val="auto"/>
              </w:rPr>
            </w:pPr>
          </w:p>
        </w:tc>
        <w:tc>
          <w:tcPr>
            <w:tcW w:w="220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652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MARKER THERAPEUTICS, INC.</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 ID and Forms 3, 4 and 5)</w:t>
      </w:r>
    </w:p>
    <w:p>
      <w:pPr>
        <w:spacing w:after="0" w:line="224" w:lineRule="exact"/>
        <w:rPr>
          <w:sz w:val="20"/>
          <w:szCs w:val="20"/>
          <w:color w:val="auto"/>
        </w:rPr>
      </w:pPr>
    </w:p>
    <w:p>
      <w:pPr>
        <w:ind w:right="1400" w:firstLine="940"/>
        <w:spacing w:after="0" w:line="250"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Divakar Gupta, Darren DeStefano, Madison Jones, Paul Alexander and Jason Minio of Cooley LLP and Juan Vera of Marker Therapeutics, Inc. (the "Company"), signing individually, the undersigned's true and lawful attorneys-in-fact and agents to:</w:t>
      </w:r>
    </w:p>
    <w:p>
      <w:pPr>
        <w:spacing w:after="0" w:line="171" w:lineRule="exact"/>
        <w:rPr>
          <w:sz w:val="20"/>
          <w:szCs w:val="20"/>
          <w:color w:val="auto"/>
        </w:rPr>
      </w:pPr>
    </w:p>
    <w:p>
      <w:pPr>
        <w:ind w:firstLine="940"/>
        <w:spacing w:after="0" w:line="247" w:lineRule="auto"/>
        <w:tabs>
          <w:tab w:leader="none" w:pos="187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(the "SEC") a Form ID,</w:t>
      </w:r>
    </w:p>
    <w:p>
      <w:pPr>
        <w:spacing w:after="0" w:line="1" w:lineRule="exact"/>
        <w:rPr>
          <w:rFonts w:ascii="Courier New" w:cs="Courier New" w:eastAsia="Courier New" w:hAnsi="Courier New"/>
          <w:sz w:val="20"/>
          <w:szCs w:val="20"/>
          <w:color w:val="auto"/>
        </w:rPr>
      </w:pPr>
    </w:p>
    <w:p>
      <w:pPr>
        <w:ind w:right="1640"/>
        <w:spacing w:after="0" w:line="279"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Uniform Application for Access Codes to File on EDGAR,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thereunder;</w:t>
      </w:r>
    </w:p>
    <w:p>
      <w:pPr>
        <w:spacing w:after="0" w:line="147" w:lineRule="exact"/>
        <w:rPr>
          <w:rFonts w:ascii="Courier New" w:cs="Courier New" w:eastAsia="Courier New" w:hAnsi="Courier New"/>
          <w:sz w:val="20"/>
          <w:szCs w:val="20"/>
          <w:color w:val="auto"/>
        </w:rPr>
      </w:pPr>
    </w:p>
    <w:p>
      <w:pPr>
        <w:ind w:firstLine="940"/>
        <w:spacing w:after="0" w:line="247" w:lineRule="auto"/>
        <w:tabs>
          <w:tab w:leader="none" w:pos="187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 Forms 3, 4 and 5 (including amendments thereto and joint</w:t>
      </w:r>
    </w:p>
    <w:p>
      <w:pPr>
        <w:spacing w:after="0" w:line="1" w:lineRule="exact"/>
        <w:rPr>
          <w:rFonts w:ascii="Courier New" w:cs="Courier New" w:eastAsia="Courier New" w:hAnsi="Courier New"/>
          <w:sz w:val="20"/>
          <w:szCs w:val="20"/>
          <w:color w:val="auto"/>
        </w:rPr>
      </w:pPr>
    </w:p>
    <w:p>
      <w:pPr>
        <w:ind w:right="1400"/>
        <w:spacing w:after="0" w:line="24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filing agreements in connection therewith) in accordance with Section 16(a) of the Exchange Act and the rules thereunder in the undersigned's capacity as an officer, director or beneficial owner of more than 10% of a registered class of securities of the Company;</w:t>
      </w:r>
    </w:p>
    <w:p>
      <w:pPr>
        <w:spacing w:after="0" w:line="174" w:lineRule="exact"/>
        <w:rPr>
          <w:rFonts w:ascii="Courier New" w:cs="Courier New" w:eastAsia="Courier New" w:hAnsi="Courier New"/>
          <w:sz w:val="20"/>
          <w:szCs w:val="20"/>
          <w:color w:val="auto"/>
        </w:rPr>
      </w:pPr>
    </w:p>
    <w:p>
      <w:pPr>
        <w:ind w:right="220" w:firstLine="940"/>
        <w:spacing w:after="0" w:line="244" w:lineRule="auto"/>
        <w:tabs>
          <w:tab w:leader="none" w:pos="187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 and execute any such Form 3, 4 or 5 (including amendments thereto and joint filing agreements in connection</w:t>
      </w:r>
    </w:p>
    <w:p>
      <w:pPr>
        <w:spacing w:after="0" w:line="2" w:lineRule="exact"/>
        <w:rPr>
          <w:rFonts w:ascii="Courier New" w:cs="Courier New" w:eastAsia="Courier New" w:hAnsi="Courier New"/>
          <w:sz w:val="20"/>
          <w:szCs w:val="20"/>
          <w:color w:val="auto"/>
        </w:rPr>
      </w:pPr>
    </w:p>
    <w:p>
      <w:pPr>
        <w:ind w:right="2820"/>
        <w:spacing w:after="0" w:line="322"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therewith) and file such forms with the SEC and any stock exchange, self-regulatory association or any similar authority; and</w:t>
      </w:r>
    </w:p>
    <w:p>
      <w:pPr>
        <w:spacing w:after="0" w:line="110" w:lineRule="exact"/>
        <w:rPr>
          <w:rFonts w:ascii="Courier New" w:cs="Courier New" w:eastAsia="Courier New" w:hAnsi="Courier New"/>
          <w:sz w:val="20"/>
          <w:szCs w:val="20"/>
          <w:color w:val="auto"/>
        </w:rPr>
      </w:pPr>
    </w:p>
    <w:p>
      <w:pPr>
        <w:ind w:right="940" w:firstLine="940"/>
        <w:spacing w:after="0" w:line="275" w:lineRule="auto"/>
        <w:tabs>
          <w:tab w:leader="none" w:pos="187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w:t>
      </w:r>
    </w:p>
    <w:p>
      <w:pPr>
        <w:ind w:right="1400"/>
        <w:spacing w:after="0" w:line="245"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76" w:lineRule="exact"/>
        <w:rPr>
          <w:sz w:val="20"/>
          <w:szCs w:val="20"/>
          <w:color w:val="auto"/>
        </w:rPr>
      </w:pPr>
    </w:p>
    <w:p>
      <w:pPr>
        <w:ind w:right="1040" w:firstLine="940"/>
        <w:spacing w:after="0" w:line="272"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384" w:lineRule="exact"/>
        <w:rPr>
          <w:sz w:val="20"/>
          <w:szCs w:val="20"/>
          <w:color w:val="auto"/>
        </w:rPr>
      </w:pPr>
    </w:p>
    <w:p>
      <w:pPr>
        <w:ind w:right="460" w:firstLine="940"/>
        <w:spacing w:after="0" w:line="275"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w:t>
      </w:r>
    </w:p>
    <w:p>
      <w:pPr>
        <w:spacing w:after="0" w:line="1" w:lineRule="exact"/>
        <w:rPr>
          <w:sz w:val="20"/>
          <w:szCs w:val="20"/>
          <w:color w:val="auto"/>
        </w:rPr>
      </w:pPr>
    </w:p>
    <w:p>
      <w:pPr>
        <w:ind w:right="1280"/>
        <w:spacing w:after="0" w:line="245" w:lineRule="auto"/>
        <w:rPr>
          <w:sz w:val="20"/>
          <w:szCs w:val="20"/>
          <w:color w:val="auto"/>
        </w:rPr>
      </w:pPr>
      <w:r>
        <w:rPr>
          <w:rFonts w:ascii="Courier New" w:cs="Courier New" w:eastAsia="Courier New" w:hAnsi="Courier New"/>
          <w:sz w:val="20"/>
          <w:szCs w:val="20"/>
          <w:color w:val="auto"/>
        </w:rPr>
        <w:t>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 or Cooley LLP, as applicable.</w:t>
      </w:r>
    </w:p>
    <w:p>
      <w:pPr>
        <w:spacing w:after="0" w:line="176" w:lineRule="exact"/>
        <w:rPr>
          <w:sz w:val="20"/>
          <w:szCs w:val="20"/>
          <w:color w:val="auto"/>
        </w:rPr>
      </w:pPr>
    </w:p>
    <w:p>
      <w:pPr>
        <w:ind w:right="940" w:firstLine="940"/>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written below.</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7/3/2023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 Eliot M. Lurier</w:t>
      </w:r>
    </w:p>
    <w:p>
      <w:pPr>
        <w:spacing w:after="0"/>
        <w:rPr>
          <w:sz w:val="20"/>
          <w:szCs w:val="20"/>
          <w:color w:val="auto"/>
        </w:rPr>
      </w:pPr>
      <w:r>
        <w:rPr>
          <w:rFonts w:ascii="Courier New" w:cs="Courier New" w:eastAsia="Courier New" w:hAnsi="Courier New"/>
          <w:sz w:val="20"/>
          <w:szCs w:val="20"/>
          <w:color w:val="auto"/>
        </w:rPr>
        <w:t>Eliot M. Lurier</w:t>
      </w:r>
    </w:p>
    <w:sectPr>
      <w:pgSz w:w="11900" w:h="16838" w:orient="portrait"/>
      <w:cols w:equalWidth="0" w:num="1">
        <w:col w:w="10680"/>
      </w:cols>
      <w:pgMar w:left="480" w:top="316" w:right="739" w:bottom="4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438037" TargetMode="External"/><Relationship Id="rId11" Type="http://schemas.openxmlformats.org/officeDocument/2006/relationships/hyperlink" Target="http://www.sec.gov/cgi-bin/browse-edgar?action=getcompany&amp;CIK=0001094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2023-07-05T15:23:48Z</dcterms:created>
  <dcterms:modified xsi:type="dcterms:W3CDTF">2023-07-05T15:23:48Z</dcterms:modified>
</cp:coreProperties>
</file>