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left="6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w:t>
      </w:r>
    </w:p>
    <w:p>
      <w:pPr>
        <w:spacing w:after="0" w:line="23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u w:val="single" w:color="auto"/>
          <w:color w:val="auto"/>
        </w:rPr>
        <w:t>March 31, 2014</w:t>
      </w:r>
    </w:p>
    <w:p>
      <w:pPr>
        <w:spacing w:after="0" w:line="256" w:lineRule="exact"/>
        <w:rPr>
          <w:sz w:val="24"/>
          <w:szCs w:val="24"/>
          <w:color w:val="auto"/>
        </w:rPr>
      </w:pPr>
    </w:p>
    <w:p>
      <w:pPr>
        <w:ind w:left="4340" w:right="1380" w:hanging="4332"/>
        <w:spacing w:after="0" w:line="559"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4500"/>
              <w:spacing w:after="0"/>
              <w:rPr>
                <w:sz w:val="20"/>
                <w:szCs w:val="20"/>
                <w:color w:val="auto"/>
              </w:rPr>
            </w:pPr>
            <w:r>
              <w:rPr>
                <w:rFonts w:ascii="Arial" w:cs="Arial" w:eastAsia="Arial" w:hAnsi="Arial"/>
                <w:sz w:val="18"/>
                <w:szCs w:val="18"/>
                <w:color w:val="auto"/>
                <w:w w:val="91"/>
              </w:rPr>
              <w:t>(Name of registrant in its charter)</w:t>
            </w:r>
          </w:p>
        </w:tc>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4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88-0277072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1551 Eastlake Avenue East, Suite 100</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Seattle, Washington</w:t>
            </w:r>
          </w:p>
        </w:tc>
        <w:tc>
          <w:tcPr>
            <w:tcW w:w="448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rPr>
              <w:t>98102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25"/>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(206) 504 7278</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694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38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044"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 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 Accelerated filer</w:t>
      </w:r>
    </w:p>
    <w:p>
      <w:pPr>
        <w:spacing w:after="0" w:line="200" w:lineRule="exact"/>
        <w:rPr>
          <w:sz w:val="24"/>
          <w:szCs w:val="24"/>
          <w:color w:val="auto"/>
        </w:rPr>
      </w:pPr>
    </w:p>
    <w:p>
      <w:pPr>
        <w:sectPr>
          <w:pgSz w:w="11900" w:h="16838" w:orient="portrait"/>
          <w:cols w:equalWidth="0" w:num="2">
            <w:col w:w="4900" w:space="720"/>
            <w:col w:w="5800"/>
          </w:cols>
          <w:pgMar w:left="240" w:top="1044"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 Non-accelerated filer (Do not check</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204" w:lineRule="exact"/>
        <w:rPr>
          <w:sz w:val="24"/>
          <w:szCs w:val="24"/>
          <w:color w:val="auto"/>
        </w:rPr>
      </w:pPr>
    </w:p>
    <w:p>
      <w:pPr>
        <w:sectPr>
          <w:pgSz w:w="11900" w:h="16838" w:orient="portrait"/>
          <w:cols w:equalWidth="0" w:num="2">
            <w:col w:w="4800" w:space="720"/>
            <w:col w:w="5900"/>
          </w:cols>
          <w:pgMar w:left="240" w:top="1044" w:right="239" w:bottom="1440" w:gutter="0" w:footer="0" w:header="0"/>
          <w:type w:val="continuous"/>
        </w:sectPr>
      </w:pPr>
    </w:p>
    <w:p>
      <w:pPr>
        <w:spacing w:after="0" w:line="7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if smaller reporting company)</w:t>
      </w:r>
    </w:p>
    <w:p>
      <w:pPr>
        <w:sectPr>
          <w:pgSz w:w="11900" w:h="16838" w:orient="portrait"/>
          <w:cols w:equalWidth="0" w:num="1">
            <w:col w:w="11420"/>
          </w:cols>
          <w:pgMar w:left="240" w:top="1044" w:right="23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  No </w:t>
      </w:r>
      <w:r>
        <w:rPr>
          <w:rFonts w:ascii="Arial" w:cs="Arial" w:eastAsia="Arial" w:hAnsi="Arial"/>
          <w:sz w:val="18"/>
          <w:szCs w:val="18"/>
          <w:b w:val="1"/>
          <w:bCs w:val="1"/>
          <w:color w:val="auto"/>
        </w:rPr>
        <w:t>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As of May 1, 2014, the Company had 16,132,258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1024890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are filing this Amendment No. 1 (the “Amendment”) on Form 10-Q/A to amend our Quarterly Report on Form 10-Q for the three months ended March 31, 2014 (the “Original Filing”) that was filed with the Securities and Exchange Commission on May 20, 2014, solely for the purpose of furnishing Exhibit 101 – Interactive Data File (XBRL Exhibit) required by Rule 405 of Regulation S-T, which was not included with the Original Filing.</w:t>
      </w:r>
    </w:p>
    <w:p>
      <w:pPr>
        <w:spacing w:after="0" w:line="200" w:lineRule="exact"/>
        <w:rPr>
          <w:sz w:val="20"/>
          <w:szCs w:val="20"/>
          <w:color w:val="auto"/>
        </w:rPr>
      </w:pPr>
    </w:p>
    <w:p>
      <w:pPr>
        <w:spacing w:after="0" w:line="23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is filing Exhibit 101 in accordance with the temporary hardship exemption provided by Rule 201 of Regulation S-T, which extended the date by which the interactive data file is required to be submitted by six business days.</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as described above, this Amendment No. 1 does not amend any other information set forth in the Original Filing, and the Company has not updated disclosures included therein to reflect any events that occurred subsequent to May 20,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tcPr>
          <w:p>
            <w:pPr>
              <w:ind w:left="540"/>
              <w:spacing w:after="0"/>
              <w:rPr>
                <w:sz w:val="20"/>
                <w:szCs w:val="20"/>
                <w:color w:val="auto"/>
              </w:rPr>
            </w:pPr>
            <w:r>
              <w:rPr>
                <w:rFonts w:ascii="Arial" w:cs="Arial" w:eastAsia="Arial" w:hAnsi="Arial"/>
                <w:sz w:val="18"/>
                <w:szCs w:val="18"/>
                <w:color w:val="auto"/>
                <w:w w:val="93"/>
              </w:rPr>
              <w:t>Certification of Principal Executive Officer and Acting Principal Accounting Officer pursuant to Securities Exchange Act of 1934</w:t>
            </w:r>
          </w:p>
        </w:tc>
      </w:tr>
      <w:tr>
        <w:trPr>
          <w:trHeight w:val="216"/>
        </w:trPr>
        <w:tc>
          <w:tcPr>
            <w:tcW w:w="1420" w:type="dxa"/>
            <w:vAlign w:val="bottom"/>
          </w:tcPr>
          <w:p>
            <w:pPr>
              <w:spacing w:after="0"/>
              <w:rPr>
                <w:sz w:val="18"/>
                <w:szCs w:val="18"/>
                <w:color w:val="auto"/>
              </w:rPr>
            </w:pPr>
          </w:p>
        </w:tc>
        <w:tc>
          <w:tcPr>
            <w:tcW w:w="10000" w:type="dxa"/>
            <w:vAlign w:val="bottom"/>
          </w:tcPr>
          <w:p>
            <w:pPr>
              <w:ind w:left="540"/>
              <w:spacing w:after="0"/>
              <w:rPr>
                <w:sz w:val="20"/>
                <w:szCs w:val="20"/>
                <w:color w:val="auto"/>
              </w:rPr>
            </w:pPr>
            <w:r>
              <w:rPr>
                <w:rFonts w:ascii="Arial" w:cs="Arial" w:eastAsia="Arial" w:hAnsi="Arial"/>
                <w:sz w:val="18"/>
                <w:szCs w:val="18"/>
                <w:color w:val="auto"/>
              </w:rPr>
              <w:t>Rule 13a-14(a) or 15d-14(a).*</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tcPr>
          <w:p>
            <w:pPr>
              <w:ind w:left="540"/>
              <w:spacing w:after="0"/>
              <w:rPr>
                <w:sz w:val="20"/>
                <w:szCs w:val="20"/>
                <w:color w:val="auto"/>
              </w:rPr>
            </w:pPr>
            <w:r>
              <w:rPr>
                <w:rFonts w:ascii="Arial" w:cs="Arial" w:eastAsia="Arial" w:hAnsi="Arial"/>
                <w:sz w:val="18"/>
                <w:szCs w:val="18"/>
                <w:color w:val="auto"/>
                <w:w w:val="99"/>
              </w:rPr>
              <w:t>Certification of Principal Executive Officer and Acting Principal Accounting Officer pursuant to 18 U.S.C. Section 1350.*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tcPr>
          <w:p>
            <w:pPr>
              <w:ind w:left="540"/>
              <w:spacing w:after="0"/>
              <w:rPr>
                <w:sz w:val="20"/>
                <w:szCs w:val="20"/>
                <w:color w:val="auto"/>
              </w:rPr>
            </w:pPr>
            <w:r>
              <w:rPr>
                <w:rFonts w:ascii="Arial" w:cs="Arial" w:eastAsia="Arial" w:hAnsi="Arial"/>
                <w:sz w:val="18"/>
                <w:szCs w:val="18"/>
                <w:color w:val="auto"/>
              </w:rPr>
              <w:t>XBRL Instance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tcPr>
          <w:p>
            <w:pPr>
              <w:ind w:left="5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5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tcPr>
          <w:p>
            <w:pPr>
              <w:ind w:left="5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tcPr>
          <w:p>
            <w:pPr>
              <w:ind w:left="5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tcPr>
          <w:p>
            <w:pPr>
              <w:ind w:left="5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45"/>
        </w:trPr>
        <w:tc>
          <w:tcPr>
            <w:tcW w:w="142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tcPr>
          <w:p>
            <w:pPr>
              <w:ind w:left="540"/>
              <w:spacing w:after="0"/>
              <w:rPr>
                <w:sz w:val="20"/>
                <w:szCs w:val="20"/>
                <w:color w:val="auto"/>
              </w:rPr>
            </w:pPr>
            <w:r>
              <w:rPr>
                <w:rFonts w:ascii="Arial" w:cs="Arial" w:eastAsia="Arial" w:hAnsi="Arial"/>
                <w:sz w:val="18"/>
                <w:szCs w:val="18"/>
                <w:color w:val="auto"/>
              </w:rPr>
              <w:t>Filed with our Form 10-Q on May 20, 2014</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tcPr>
          <w:p>
            <w:pPr>
              <w:ind w:left="540"/>
              <w:spacing w:after="0"/>
              <w:rPr>
                <w:sz w:val="20"/>
                <w:szCs w:val="20"/>
                <w:color w:val="auto"/>
              </w:rPr>
            </w:pPr>
            <w:r>
              <w:rPr>
                <w:rFonts w:ascii="Arial" w:cs="Arial" w:eastAsia="Arial" w:hAnsi="Arial"/>
                <w:sz w:val="18"/>
                <w:szCs w:val="18"/>
                <w:color w:val="auto"/>
              </w:rPr>
              <w:t>Filed herewith</w:t>
            </w:r>
          </w:p>
        </w:tc>
      </w:tr>
      <w:tr>
        <w:trPr>
          <w:trHeight w:val="1145"/>
        </w:trPr>
        <w:tc>
          <w:tcPr>
            <w:tcW w:w="1420" w:type="dxa"/>
            <w:vAlign w:val="bottom"/>
            <w:tcBorders>
              <w:bottom w:val="single" w:sz="8" w:color="808080"/>
            </w:tcBorders>
          </w:tcPr>
          <w:p>
            <w:pPr>
              <w:spacing w:after="0"/>
              <w:rPr>
                <w:sz w:val="24"/>
                <w:szCs w:val="24"/>
                <w:color w:val="auto"/>
              </w:rPr>
            </w:pPr>
          </w:p>
        </w:tc>
        <w:tc>
          <w:tcPr>
            <w:tcW w:w="10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4094480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S"/>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2020-01-27T12:57:16Z</dcterms:created>
  <dcterms:modified xsi:type="dcterms:W3CDTF">2020-01-27T12:57:16Z</dcterms:modified>
</cp:coreProperties>
</file>