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August 12,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60" w:type="dxa"/>
            <w:vAlign w:val="bottom"/>
          </w:tcPr>
          <w:p>
            <w:pPr>
              <w:spacing w:after="0"/>
              <w:rPr>
                <w:sz w:val="20"/>
                <w:szCs w:val="20"/>
                <w:color w:val="auto"/>
              </w:rPr>
            </w:pPr>
          </w:p>
        </w:tc>
        <w:tc>
          <w:tcPr>
            <w:tcW w:w="378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900"/>
              <w:spacing w:after="0"/>
              <w:rPr>
                <w:sz w:val="20"/>
                <w:szCs w:val="20"/>
                <w:color w:val="auto"/>
              </w:rPr>
            </w:pPr>
            <w:r>
              <w:rPr>
                <w:rFonts w:ascii="Times New Roman" w:cs="Times New Roman" w:eastAsia="Times New Roman" w:hAnsi="Times New Roman"/>
                <w:sz w:val="18"/>
                <w:szCs w:val="18"/>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600" w:type="dxa"/>
            <w:vAlign w:val="bottom"/>
            <w:gridSpan w:val="3"/>
          </w:tcPr>
          <w:p>
            <w:pPr>
              <w:spacing w:after="0"/>
              <w:rPr>
                <w:sz w:val="17"/>
                <w:szCs w:val="17"/>
                <w:color w:val="auto"/>
              </w:rPr>
            </w:pPr>
          </w:p>
        </w:tc>
        <w:tc>
          <w:tcPr>
            <w:tcW w:w="2880" w:type="dxa"/>
            <w:vAlign w:val="bottom"/>
            <w:gridSpan w:val="5"/>
          </w:tcPr>
          <w:p>
            <w:pPr>
              <w:jc w:val="right"/>
              <w:ind w:right="180"/>
              <w:spacing w:after="0" w:line="191"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00" w:type="dxa"/>
            <w:vAlign w:val="bottom"/>
            <w:gridSpan w:val="6"/>
          </w:tcPr>
          <w:p>
            <w:pPr>
              <w:jc w:val="center"/>
              <w:ind w:right="8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9350 Kirby Drive,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Houston, Texas 77054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12, 2024, Marker Therapeutics, Inc. (the “Company”) issued a press release announcing that the Company was awarded a $2 million grant from the National Institutes of Health (NIH) Small Business Innovation Research (SBIR) program to support the clinical investigation of MT-601 in patients with non-Hodgkin’s lymphoma (NHL) who have relapsed following anti-CD19 chimeric antigen receptor (CAR) T cell therapy.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6412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11"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August 12, 2024.</w:t>
      </w:r>
    </w:p>
    <w:p>
      <w:pPr>
        <w:spacing w:after="0" w:line="23"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2024</w:t>
            </w: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97355"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Marker Therapeutics Awarded $2 Million Grant from NIH in Support of Phase 1 Study Investigating MT-601 in CAR-Relapsed Patients with Non-Hodgkin’s Lymphoma</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Marker Therapeutics to receive non-dilutive funding from NIH Small Business Innovation Research Program based on preliminary clinical results and non-clinical data in lymphoma</w:t>
      </w:r>
    </w:p>
    <w:p>
      <w:pPr>
        <w:spacing w:after="0" w:line="3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Houston, TX – August 12,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Marker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MRKR), a clinical-stage immuno-oncology company focusing on developing next-generation T cell-based immunotherapies for the treatment of hematological malignancies and solid tumor indications, today announced that the Company has been awarded a $2 million grant from the National Institutes of Health (NIH) Small Business Innovation Research (SBIR) program to support the clinical investigation of MT-601 in patients with non-Hodgkin’s lymphoma (NHL) who have relapsed following anti-CD19 chimeric antigen receptor (CAR) T cell therapy.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SBIR grant has been awarded based in part on Marker’s preliminary clinical data in patients with lymphoma (</w:t>
      </w:r>
      <w:r>
        <w:rPr>
          <w:rFonts w:ascii="Times New Roman" w:cs="Times New Roman" w:eastAsia="Times New Roman" w:hAnsi="Times New Roman"/>
          <w:sz w:val="18"/>
          <w:szCs w:val="18"/>
          <w:u w:val="single" w:color="auto"/>
          <w:color w:val="auto"/>
        </w:rPr>
        <w:t>Press Release, September 11, 2023</w:t>
      </w:r>
      <w:r>
        <w:rPr>
          <w:rFonts w:ascii="Times New Roman" w:cs="Times New Roman" w:eastAsia="Times New Roman" w:hAnsi="Times New Roman"/>
          <w:sz w:val="18"/>
          <w:szCs w:val="18"/>
          <w:color w:val="auto"/>
        </w:rPr>
        <w:t>) as well as non-clinical data demonstrating the anti-tumor activity of MT-601 on anti-CD19 CAR resistant lymphoma cells (</w:t>
      </w:r>
      <w:r>
        <w:rPr>
          <w:rFonts w:ascii="Times New Roman" w:cs="Times New Roman" w:eastAsia="Times New Roman" w:hAnsi="Times New Roman"/>
          <w:sz w:val="18"/>
          <w:szCs w:val="18"/>
          <w:u w:val="single" w:color="auto"/>
          <w:color w:val="auto"/>
        </w:rPr>
        <w:t>Press Release, May 31, 2023</w:t>
      </w:r>
      <w:r>
        <w:rPr>
          <w:rFonts w:ascii="Times New Roman" w:cs="Times New Roman" w:eastAsia="Times New Roman" w:hAnsi="Times New Roman"/>
          <w:sz w:val="18"/>
          <w:szCs w:val="18"/>
          <w:color w:val="auto"/>
        </w:rPr>
        <w:t>). The proceeds of the grant will support the nationwide multi-center Phase 1 APOLLO study (ClinicalTrials.gov identifier: NCT05798897), evaluating the safety and efficacy of MT-601, a multi-tumor associated antigen (multiTAA)-specific T cell product, in patients with relapsed NHL including those previously treated with anti-CD19 CAR-T cell therapy. Including this SBIR grant, the Company has been awarded over $19 million in non-dilutive funding proceeds.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pleased to receive the SBIR grant from the NIH to support our clinical Phase 1 study in CAR-relapsed patients with non-Hodgkin’s lymphoma,” said Juan Vera, M.D., President and CEO of Marker Therapeutics. “Although anti-CD19 CAR-T cells are rapidly expanding as a treatment option in patients with hematological malignancies, approximately 40-60% of patients will relapse within the first year of therapy with currently no standard of care for patients post CD19-targeting CAR-T cells. The NIH award process is highly competitive, and we believe that the decision the NIH made suggests the potential scientific merit and the capacity of Marker’s APOLLO study to address an unmet medical need.”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Vera continued: “While our results of the APOLLO study are preliminary, as we move through the dose escalation part of the study, we are encouraged by the objective responses observed in all three study participants treated at City of Hope (</w:t>
      </w:r>
      <w:r>
        <w:rPr>
          <w:rFonts w:ascii="Times New Roman" w:cs="Times New Roman" w:eastAsia="Times New Roman" w:hAnsi="Times New Roman"/>
          <w:sz w:val="18"/>
          <w:szCs w:val="18"/>
          <w:u w:val="single" w:color="auto"/>
          <w:color w:val="auto"/>
        </w:rPr>
        <w:t>Press Release, April 8, 2024</w:t>
      </w:r>
      <w:r>
        <w:rPr>
          <w:rFonts w:ascii="Times New Roman" w:cs="Times New Roman" w:eastAsia="Times New Roman" w:hAnsi="Times New Roman"/>
          <w:sz w:val="18"/>
          <w:szCs w:val="18"/>
          <w:color w:val="auto"/>
        </w:rPr>
        <w:t>) and the lack of cytokine release syndrome (CRS) or immune effector cell associated neurotoxicity syndrome (ICANS) observed. We will continue to closely monitor all patients for long-term treatment effects and durability of response, and with the non-dilutive funding support from NIH we look forward to treating additional participants in this Phase 1 study.”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grant award is a testimony of our continued commitment to apply for non-dilutive funding and allows us to leverage our data to drive innovation and growth while maximizing shareholder value. Obtaining non-dilutive funding is an ongoing effort, and we are actively applying for additional opportunities as they become available,” concluded Dr.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97355"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the NIH SBIR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NIH Small Business Innovation Research (SBIR) Program sets aside more than $1.2 billion from its Research &amp; Development Funding to specifically support early-stage small businesses throughout the United States. Many companies leverage the NIH SBIR funding to attract the partners and investors needed to take an innovation to market. The Small Business program focuses on a variety of high-impact technologies including research tools, diagnostics, digital health, drugs, and medical devices, and can provide the seed funding needed to bring scientific innovations from bench to bedside.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MT-601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lead product, MT-601, is a multi-tumor associated antigen (multiTAA)-specific T cell product that utilizes a non-genetically modified approach that specifically targets six different tumor antigens upregulated in lymphoma cells (Survivin, PRAME, WT-1, NY-ESO-1, SSX-2, MAGE-A4). Marker is currently investigating MT-601 in the Company-sponsored Phase 1 APOLLO trial (clinicaltrials.gov identifier: NCT05798897) for the treatment of lymphoma patients who are relapsed after or where CD19 CAR-T cell therapy is not an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APOLLO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APOLLO trial (clinicaltrials.gov Identifier: NCT05798897) is a Phase 1, multicenter, open-label study designed to evaluate the safety and efficacy of MT-601 in participants with lymphoma who relapsed after anti-CD19 CAR-T cell therapy or where anti-CD19 CAR-T cell therapy is not an option. The primary objective of this exploratory Phase 1 clinical trial is to evaluate the safety and preliminary efficacy of MT-601 in participants with various lymphoma subtypes. Under the APOLLO trial, it is anticipated that nine clinical sites across the United States will cumulatively enroll up to approximately 30 participants during the dose escalation phase.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multiTAA-specific 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multi-tumor associated antigen (multiTAA)-specific T cell platform is a novel, non-genetically modified cell therapy approach that selectively expands tumor-specific T cells from a patient's/donor’s blood capable of recognizing a broad range of tumor antigens. Unlike other T cell therapies, multiTAA-specific T cells allow the recognition of hundreds of different epitopes within up to six tumor-specific antigens, thereby reducing the possibility of tumor escape. Since multiTAA-specific 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Clinical trials that enrolled more than 200 patients across various hematological and solid tumor indications showed that the Company’s autologous and allogeneic multiTAA-specific 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97355"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546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2024-08-12T06:16:07Z</dcterms:created>
  <dcterms:modified xsi:type="dcterms:W3CDTF">2024-08-12T06:16:07Z</dcterms:modified>
</cp:coreProperties>
</file>