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4761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47612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WILSON GLYNN</w:t>
              </w:r>
            </w:hyperlink>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8"/>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TAPIMMUNE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TPIV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1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80"/>
              <w:spacing w:after="0"/>
              <w:rPr>
                <w:sz w:val="20"/>
                <w:szCs w:val="20"/>
                <w:color w:val="auto"/>
              </w:rPr>
            </w:pPr>
            <w:r>
              <w:rPr>
                <w:rFonts w:ascii="Arial" w:cs="Arial" w:eastAsia="Arial" w:hAnsi="Arial"/>
                <w:sz w:val="13"/>
                <w:szCs w:val="13"/>
                <w:color w:val="auto"/>
              </w:rPr>
              <w:t>(First)</w:t>
            </w:r>
          </w:p>
        </w:tc>
        <w:tc>
          <w:tcPr>
            <w:tcW w:w="1040" w:type="dxa"/>
            <w:vAlign w:val="bottom"/>
          </w:tcPr>
          <w:p>
            <w:pPr>
              <w:ind w:left="12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6"/>
            <w:vMerge w:val="restart"/>
          </w:tcPr>
          <w:p>
            <w:pPr>
              <w:ind w:left="20"/>
              <w:spacing w:after="0"/>
              <w:rPr>
                <w:sz w:val="20"/>
                <w:szCs w:val="20"/>
                <w:color w:val="auto"/>
              </w:rPr>
            </w:pPr>
            <w:r>
              <w:rPr>
                <w:rFonts w:ascii="Arial" w:cs="Arial" w:eastAsia="Arial" w:hAnsi="Arial"/>
                <w:sz w:val="17"/>
                <w:szCs w:val="17"/>
                <w:color w:val="0000FF"/>
              </w:rPr>
              <w:t>50 NORTH LAURA STREET, SUITE 2500</w:t>
            </w:r>
          </w:p>
        </w:tc>
        <w:tc>
          <w:tcPr>
            <w:tcW w:w="1500" w:type="dxa"/>
            <w:vAlign w:val="bottom"/>
            <w:gridSpan w:val="6"/>
          </w:tcPr>
          <w:p>
            <w:pPr>
              <w:ind w:left="480"/>
              <w:spacing w:after="0"/>
              <w:rPr>
                <w:sz w:val="20"/>
                <w:szCs w:val="20"/>
                <w:color w:val="auto"/>
              </w:rPr>
            </w:pPr>
            <w:r>
              <w:rPr>
                <w:rFonts w:ascii="Arial" w:cs="Arial" w:eastAsia="Arial" w:hAnsi="Arial"/>
                <w:sz w:val="17"/>
                <w:szCs w:val="17"/>
                <w:color w:val="0000FF"/>
              </w:rPr>
              <w:t>11/12/2015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8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620" w:type="dxa"/>
            <w:vAlign w:val="bottom"/>
            <w:tcBorders>
              <w:bottom w:val="single" w:sz="8" w:color="808080"/>
            </w:tcBorders>
            <w:gridSpan w:val="5"/>
          </w:tcPr>
          <w:p>
            <w:pPr>
              <w:spacing w:after="0"/>
              <w:rPr>
                <w:sz w:val="22"/>
                <w:szCs w:val="22"/>
                <w:color w:val="auto"/>
              </w:rPr>
            </w:pPr>
          </w:p>
        </w:tc>
        <w:tc>
          <w:tcPr>
            <w:tcW w:w="1780" w:type="dxa"/>
            <w:vAlign w:val="bottom"/>
            <w:tcBorders>
              <w:bottom w:val="single" w:sz="8" w:color="808080"/>
            </w:tcBorders>
            <w:gridSpan w:val="3"/>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344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JACKSONVILLE FL</w:t>
            </w:r>
          </w:p>
        </w:tc>
        <w:tc>
          <w:tcPr>
            <w:tcW w:w="1040" w:type="dxa"/>
            <w:vAlign w:val="bottom"/>
          </w:tcPr>
          <w:p>
            <w:pPr>
              <w:ind w:left="140"/>
              <w:spacing w:after="0"/>
              <w:rPr>
                <w:sz w:val="20"/>
                <w:szCs w:val="20"/>
                <w:color w:val="auto"/>
              </w:rPr>
            </w:pPr>
            <w:r>
              <w:rPr>
                <w:rFonts w:ascii="Arial" w:cs="Arial" w:eastAsia="Arial" w:hAnsi="Arial"/>
                <w:sz w:val="17"/>
                <w:szCs w:val="17"/>
                <w:color w:val="0000FF"/>
              </w:rPr>
              <w:t>32202</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gridSpan w:val="7"/>
          </w:tcPr>
          <w:p>
            <w:pPr>
              <w:ind w:left="140"/>
              <w:spacing w:after="0" w:line="122"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tcPr>
          <w:p>
            <w:pPr>
              <w:ind w:left="680"/>
              <w:spacing w:after="0"/>
              <w:rPr>
                <w:sz w:val="20"/>
                <w:szCs w:val="20"/>
                <w:color w:val="auto"/>
              </w:rPr>
            </w:pPr>
            <w:r>
              <w:rPr>
                <w:rFonts w:ascii="Arial" w:cs="Arial" w:eastAsia="Arial" w:hAnsi="Arial"/>
                <w:sz w:val="13"/>
                <w:szCs w:val="13"/>
                <w:color w:val="auto"/>
              </w:rPr>
              <w:t>(State)</w:t>
            </w:r>
          </w:p>
        </w:tc>
        <w:tc>
          <w:tcPr>
            <w:tcW w:w="1040" w:type="dxa"/>
            <w:vAlign w:val="bottom"/>
          </w:tcPr>
          <w:p>
            <w:pPr>
              <w:ind w:left="1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5"/>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6"/>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6"/>
          </w:tcPr>
          <w:p>
            <w:pPr>
              <w:ind w:left="9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40" w:type="dxa"/>
            <w:vAlign w:val="bottom"/>
            <w:gridSpan w:val="6"/>
          </w:tcPr>
          <w:p>
            <w:pPr>
              <w:ind w:left="960"/>
              <w:spacing w:after="0" w:line="12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2840" w:type="dxa"/>
            <w:vAlign w:val="bottom"/>
            <w:gridSpan w:val="8"/>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6"/>
          </w:tcPr>
          <w:p>
            <w:pPr>
              <w:ind w:left="9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20" w:type="dxa"/>
            <w:vAlign w:val="bottom"/>
            <w:gridSpan w:val="3"/>
          </w:tcPr>
          <w:p>
            <w:pPr>
              <w:ind w:left="42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48"/>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5"/>
          </w:tcPr>
          <w:p>
            <w:pPr>
              <w:jc w:val="right"/>
              <w:ind w:right="120"/>
              <w:spacing w:after="0"/>
              <w:rPr>
                <w:sz w:val="20"/>
                <w:szCs w:val="20"/>
                <w:color w:val="auto"/>
              </w:rPr>
            </w:pPr>
            <w:r>
              <w:rPr>
                <w:rFonts w:ascii="Arial" w:cs="Arial" w:eastAsia="Arial" w:hAnsi="Arial"/>
                <w:sz w:val="17"/>
                <w:szCs w:val="17"/>
                <w:color w:val="0000FF"/>
                <w:w w:val="89"/>
              </w:rPr>
              <w:t>11/12/2015</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124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315,000</w:t>
            </w:r>
            <w:r>
              <w:rPr>
                <w:rFonts w:ascii="Arial" w:cs="Arial" w:eastAsia="Arial" w:hAnsi="Arial"/>
                <w:sz w:val="21"/>
                <w:szCs w:val="21"/>
                <w:color w:val="008000"/>
                <w:vertAlign w:val="superscript"/>
              </w:rPr>
              <w:t>(1)</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87"/>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0.605</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960,457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5"/>
          </w:tcPr>
          <w:p>
            <w:pPr>
              <w:jc w:val="right"/>
              <w:ind w:right="120"/>
              <w:spacing w:after="0"/>
              <w:rPr>
                <w:sz w:val="20"/>
                <w:szCs w:val="20"/>
                <w:color w:val="auto"/>
              </w:rPr>
            </w:pPr>
            <w:r>
              <w:rPr>
                <w:rFonts w:ascii="Arial" w:cs="Arial" w:eastAsia="Arial" w:hAnsi="Arial"/>
                <w:sz w:val="17"/>
                <w:szCs w:val="17"/>
                <w:color w:val="0000FF"/>
                <w:w w:val="89"/>
              </w:rPr>
              <w:t>11/12/2015</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F</w:t>
            </w:r>
          </w:p>
        </w:tc>
        <w:tc>
          <w:tcPr>
            <w:tcW w:w="1240" w:type="dxa"/>
            <w:vAlign w:val="bottom"/>
            <w:tcBorders>
              <w:bottom w:val="single" w:sz="8" w:color="2C2C2C"/>
            </w:tcBorders>
            <w:gridSpan w:val="2"/>
          </w:tcPr>
          <w:p>
            <w:pPr>
              <w:jc w:val="center"/>
              <w:ind w:right="261"/>
              <w:spacing w:after="0"/>
              <w:rPr>
                <w:sz w:val="20"/>
                <w:szCs w:val="20"/>
                <w:color w:val="auto"/>
              </w:rPr>
            </w:pPr>
            <w:r>
              <w:rPr>
                <w:rFonts w:ascii="Arial" w:cs="Arial" w:eastAsia="Arial" w:hAnsi="Arial"/>
                <w:sz w:val="17"/>
                <w:szCs w:val="17"/>
                <w:color w:val="0000FF"/>
              </w:rPr>
              <w:t>86,782</w:t>
            </w:r>
            <w:r>
              <w:rPr>
                <w:rFonts w:ascii="Arial" w:cs="Arial" w:eastAsia="Arial" w:hAnsi="Arial"/>
                <w:sz w:val="21"/>
                <w:szCs w:val="21"/>
                <w:color w:val="008000"/>
                <w:vertAlign w:val="superscript"/>
              </w:rPr>
              <w:t>(2)</w:t>
            </w:r>
          </w:p>
        </w:tc>
        <w:tc>
          <w:tcPr>
            <w:tcW w:w="1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87"/>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0.605</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873,675</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900" w:type="dxa"/>
            <w:vAlign w:val="bottom"/>
            <w:gridSpan w:val="17"/>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5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5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5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Derivative Security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Acquired (A)</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or Disposed of</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(Instr. 3, 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0.605</w:t>
            </w:r>
            <w:r>
              <w:rPr>
                <w:rFonts w:ascii="Arial" w:cs="Arial" w:eastAsia="Arial" w:hAnsi="Arial"/>
                <w:sz w:val="21"/>
                <w:szCs w:val="21"/>
                <w:color w:val="008000"/>
                <w:vertAlign w:val="superscript"/>
              </w:rPr>
              <w:t>(3)</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3"/>
                <w:szCs w:val="13"/>
                <w:color w:val="0000FF"/>
                <w:w w:val="94"/>
              </w:rPr>
              <w:t>11/12/2015</w:t>
            </w:r>
            <w:r>
              <w:rPr>
                <w:rFonts w:ascii="Arial" w:cs="Arial" w:eastAsia="Arial" w:hAnsi="Arial"/>
                <w:sz w:val="21"/>
                <w:szCs w:val="21"/>
                <w:color w:val="008000"/>
                <w:w w:val="94"/>
                <w:vertAlign w:val="superscript"/>
              </w:rPr>
              <w:t>(3)</w:t>
            </w:r>
          </w:p>
        </w:tc>
        <w:tc>
          <w:tcPr>
            <w:tcW w:w="70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w w:val="90"/>
              </w:rPr>
              <w:t>2,000,000</w:t>
            </w:r>
            <w:r>
              <w:rPr>
                <w:rFonts w:ascii="Arial" w:cs="Arial" w:eastAsia="Arial" w:hAnsi="Arial"/>
                <w:sz w:val="21"/>
                <w:szCs w:val="21"/>
                <w:color w:val="008000"/>
                <w:w w:val="90"/>
                <w:vertAlign w:val="superscript"/>
              </w:rPr>
              <w:t>(3)</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3"/>
          </w:tcPr>
          <w:p>
            <w:pPr>
              <w:ind w:left="60"/>
              <w:spacing w:after="0" w:line="137"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11"/>
                <w:szCs w:val="11"/>
                <w:color w:val="auto"/>
              </w:rPr>
            </w:pPr>
          </w:p>
        </w:tc>
        <w:tc>
          <w:tcPr>
            <w:tcW w:w="1060" w:type="dxa"/>
            <w:vAlign w:val="bottom"/>
            <w:gridSpan w:val="2"/>
          </w:tcPr>
          <w:p>
            <w:pPr>
              <w:jc w:val="right"/>
              <w:ind w:right="240"/>
              <w:spacing w:after="0" w:line="137" w:lineRule="exact"/>
              <w:rPr>
                <w:sz w:val="20"/>
                <w:szCs w:val="20"/>
                <w:color w:val="auto"/>
              </w:rPr>
            </w:pPr>
            <w:r>
              <w:rPr>
                <w:rFonts w:ascii="Arial" w:cs="Arial" w:eastAsia="Arial" w:hAnsi="Arial"/>
                <w:sz w:val="13"/>
                <w:szCs w:val="13"/>
                <w:color w:val="0000FF"/>
              </w:rPr>
              <w:t>11/12/2015</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160"/>
              <w:spacing w:after="0" w:line="137" w:lineRule="exact"/>
              <w:rPr>
                <w:sz w:val="20"/>
                <w:szCs w:val="20"/>
                <w:color w:val="auto"/>
              </w:rPr>
            </w:pPr>
            <w:r>
              <w:rPr>
                <w:rFonts w:ascii="Arial" w:cs="Arial" w:eastAsia="Arial" w:hAnsi="Arial"/>
                <w:sz w:val="13"/>
                <w:szCs w:val="13"/>
                <w:color w:val="0000FF"/>
              </w:rPr>
              <w:t>A</w:t>
            </w:r>
          </w:p>
        </w:tc>
        <w:tc>
          <w:tcPr>
            <w:tcW w:w="600" w:type="dxa"/>
            <w:vAlign w:val="bottom"/>
          </w:tcPr>
          <w:p>
            <w:pPr>
              <w:ind w:left="20"/>
              <w:spacing w:after="0" w:line="137" w:lineRule="exact"/>
              <w:rPr>
                <w:sz w:val="20"/>
                <w:szCs w:val="20"/>
                <w:color w:val="auto"/>
              </w:rPr>
            </w:pPr>
            <w:r>
              <w:rPr>
                <w:rFonts w:ascii="Arial" w:cs="Arial" w:eastAsia="Arial" w:hAnsi="Arial"/>
                <w:sz w:val="13"/>
                <w:szCs w:val="13"/>
                <w:color w:val="0000FF"/>
                <w:w w:val="96"/>
              </w:rPr>
              <w:t>2,000,000</w:t>
            </w:r>
          </w:p>
        </w:tc>
        <w:tc>
          <w:tcPr>
            <w:tcW w:w="2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00" w:type="dxa"/>
            <w:vAlign w:val="bottom"/>
          </w:tcPr>
          <w:p>
            <w:pPr>
              <w:ind w:left="40"/>
              <w:spacing w:after="0" w:line="137" w:lineRule="exact"/>
              <w:rPr>
                <w:sz w:val="20"/>
                <w:szCs w:val="20"/>
                <w:color w:val="auto"/>
              </w:rPr>
            </w:pPr>
            <w:r>
              <w:rPr>
                <w:rFonts w:ascii="Arial" w:cs="Arial" w:eastAsia="Arial" w:hAnsi="Arial"/>
                <w:sz w:val="13"/>
                <w:szCs w:val="13"/>
                <w:color w:val="0000FF"/>
                <w:w w:val="98"/>
              </w:rPr>
              <w:t>11/12/2025</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680" w:type="dxa"/>
            <w:vAlign w:val="bottom"/>
          </w:tcPr>
          <w:p>
            <w:pPr>
              <w:ind w:left="200"/>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20" w:type="dxa"/>
            <w:vAlign w:val="bottom"/>
            <w:gridSpan w:val="2"/>
          </w:tcPr>
          <w:p>
            <w:pPr>
              <w:ind w:left="220"/>
              <w:spacing w:after="0" w:line="137" w:lineRule="exact"/>
              <w:rPr>
                <w:sz w:val="20"/>
                <w:szCs w:val="20"/>
                <w:color w:val="auto"/>
              </w:rPr>
            </w:pPr>
            <w:r>
              <w:rPr>
                <w:rFonts w:ascii="Arial" w:cs="Arial" w:eastAsia="Arial" w:hAnsi="Arial"/>
                <w:sz w:val="13"/>
                <w:szCs w:val="13"/>
                <w:color w:val="0000FF"/>
              </w:rPr>
              <w:t>2,038,000</w:t>
            </w:r>
          </w:p>
        </w:tc>
        <w:tc>
          <w:tcPr>
            <w:tcW w:w="640" w:type="dxa"/>
            <w:vAlign w:val="bottom"/>
          </w:tcPr>
          <w:p>
            <w:pPr>
              <w:ind w:left="340"/>
              <w:spacing w:after="0" w:line="13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shares of fully vested restricted stock issued under the Company's 2014 Omnibus Stock Ownership Plan to Dr. Wilson in connection with his employment and the execution of his employment agreement.</w:t>
      </w:r>
    </w:p>
    <w:p>
      <w:pPr>
        <w:spacing w:after="0" w:line="65" w:lineRule="exact"/>
        <w:rPr>
          <w:rFonts w:ascii="Arial" w:cs="Arial" w:eastAsia="Arial" w:hAnsi="Arial"/>
          <w:sz w:val="11"/>
          <w:szCs w:val="11"/>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to satisfy tax withholding obligations in connection with the issuance of the restricted stock award.</w:t>
      </w:r>
    </w:p>
    <w:p>
      <w:pPr>
        <w:spacing w:after="0" w:line="42" w:lineRule="exact"/>
        <w:rPr>
          <w:rFonts w:ascii="Arial" w:cs="Arial" w:eastAsia="Arial" w:hAnsi="Arial"/>
          <w:sz w:val="13"/>
          <w:szCs w:val="13"/>
          <w:color w:val="008000"/>
        </w:rPr>
      </w:pPr>
    </w:p>
    <w:p>
      <w:pPr>
        <w:ind w:left="40" w:right="18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options awarded under the Company's 2014 Omnibus Stock Ownership Plan in connection with the execution of Dr. Wilson's employment agreement with the Company. One million of such shares vest immediately, the remaining 1,000,000 shares vest in 23 equal monthly installments of 41,666 shares each on the last day of each of the 23 months following the grant date, and the remaining 41,682 options vest on the last day of the 24th month. The option exercise price is the closing price on the date of the grant, On November 12,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2" w:lineRule="auto"/>
        <w:rPr>
          <w:sz w:val="20"/>
          <w:szCs w:val="20"/>
          <w:color w:val="auto"/>
        </w:rPr>
      </w:pPr>
      <w:r>
        <w:rPr>
          <w:rFonts w:ascii="Arial" w:cs="Arial" w:eastAsia="Arial" w:hAnsi="Arial"/>
          <w:sz w:val="17"/>
          <w:szCs w:val="17"/>
          <w:color w:val="0000FF"/>
        </w:rPr>
        <w:t xml:space="preserve">/s/ Mark A. Catchur, as Attorney- </w:t>
      </w:r>
      <w:r>
        <w:rPr>
          <w:rFonts w:ascii="Arial" w:cs="Arial" w:eastAsia="Arial" w:hAnsi="Arial"/>
          <w:sz w:val="33"/>
          <w:szCs w:val="33"/>
          <w:color w:val="0000FF"/>
          <w:vertAlign w:val="subscript"/>
        </w:rPr>
        <w:t>11/16/2015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-26670</wp:posOffset>
            </wp:positionV>
            <wp:extent cx="141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-21590</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-86360</wp:posOffset>
            </wp:positionV>
            <wp:extent cx="476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410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625"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2020-01-22T11:03:28Z</dcterms:created>
  <dcterms:modified xsi:type="dcterms:W3CDTF">2020-01-22T11:03:28Z</dcterms:modified>
</cp:coreProperties>
</file>