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September 22, 2017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333-220538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Pre-Effective 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9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TAPIMMUNE INC.</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1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00" w:type="dxa"/>
            <w:vAlign w:val="bottom"/>
            <w:gridSpan w:val="5"/>
          </w:tcPr>
          <w:p>
            <w:pPr>
              <w:jc w:val="center"/>
              <w:ind w:left="1150"/>
              <w:spacing w:after="0"/>
              <w:rPr>
                <w:sz w:val="20"/>
                <w:szCs w:val="20"/>
                <w:color w:val="auto"/>
              </w:rPr>
            </w:pPr>
            <w:r>
              <w:rPr>
                <w:rFonts w:ascii="Arial" w:cs="Arial" w:eastAsia="Arial" w:hAnsi="Arial"/>
                <w:sz w:val="18"/>
                <w:szCs w:val="18"/>
                <w:color w:val="auto"/>
                <w:w w:val="90"/>
              </w:rPr>
              <w:t>(Name of Issuer as Specified in Its Charter)</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92"/>
        </w:trPr>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3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1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00" w:type="dxa"/>
            <w:vAlign w:val="bottom"/>
            <w:gridSpan w:val="5"/>
          </w:tcPr>
          <w:p>
            <w:pPr>
              <w:jc w:val="center"/>
              <w:ind w:left="1130"/>
              <w:spacing w:after="0"/>
              <w:rPr>
                <w:sz w:val="20"/>
                <w:szCs w:val="20"/>
                <w:color w:val="auto"/>
              </w:rPr>
            </w:pPr>
            <w:r>
              <w:rPr>
                <w:rFonts w:ascii="Arial" w:cs="Arial" w:eastAsia="Arial" w:hAnsi="Arial"/>
                <w:sz w:val="18"/>
                <w:szCs w:val="18"/>
                <w:color w:val="auto"/>
                <w:w w:val="92"/>
              </w:rPr>
              <w:t>(State or other jurisdiction of incorporation)</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92"/>
        </w:trPr>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2834</w:t>
            </w: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6980" w:type="dxa"/>
            <w:vAlign w:val="bottom"/>
            <w:gridSpan w:val="7"/>
          </w:tcPr>
          <w:p>
            <w:pPr>
              <w:jc w:val="center"/>
              <w:ind w:right="2780"/>
              <w:spacing w:after="0"/>
              <w:rPr>
                <w:sz w:val="20"/>
                <w:szCs w:val="20"/>
                <w:color w:val="auto"/>
              </w:rPr>
            </w:pPr>
            <w:r>
              <w:rPr>
                <w:rFonts w:ascii="Arial" w:cs="Arial" w:eastAsia="Arial" w:hAnsi="Arial"/>
                <w:sz w:val="18"/>
                <w:szCs w:val="18"/>
                <w:color w:val="auto"/>
                <w:w w:val="91"/>
              </w:rPr>
              <w:t>(Primary Standard Industrial Classification Code Number)</w:t>
            </w:r>
          </w:p>
        </w:tc>
        <w:tc>
          <w:tcPr>
            <w:tcW w:w="264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5 West Forsyth Street, Suite 200</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904-516-5436</w:t>
      </w:r>
    </w:p>
    <w:p>
      <w:pPr>
        <w:spacing w:after="0" w:line="9"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Sierra Corporate Services</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100 West Liberty Street, 10th Floor</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(775) 788-2000</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A. Catchur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813-229-1660</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 the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shall determine.</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679" w:right="239" w:bottom="12" w:gutter="0" w:footer="0" w:header="0"/>
        </w:sectPr>
      </w:pP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2">
            <w:col w:w="6360" w:space="720"/>
            <w:col w:w="4340"/>
          </w:cols>
          <w:pgMar w:left="240" w:top="679" w:right="239" w:bottom="12"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TapImmune Inc. is hereby filing this Pre-Effective Amendment No. 1 to Registration Statement on Form S-3 (Registration No. 333-220538), originally filed on September 20, 2017 (the “Registration Statement”). This Pre Effective Amendment No. 1 is being filed solely to revise footnote 6 and to add footnote 15 to the Selling Stockholders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 w:name="page4"/>
    <w:bookmarkEnd w:id="3"/>
    <w:p>
      <w:pPr>
        <w:spacing w:after="0" w:line="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C00000"/>
        </w:rPr>
        <w:t>Subject to Completion—Dated September 22,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154940</wp:posOffset>
            </wp:positionV>
            <wp:extent cx="1886585" cy="1003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10,866,425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registering for resale 4,408,014 shares of our common stock which are currently held by the selling stockholders named herein.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registering 6,458,411 shares of our common stock issuable upon the exercise of the following warrants held by the selling shareholders named herein:</w:t>
      </w:r>
    </w:p>
    <w:p>
      <w:pPr>
        <w:spacing w:after="0" w:line="248" w:lineRule="exact"/>
        <w:rPr>
          <w:sz w:val="20"/>
          <w:szCs w:val="20"/>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157,233</w:t>
      </w:r>
      <w:r>
        <w:rPr>
          <w:rFonts w:ascii="Arial" w:cs="Arial" w:eastAsia="Arial" w:hAnsi="Arial"/>
          <w:sz w:val="16"/>
          <w:szCs w:val="16"/>
          <w:color w:val="auto"/>
        </w:rPr>
        <w:t>shares of common stock issuable upon exercise of warrants issued on August 13, 2014,</w:t>
      </w:r>
    </w:p>
    <w:p>
      <w:pPr>
        <w:spacing w:after="0" w:line="23"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208,333</w:t>
      </w:r>
      <w:r>
        <w:rPr>
          <w:rFonts w:ascii="Arial" w:cs="Arial" w:eastAsia="Arial" w:hAnsi="Arial"/>
          <w:sz w:val="16"/>
          <w:szCs w:val="16"/>
          <w:color w:val="auto"/>
        </w:rPr>
        <w:t>shares of common stock issuable upon exercise of Series A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A-1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418,333</w:t>
      </w:r>
      <w:r>
        <w:rPr>
          <w:rFonts w:ascii="Arial" w:cs="Arial" w:eastAsia="Arial" w:hAnsi="Arial"/>
          <w:sz w:val="16"/>
          <w:szCs w:val="16"/>
          <w:color w:val="auto"/>
        </w:rPr>
        <w:t>shares of common stock issuable upon exercise of Series C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610,000</w:t>
      </w:r>
      <w:r>
        <w:rPr>
          <w:rFonts w:ascii="Arial" w:cs="Arial" w:eastAsia="Arial" w:hAnsi="Arial"/>
          <w:sz w:val="16"/>
          <w:szCs w:val="16"/>
          <w:color w:val="auto"/>
        </w:rPr>
        <w:t>shares of common stock issuable upon exercise of Series D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D-1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442,074</w:t>
      </w:r>
      <w:r>
        <w:rPr>
          <w:rFonts w:ascii="Arial" w:cs="Arial" w:eastAsia="Arial" w:hAnsi="Arial"/>
          <w:sz w:val="16"/>
          <w:szCs w:val="16"/>
          <w:color w:val="auto"/>
        </w:rPr>
        <w:t>shares of common stock issuable upon exercise of Series E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E-1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583,333</w:t>
      </w:r>
      <w:r>
        <w:rPr>
          <w:rFonts w:ascii="Arial" w:cs="Arial" w:eastAsia="Arial" w:hAnsi="Arial"/>
          <w:sz w:val="16"/>
          <w:szCs w:val="16"/>
          <w:color w:val="auto"/>
        </w:rPr>
        <w:t>shares of common stock issuable upon exercise of Series F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F-1 Warrants,</w:t>
      </w:r>
    </w:p>
    <w:p>
      <w:pPr>
        <w:spacing w:after="0" w:line="9" w:lineRule="exact"/>
        <w:rPr>
          <w:rFonts w:ascii="Arial" w:cs="Arial" w:eastAsia="Arial" w:hAnsi="Arial"/>
          <w:sz w:val="18"/>
          <w:szCs w:val="18"/>
          <w:color w:val="auto"/>
        </w:rPr>
      </w:pPr>
    </w:p>
    <w:p>
      <w:pPr>
        <w:ind w:left="2380" w:hanging="1818"/>
        <w:spacing w:after="0" w:line="250"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653,187shares of common stock issuable upon exercise of five-year warrants to purchase one share of our common stock for $6.00 (the “2016 PIPE Warrants”), and</w:t>
      </w:r>
    </w:p>
    <w:p>
      <w:pPr>
        <w:ind w:left="2380" w:hanging="1818"/>
        <w:spacing w:after="0" w:line="250"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65,327shares of common stock issuable upon exercise of five-year warrants to purchase one share of our common stock for $4.80 (the “2016 Broker PIPE Warrants”),</w:t>
      </w:r>
    </w:p>
    <w:p>
      <w:pPr>
        <w:ind w:left="2380" w:hanging="1818"/>
        <w:spacing w:after="0" w:line="250"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1,503,567shares of common stock issuable upon exercise of five-year warrants to purchase one share of our common stock for $3.97 (the “2017 PIPE Warrants”),</w:t>
      </w:r>
    </w:p>
    <w:p>
      <w:pPr>
        <w:ind w:left="2380" w:right="140" w:hanging="1818"/>
        <w:spacing w:after="0" w:line="261"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150,356shares of common stock issuable upon exercise of five-year warrants to purchase one share of our common stock for $3.97 (the “ 2017 Broker PIPE Warrants”),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exercise prices of our outstanding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 Per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Share, Subject to</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3700" w:type="dxa"/>
            <w:vAlign w:val="bottom"/>
            <w:gridSpan w:val="2"/>
          </w:tcPr>
          <w:p>
            <w:pPr>
              <w:ind w:left="1240"/>
              <w:spacing w:after="0"/>
              <w:rPr>
                <w:sz w:val="20"/>
                <w:szCs w:val="20"/>
                <w:color w:val="auto"/>
              </w:rPr>
            </w:pPr>
            <w:r>
              <w:rPr>
                <w:rFonts w:ascii="Arial" w:cs="Arial" w:eastAsia="Arial" w:hAnsi="Arial"/>
                <w:sz w:val="18"/>
                <w:szCs w:val="18"/>
                <w:b w:val="1"/>
                <w:bCs w:val="1"/>
                <w:color w:val="auto"/>
              </w:rPr>
              <w:t>Warrant Type</w:t>
            </w: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Adjustments</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August 2014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208,333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A-1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104,583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313,750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297,500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312,500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D-1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255,519</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186,555</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E-1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F</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290,833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F*</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292,500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F-1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 Broker PIPE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65,327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2016 PIPE*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653,187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 Broker PIPE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150,356</w:t>
            </w: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2017 PIPE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420" w:type="dxa"/>
            <w:vAlign w:val="bottom"/>
          </w:tcPr>
          <w:p>
            <w:pPr>
              <w:jc w:val="right"/>
              <w:spacing w:after="0"/>
              <w:rPr>
                <w:sz w:val="20"/>
                <w:szCs w:val="20"/>
                <w:color w:val="auto"/>
              </w:rPr>
            </w:pPr>
            <w:r>
              <w:rPr>
                <w:rFonts w:ascii="Arial" w:cs="Arial" w:eastAsia="Arial" w:hAnsi="Arial"/>
                <w:sz w:val="18"/>
                <w:szCs w:val="18"/>
                <w:color w:val="auto"/>
              </w:rPr>
              <w:t>1,503,567</w:t>
            </w:r>
          </w:p>
        </w:tc>
        <w:tc>
          <w:tcPr>
            <w:tcW w:w="80" w:type="dxa"/>
            <w:vAlign w:val="bottom"/>
          </w:tcPr>
          <w:p>
            <w:pPr>
              <w:spacing w:after="0"/>
              <w:rPr>
                <w:sz w:val="20"/>
                <w:szCs w:val="20"/>
                <w:color w:val="auto"/>
              </w:rPr>
            </w:pPr>
          </w:p>
        </w:tc>
      </w:tr>
    </w:tbl>
    <w:p>
      <w:pPr>
        <w:spacing w:after="0" w:line="183" w:lineRule="exact"/>
        <w:rPr>
          <w:sz w:val="20"/>
          <w:szCs w:val="20"/>
          <w:color w:val="auto"/>
        </w:rPr>
      </w:pPr>
    </w:p>
    <w:p>
      <w:pPr>
        <w:jc w:val="both"/>
        <w:ind w:firstLine="8"/>
        <w:spacing w:after="0" w:line="302" w:lineRule="auto"/>
        <w:tabs>
          <w:tab w:leader="none" w:pos="141"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June 23, 2017, certain existing institutional shareholders of TapImmune who hold various outstanding warrants to purchase our common stock, entered into warrant exercise agreements, in which we agreed to reduce the exercise price for 75% of the investors’ existing Series C, Series D, Series E and Series F Warrants. In connection with the private placement of common stock in June 2017, the Company reduced the exercise price for the warrants to purchase an aggregate of 653,187 shares of common stock issued to investors in the private placement that closed in August 2016 from $6.00 per share to $3.97 per share.</w:t>
      </w:r>
    </w:p>
    <w:p>
      <w:pPr>
        <w:sectPr>
          <w:pgSz w:w="11900" w:h="16864" w:orient="portrait"/>
          <w:cols w:equalWidth="0" w:num="1">
            <w:col w:w="11420"/>
          </w:cols>
          <w:pgMar w:left="240" w:top="908" w:right="239" w:bottom="0" w:gutter="0" w:footer="0" w:header="0"/>
        </w:sectPr>
      </w:pPr>
    </w:p>
    <w:bookmarkStart w:id="4" w:name="page5"/>
    <w:bookmarkEnd w:id="4"/>
    <w:p>
      <w:pPr>
        <w:jc w:val="both"/>
        <w:spacing w:after="0" w:line="302" w:lineRule="auto"/>
        <w:tabs>
          <w:tab w:leader="none" w:pos="14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7. We are not selling any securities under this prospectus and we will not receive proceeds from the sale of the shares by the selling stockholders, except pursuant to the exercise of the Warrants.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“TPIV.” On September 18, 2017, the last reported sale price of our common stock on the Nasdaq Capital Market was $3.07 per share, and we had 10,271,696 shares of common stock outstanding.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2.</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3760"/>
              <w:spacing w:after="0"/>
              <w:rPr>
                <w:sz w:val="20"/>
                <w:szCs w:val="20"/>
                <w:color w:val="auto"/>
              </w:rPr>
            </w:pPr>
            <w:r>
              <w:rPr>
                <w:rFonts w:ascii="Arial" w:cs="Arial" w:eastAsia="Arial" w:hAnsi="Arial"/>
                <w:sz w:val="18"/>
                <w:szCs w:val="18"/>
                <w:b w:val="1"/>
                <w:bCs w:val="1"/>
                <w:color w:val="auto"/>
                <w:w w:val="88"/>
              </w:rPr>
              <w:t>The date of this prospectus is</w:t>
            </w:r>
          </w:p>
        </w:tc>
        <w:tc>
          <w:tcPr>
            <w:tcW w:w="5380" w:type="dxa"/>
            <w:vAlign w:val="bottom"/>
            <w:gridSpan w:val="2"/>
          </w:tcPr>
          <w:p>
            <w:pPr>
              <w:jc w:val="right"/>
              <w:ind w:right="3760"/>
              <w:spacing w:after="0"/>
              <w:rPr>
                <w:sz w:val="20"/>
                <w:szCs w:val="20"/>
                <w:color w:val="auto"/>
              </w:rPr>
            </w:pPr>
            <w:r>
              <w:rPr>
                <w:rFonts w:ascii="Arial" w:cs="Arial" w:eastAsia="Arial" w:hAnsi="Arial"/>
                <w:sz w:val="18"/>
                <w:szCs w:val="18"/>
                <w:b w:val="1"/>
                <w:bCs w:val="1"/>
                <w:color w:val="auto"/>
              </w:rPr>
              <w:t>, 2017.</w:t>
            </w:r>
          </w:p>
        </w:tc>
      </w:tr>
      <w:tr>
        <w:trPr>
          <w:trHeight w:val="696"/>
        </w:trPr>
        <w:tc>
          <w:tcPr>
            <w:tcW w:w="604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0" w:type="dxa"/>
            <w:vAlign w:val="bottom"/>
            <w:gridSpan w:val="2"/>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80" w:type="dxa"/>
            <w:vAlign w:val="bottom"/>
            <w:gridSpan w:val="5"/>
          </w:tcPr>
          <w:p>
            <w:pPr>
              <w:ind w:lef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40" w:type="dxa"/>
            <w:vAlign w:val="bottom"/>
            <w:tcBorders>
              <w:top w:val="single" w:sz="8" w:color="CCEEFF"/>
            </w:tcBorders>
            <w:gridSpan w:val="15"/>
            <w:shd w:val="clear" w:color="auto" w:fill="CCEEFF"/>
          </w:tcPr>
          <w:p>
            <w:pPr>
              <w:spacing w:after="0" w:line="136" w:lineRule="exact"/>
              <w:rPr>
                <w:rFonts w:ascii="Arial" w:cs="Arial" w:eastAsia="Arial" w:hAnsi="Arial"/>
                <w:sz w:val="15"/>
                <w:szCs w:val="15"/>
                <w:color w:val="0000EE"/>
              </w:rPr>
            </w:pPr>
            <w:hyperlink w:anchor="page8">
              <w:r>
                <w:rPr>
                  <w:rFonts w:ascii="Arial" w:cs="Arial" w:eastAsia="Arial" w:hAnsi="Arial"/>
                  <w:sz w:val="15"/>
                  <w:szCs w:val="15"/>
                  <w:color w:val="0000EE"/>
                </w:rPr>
                <w:t>About This Prospectus</w:t>
              </w:r>
            </w:hyperlink>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42" w:lineRule="exact"/>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47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Forward-Looking Statements</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jc w:val="right"/>
              <w:spacing w:after="0" w:line="17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Prospectus Summary</w:t>
              </w:r>
            </w:hyperlink>
          </w:p>
        </w:tc>
        <w:tc>
          <w:tcPr>
            <w:tcW w:w="9320" w:type="dxa"/>
            <w:vAlign w:val="bottom"/>
            <w:gridSpan w:val="8"/>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9320" w:type="dxa"/>
            <w:vAlign w:val="bottom"/>
            <w:gridSpan w:val="8"/>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4"/>
            <w:shd w:val="clear" w:color="auto" w:fill="CCEEFF"/>
          </w:tcPr>
          <w:p>
            <w:pPr>
              <w:spacing w:after="0" w:line="17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Use of Proceeds</w:t>
              </w:r>
            </w:hyperlink>
          </w:p>
        </w:tc>
        <w:tc>
          <w:tcPr>
            <w:tcW w:w="9680" w:type="dxa"/>
            <w:vAlign w:val="bottom"/>
            <w:gridSpan w:val="11"/>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Determination of Offering Price</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Selling Stockholders</w:t>
              </w:r>
            </w:hyperlink>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6"/>
          </w:tcPr>
          <w:p>
            <w:pPr>
              <w:spacing w:after="0" w:line="17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Plan of Distribution</w:t>
              </w:r>
            </w:hyperlink>
          </w:p>
        </w:tc>
        <w:tc>
          <w:tcPr>
            <w:tcW w:w="9360" w:type="dxa"/>
            <w:vAlign w:val="bottom"/>
            <w:gridSpan w:val="9"/>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9"/>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Description of Securities</w:t>
              </w:r>
            </w:hyperlink>
          </w:p>
        </w:tc>
        <w:tc>
          <w:tcPr>
            <w:tcW w:w="9060" w:type="dxa"/>
            <w:vAlign w:val="bottom"/>
            <w:gridSpan w:val="6"/>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9060" w:type="dxa"/>
            <w:vAlign w:val="bottom"/>
            <w:gridSpan w:val="6"/>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Legal Matters</w:t>
              </w:r>
            </w:hyperlink>
          </w:p>
        </w:tc>
        <w:tc>
          <w:tcPr>
            <w:tcW w:w="9840" w:type="dxa"/>
            <w:vAlign w:val="bottom"/>
            <w:tcBorders>
              <w:bottom w:val="single" w:sz="8" w:color="CCEEFF"/>
            </w:tcBorders>
            <w:gridSpan w:val="12"/>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Disclosure of Commission Position of Indemnification For Securities Act Liabilities</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14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Where You Can Find More Information</w:t>
              </w:r>
            </w:hyperlink>
          </w:p>
        </w:tc>
        <w:tc>
          <w:tcPr>
            <w:tcW w:w="798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Information by Reference</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15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we have provided or incorporated by reference into this prospectus, any applicable prospectus supplement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common stock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Stockholders are offering the common stock only in jurisdictions where such issuances are permitted. The distribution of this prospectus and the issuance of the common stock in certain jurisdictions may be restricted by law. Persons outside the United States who come into possession of this prospectus must inform themselves about, and observe any restrictions relating to, the issuance of the common stock and the distribution of this prospectus outside the United States. This prospectus does not constitute, and may not be used in connection with, an offer to sell, or a solicitation of an offer to buy, the common stock offered by this prospectus by any person in any jurisdiction in which it is unlawful for such person to make such an offer or solicitation.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under which the Selling Stockholders may offer from time to time up to an aggregate of 10,866,425 shares of our common stock in one or more offerings. If required, each time a Selling Stockholder offers common stock, in addition to this prospectus, we will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applicable prospectus supplements,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together with the additional information described below under “Where You Can Find More Information” and “Incorporation of Certain Information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Regarding Reverse Stock Splits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100. On September 15, 2016, we filed another Certificate of Change pursuant to NRS 78.209 with the Secretary of State of the State of Nevada to effect a reverse split of our common stock at a ratio of one for 12. All historical share and per share amounts reflected in this prospectus have been adjusted to reflect the reverse stock splits.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1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400" w:hanging="324"/>
        <w:spacing w:after="0"/>
        <w:tabs>
          <w:tab w:leader="none" w:pos="4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and clinical trial liability and other insurance coverage;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 documents incorporated herein by reference. This summary is not complete and does not contain all of the information that you should consider before making your investment decision. You should carefully read the entire prospectus, including the information set forth in the section entitled “Risk Factors” and the information that is incorporated by reference into this prospectus. See the sections entitled “Where You Can Find More Information” and “Incorporation of Certain Information by Reference” for a further discussion on incorporation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or “we”),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principal executive offices are located at 5 West Forsyth Street, Suite 200 Jacksonville, FL 32202 and our telephone number is 904-516-5436.</w:t>
      </w:r>
    </w:p>
    <w:p>
      <w:pPr>
        <w:sectPr>
          <w:pgSz w:w="11900" w:h="16838" w:orient="portrait"/>
          <w:cols w:equalWidth="0" w:num="1">
            <w:col w:w="11420"/>
          </w:cols>
          <w:pgMar w:left="240" w:top="904"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10,271,696 shares as of September 18, 2017</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10,866,425 shares</w:t>
      </w:r>
    </w:p>
    <w:p>
      <w:pPr>
        <w:spacing w:after="0" w:line="200" w:lineRule="exact"/>
        <w:rPr>
          <w:sz w:val="20"/>
          <w:szCs w:val="20"/>
          <w:color w:val="auto"/>
        </w:rPr>
      </w:pPr>
    </w:p>
    <w:p>
      <w:pPr>
        <w:sectPr>
          <w:pgSz w:w="11900" w:h="16838" w:orient="portrait"/>
          <w:cols w:equalWidth="0" w:num="2">
            <w:col w:w="3600" w:space="400"/>
            <w:col w:w="7420"/>
          </w:cols>
          <w:pgMar w:left="240" w:top="904"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16,730,107 shares (1)</w:t>
      </w:r>
    </w:p>
    <w:p>
      <w:pPr>
        <w:spacing w:after="0" w:line="207" w:lineRule="exact"/>
        <w:rPr>
          <w:sz w:val="20"/>
          <w:szCs w:val="20"/>
          <w:color w:val="auto"/>
        </w:rPr>
      </w:pPr>
    </w:p>
    <w:p>
      <w:pPr>
        <w:sectPr>
          <w:pgSz w:w="11900" w:h="16838" w:orient="portrait"/>
          <w:cols w:equalWidth="0" w:num="2">
            <w:col w:w="3540" w:space="460"/>
            <w:col w:w="742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will not receive any proceeds from the sale of the common stock by the selling stockholders. We may receive proceeds, rounded to the nearest thousand dollars, if the following warrants are exercised:</w:t>
      </w:r>
    </w:p>
    <w:p>
      <w:pPr>
        <w:spacing w:after="0" w:line="124"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ind w:left="4000"/>
        <w:spacing w:after="0"/>
        <w:rPr>
          <w:sz w:val="20"/>
          <w:szCs w:val="20"/>
          <w:color w:val="auto"/>
        </w:rPr>
      </w:pPr>
      <w:r>
        <w:rPr>
          <w:rFonts w:ascii="Arial" w:cs="Arial" w:eastAsia="Arial" w:hAnsi="Arial"/>
          <w:sz w:val="18"/>
          <w:szCs w:val="18"/>
          <w:color w:val="auto"/>
        </w:rPr>
        <w:t>$2,208,000 if the outstanding warrants issued in August 2014 are exercised,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$1,882,000 if the outstanding Series C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$3,928,000 if the outstanding Series D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$3,750,000 if the outstanding Series D-1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$4,672,000 if the outstanding Series 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$6,250,000 if the outstanding Series E-1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$3,264,000 if the outstanding Series F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$3,000,000 if the outstanding Series F-1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$2,593,000 if the outstanding 2016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$314,000 if the outstanding 2016 Broker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$5,969,000 if the outstanding 2017 PIPE Warrants are exercised,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$597,000 if the outstanding 2017 Broker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(to the extent the registration statement of which this prospectus is a part is then effective and, if</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applicable, the “cashless exercise” provision is not utilized by the holder). Any proceeds will be used</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for general corporate and working capital or for other purposes that the Board of Directors, in their</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good faith, deems to be in the best interest of the Company. No assurances can be given that any of</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such warrants will be exercised. See “Use of Proceeds.”</w:t>
      </w:r>
    </w:p>
    <w:p>
      <w:pPr>
        <w:sectPr>
          <w:pgSz w:w="11900" w:h="16838" w:orient="portrait"/>
          <w:cols w:equalWidth="0" w:num="1">
            <w:col w:w="11420"/>
          </w:cols>
          <w:pgMar w:left="240" w:top="904" w:right="2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of common stock: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symbol “TPIV.”</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 currently intend to retain any future earnings to fund the development and growth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we do not currently anticipate paying cash dividends on our common stock.</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66"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ind w:right="60" w:firstLine="8"/>
        <w:spacing w:after="0" w:line="259" w:lineRule="auto"/>
        <w:tabs>
          <w:tab w:leader="none" w:pos="6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of the outstanding Series A Warrants, Series A-1 Warrants, Series C Warrants, Series D Warrants, Series D-1 Warrants, Series E Warrants, Series E-1 Warrants, Series F Warrants, Series F-1 Warrants, 2016 PIPE Warrants, 2016 Broker PIPE Warrants, 2017 PIPE Warrants and 2017 Broker PIPE Warrants, for which the underlying shares of common stock are registered herein, and that we do not issue any other shares of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8"/>
        <w:spacing w:after="0" w:line="273" w:lineRule="auto"/>
        <w:rPr>
          <w:sz w:val="20"/>
          <w:szCs w:val="20"/>
          <w:color w:val="auto"/>
        </w:rPr>
      </w:pPr>
      <w:r>
        <w:rPr>
          <w:rFonts w:ascii="Arial" w:cs="Arial" w:eastAsia="Arial" w:hAnsi="Arial"/>
          <w:sz w:val="17"/>
          <w:szCs w:val="17"/>
          <w:i w:val="1"/>
          <w:iCs w:val="1"/>
          <w:color w:val="auto"/>
        </w:rPr>
        <w:t>Investing in securities issued by us involves certain risks. Before you invest in any securities issued by us, in addition to the other information included in, or incorporated by reference into, this prospectus, you should carefully consider the risk factors contained in Part I, Item 1A under the caption “Risk Factors” and elsewhere in our 2016 Form 10-K, which is incorporated by reference into this prospectus, as updated by our annual or quarterly reports for subsequent fiscal years or fiscal quarters that we file with the SEC and that are so incorporated.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not receive any proceeds from the sale of shares by the selling stockholders. We may receive proceeds of up to approximately $39,177,000 if all of the outstanding warrants issued in August 2014 and all outstanding Series A Warrants, Series A-1 Warrants, Series C Warrants, Series D Warrants, Series D-1 Warrants, Series E Warrants, Series E-1 Warrants, Series F Warrants, Series F-1 Warrants, 2016 PIPE Warrants, 2016 Broker PIPE Warrants, 2017 PIPE Warrants and 2017 Broker PIPE Warrants for which the underlying shares of common stock are registered herein,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prices.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September 18, 2017,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 but not the sale of any other shares held by the selling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After</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Name of Selling Stockholder</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Offering</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Offering (2)</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(1) (2)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289,560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178,665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110,895</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Empery Tax Efficient, LP (4)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69,239</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42,722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26,517</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581,201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358,614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222,587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Iroquois Master Fund Ltd. (6)</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702,500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520,833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181,667</w:t>
            </w: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421,500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312,500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109,000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The Merav Abbe Irrevocable Trust (8)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140,500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104,166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36,334</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34,724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12,110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The Talia Abbe Irrevocable Trust (10)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46,832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34,720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12,112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46,832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34,720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12,112</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Brio Capital Master Fund, Ltd. (12)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1,177,576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808,337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369,239</w:t>
            </w:r>
          </w:p>
        </w:tc>
        <w:tc>
          <w:tcPr>
            <w:tcW w:w="14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OTA LLC (14)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157,233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157,233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Kola Agbaje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Allen Chase Foundation-Special Investment Account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American Portfolios Financial Services Inc.</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Barclay Armitage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10,662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10,662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Alexander Arrow</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Wayne K Baldwin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22,270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22,270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Jeremy Berney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Joseph Biancaniello</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Michael Bigger</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w w:val="97"/>
              </w:rPr>
              <w:t>Michael Bigger Custodian FBO Andreas Bigger UGMA NY Until Age 21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8"/>
              </w:rPr>
              <w:t>Michael Bigger Custodian FBO Mathias Bigger UGMA NY Until Age 21</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John C. Blazier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Jay Bradbury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Andrew Brenner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24,330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24,330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Alexander J. Brown Trust dtd Apr 11 1996</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Larry Caillouet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Scott Cardone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 Stuart Chase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Chitayat Family Gift Trust</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Carol Cody</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14,654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14,654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Barry Cohn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Lee Harrison Corbin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50,256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45,256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5,000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John A. &amp; Wendy M. Cotter</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Christopher Cozzolino</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23,597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23,597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Arielle Crothers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Robert T. Crothers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30,010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30,010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Robinson W. Crothers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David M. Rickey Trust dtd 5/8/02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Linda DelPonte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Bruce Doniger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Ernest Dronenburg</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Norman Dumbroff</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24,422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24,422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Eastside Holdings Ltd.</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EFD Capital Inc.</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11,418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Paul Ehrenstein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Steven Elias &amp; Bessie Elias, JTWROS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14,994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14,994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L.P.</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Ernest W. Moody Revocable Trust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452,536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452,536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Philip W. Faucette, II</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22,630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22,630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Kevin Filosa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1,806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1,806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FirstFire Global Opportunities Fund LLC</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52,084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52,084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Albert &amp; Hiedi Gentile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20,546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20,546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Gibralt Capital Corporation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Bruce D. &amp; Laura K. Goethe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Jessica Greenfield</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Ravi Gutta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31,748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31,748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Kimberly Hanley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Matthew Hayden &amp; Julie Hayden, Tenants in Common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48,842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48,842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Todd Harrigan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Timothy Herrmann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Daniel W. and Allaire Hummel, JTWROS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ectPr>
          <w:pgSz w:w="11900" w:h="16897" w:orient="portrait"/>
          <w:cols w:equalWidth="0" w:num="1">
            <w:col w:w="11420"/>
          </w:cols>
          <w:pgMar w:left="240" w:top="904"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Intracoastal Capital LLC (15)</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170,940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170,940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Robert Jacob &amp; Christine Jacob,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7,328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Morgan Janssen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14,597</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14,597</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Peter K. Janssen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62,792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62,792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JMG Holdings, LLC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Martin Junge</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56,168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56,168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William Jeffrey Kadi</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27,352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27,352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Bobby Kato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5,210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5,210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Justin Kenner D/B/A JMJ Financial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122,102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122,102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Edward King</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Patricia King</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Mackie Klingbeil</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Peter M. Knapp</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6,250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6,250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Douglas Kohrs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Ryan Konik</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Jeffrey Kuhr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5,862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5,862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LaMarca</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David Landskowsky</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5,658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Brian K. Langham</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Clay Lebhar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Leith</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97,682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97,682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Leonite Capital LLC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Lincoln Park Capital Fund, LLC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73,262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73,262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Allan Lipkowitz Revocable Living Trust dtd August 26, 2005</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23,081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19,538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3,543</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Norman Liss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244,202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244,202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Roman Livson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365</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365</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Richard Madison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26,570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26,570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Veronica Marano &amp; Thomas M. Volckening</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69,748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69,748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J. Mathieu</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10,000</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Ernest J. &amp; Michele M. Mattei</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22,630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22,630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Noel McGee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Rory McGee</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Samantha McGrandy</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Robert McGrath</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14,214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14,214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McGurk</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16,560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16,560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R. Mut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41,668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41,668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Norgiel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Northlea Partners LLLP</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6,250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6,250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Nybor Group Inc.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4,168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4,168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Terence Oi &amp; Patricia Meehan,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9,770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9,770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OS Media SEZC Ltd.</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25,000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25,000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Osprey I LLC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20,834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20,834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Pauline M. Howard Trust dtd 01.02.98, Candy D’Azevedo TTEE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14,654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14,654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Lisa Piper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17,096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17,096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Stephen Piscano</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Kenneth S. Pizzo,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208,334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208,334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 James Prieur &amp; Karen Prieur,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Joel Pruzansky</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34,840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34,840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Harmon L. Remmel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27,897</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3,475</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Renaud</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39,430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39,430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Jeff Rennell &amp; Christine Kellye Rennell,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44,738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44,738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Richard A. Brown Revocable Trust u/t/d October 18, 2016</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150,000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150,000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Dyke Rogers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88,256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88,256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Eric Rubenstein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5,658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Art Sadin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Giles Sandvik &amp; Jeanne Sandvik,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7,328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James Saylor &amp; Dorothy Saylor,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14,654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14,654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David M. Schloss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6,838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Robert A. Schloss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Joseph Schump</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129,582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129,582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Aaron Segal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1,223</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1,223</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Shumpert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66,090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66,090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Silverman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58,548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58,548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Daryl Squicciarini</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William C. Stone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Spencer Stouffer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Clayton A. Struve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57,756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57,756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William Sykes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68,378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68,378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Tim Elmes, LLC Pension Plan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Lisa Torsiello</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43,224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43,224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The Trust of Abraham Schloss UAD 06/15/2011</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17,096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17,096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John V. Wagner,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29,966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29,966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Jason and Amanda Willis,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Michael L. and Sharon D. Willis,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97,682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97,682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Julie Wineman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WestPark Capital Inc.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111</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Jacob D. Wiznitzer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 Steve and Kaye Yost Family Trust dtd 2.7.92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Amir Zaghloul &amp; Mona Zaghloul, JTWROS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Thomas Zahavi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Lynn Zheng</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Michael Zimmerman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5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firstLine="8"/>
        <w:spacing w:after="0" w:line="253"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191" w:lineRule="exact"/>
        <w:rPr>
          <w:rFonts w:ascii="Arial" w:cs="Arial" w:eastAsia="Arial" w:hAnsi="Arial"/>
          <w:sz w:val="18"/>
          <w:szCs w:val="18"/>
          <w:color w:val="auto"/>
        </w:rPr>
      </w:pPr>
    </w:p>
    <w:p>
      <w:pPr>
        <w:jc w:val="both"/>
        <w:ind w:firstLine="8"/>
        <w:spacing w:after="0" w:line="257" w:lineRule="auto"/>
        <w:tabs>
          <w:tab w:leader="none" w:pos="6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16,730,107 shares of common stock, which includes 10,271,696 shares of common stock issued and outstanding on September 18, 2017, and 6,458,411 shares of common stock being offered in this Prospectus that may be issued upon exercise of the warrants. In determining this amount, we assumed that (i) all 6,458,411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8" w:lineRule="exact"/>
        <w:rPr>
          <w:rFonts w:ascii="Arial" w:cs="Arial" w:eastAsia="Arial" w:hAnsi="Arial"/>
          <w:sz w:val="18"/>
          <w:szCs w:val="18"/>
          <w:color w:val="auto"/>
        </w:rPr>
      </w:pPr>
    </w:p>
    <w:p>
      <w:pPr>
        <w:jc w:val="both"/>
        <w:ind w:firstLine="8"/>
        <w:spacing w:after="0" w:line="259" w:lineRule="auto"/>
        <w:tabs>
          <w:tab w:leader="none" w:pos="704"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335,898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 The warrants referred to in the immediately preceding paragraph are comprised of (i) 59,555 shares of common stock issuable upon exercise of the Series D Warrants, (ii) 59,555 shares of common stock issuable upon exercise of the Series E Warrants and (iii) 59,555 shares of common stock issuable upon exercise of the Series F Warrants.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line="74" w:lineRule="exact"/>
        <w:rPr>
          <w:sz w:val="20"/>
          <w:szCs w:val="20"/>
          <w:color w:val="auto"/>
        </w:rPr>
      </w:pPr>
    </w:p>
    <w:p>
      <w:pPr>
        <w:jc w:val="both"/>
        <w:ind w:firstLine="8"/>
        <w:spacing w:after="0" w:line="259"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42,722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14,241 shares of common stock issuable upon exercise of the Series D Warrants, (ii) 14,241 shares of common stock issuable upon exercise of the Series E Warrants and (iii) 14,241 shares of common stock issuable upon exercise of the Series F Warrants.</w:t>
      </w:r>
    </w:p>
    <w:p>
      <w:pPr>
        <w:spacing w:after="0" w:line="181" w:lineRule="exact"/>
        <w:rPr>
          <w:sz w:val="20"/>
          <w:szCs w:val="20"/>
          <w:color w:val="auto"/>
        </w:rPr>
      </w:pPr>
    </w:p>
    <w:p>
      <w:pPr>
        <w:jc w:val="both"/>
        <w:ind w:firstLine="8"/>
        <w:spacing w:after="0" w:line="259" w:lineRule="auto"/>
        <w:tabs>
          <w:tab w:leader="none" w:pos="6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358,614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119,538 shares of common stock issuable upon exercise of the Series D Warrants, (ii) 119,538 shares of common stock issuable upon exercise of the Series E Warrants and (iii) 119,538 shares of common stock issuable upon exercise of the Series F Warrants.</w:t>
      </w:r>
    </w:p>
    <w:p>
      <w:pPr>
        <w:spacing w:after="0" w:line="181" w:lineRule="exact"/>
        <w:rPr>
          <w:sz w:val="20"/>
          <w:szCs w:val="20"/>
          <w:color w:val="auto"/>
        </w:rPr>
      </w:pPr>
    </w:p>
    <w:p>
      <w:pPr>
        <w:ind w:right="260" w:firstLine="8"/>
        <w:spacing w:after="0" w:line="264"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Iroquois Capital Management L.L.C. (“Iroquois”) is the investment manager of Iroquois Master Fund Ltd. (the “Fund”) and Richard Abbe is the President of Iroquois. Mr. Abbe shares authority and responsibility for the investments made on behalf of the Fund with Kimberly Page, each of whom is a director of the Fund.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468,356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104,167 shares of common stock issuable upon exercise of the Series A Warrants, (ii) 110,000 shares of common stock issuable upon exercise of the Series C Warrants, (iii) 104,167 shares of common stock issuable upon exercise of the Series D Warrants, (iv) 51,690 shares of common stock issuable upon exercise of the Series E Warrants and (v) 98,334 shares of common stock issuable upon exercise of the Series F Warrants.</w:t>
      </w:r>
    </w:p>
    <w:p>
      <w:pPr>
        <w:spacing w:after="0" w:line="187" w:lineRule="exact"/>
        <w:rPr>
          <w:sz w:val="20"/>
          <w:szCs w:val="20"/>
          <w:color w:val="auto"/>
        </w:rPr>
      </w:pPr>
    </w:p>
    <w:p>
      <w:pPr>
        <w:ind w:firstLine="8"/>
        <w:spacing w:after="0" w:line="277" w:lineRule="auto"/>
        <w:tabs>
          <w:tab w:leader="none" w:pos="8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302,004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62,500 shares of common stock issuable upon exercise of the Series A Warrants, (ii) 66,000 shares of common stock issuable upon exercise of the Series C Warrants, (iii) 62,500 shares of common stock issuable upon exercise of the Series D Warrants, (iii) 52,004 shares of common stock issuable upon exercise of the Series E Warrants and (iv) 59,000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93,670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20,833 shares of common stock issuable upon exercise of the Series A Warrants, (ii) 22,000 shares of common stock issuable upon exercise of the Series C Warrants, (iii) 20,833 shares of common stock issuable upon exercise of the Series D Warrants, (iv) 10,337 shares of common stock issuable upon exercise of the Series E Warrants and (v) 19,667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31,226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ectPr>
          <w:pgSz w:w="11900" w:h="16912" w:orient="portrait"/>
          <w:cols w:equalWidth="0" w:num="1">
            <w:col w:w="11420"/>
          </w:cols>
          <w:pgMar w:left="240" w:top="908" w:right="239" w:bottom="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6,945 shares of common stock issuable upon exercise of the Series A Warrants, (ii) 7,333 shares of common stock issuable upon exercise of the Series C Warrants, (iii) 6,945 shares of common stock issuable upon exercise of the Series D Warrants, (iv) 3,447 shares of common stock issuable upon exercise of the Series E Warrants and (v) 6,556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Talia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3,446 shares of common stock issuable upon exercise of the Series E Warrants and (v) 6,555 shares of common stock issuable upon exercise of the Series F Warrants.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3,446 shares of common stock issuable upon exercise of the Series E Warrants and (v) 6,555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724,374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warrants referred to in the immediately preceding paragraph are comprised of (i) 198,334 shares of common stock issuable upon exercise of the Series C Warrants, (ii) 208,334 shares of common stock issuable upon exercise of the Series D Warrants, (iii) 124,371 shares of common stock issuable upon exercise of the Series E Warrants and (iv) 193,334 shares of common stock issuable upon exercise of the Series F Warrants.</w:t>
      </w:r>
    </w:p>
    <w:p>
      <w:pPr>
        <w:spacing w:after="0" w:line="166" w:lineRule="exact"/>
        <w:rPr>
          <w:sz w:val="20"/>
          <w:szCs w:val="20"/>
          <w:color w:val="auto"/>
        </w:rPr>
      </w:pPr>
    </w:p>
    <w:p>
      <w:pPr>
        <w:jc w:val="both"/>
        <w:ind w:firstLine="8"/>
        <w:spacing w:after="0" w:line="264" w:lineRule="auto"/>
        <w:tabs>
          <w:tab w:leader="none" w:pos="8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“Number of Shares of Common Stock Owned Prior to Offering” and “Shares of Common Stock to be Sold Pursuant to this Prospectus” include 1,666,667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Common Stock to be Sold Pursuant to this Prospectus” includes (i) 416,667 shares of common stock issuable upon exercise of the Series A-1 Warrants, (ii) 416,667 shares of common stock issuable upon exercise of the Series D-1 Warrants (iii) 416,667 shares of common stock issuable upon exercise of the Series E-1 Warrants and (iv) 416,667 shares of common stock issuable upon exercise of the Series F-1 Warrants.</w:t>
      </w:r>
    </w:p>
    <w:p>
      <w:pPr>
        <w:spacing w:after="0" w:line="166" w:lineRule="exact"/>
        <w:rPr>
          <w:sz w:val="20"/>
          <w:szCs w:val="20"/>
          <w:color w:val="auto"/>
        </w:rPr>
      </w:pPr>
    </w:p>
    <w:p>
      <w:pPr>
        <w:jc w:val="both"/>
        <w:ind w:firstLine="8"/>
        <w:spacing w:after="0" w:line="297" w:lineRule="auto"/>
        <w:tabs>
          <w:tab w:leader="none" w:pos="7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OTA LLC (“OTA”) is a broker-dealer registered with the Securities and Exchange Commission and a member of the Financial Industry Regulatory Authority. Ira M. Leventhal, as a senior managing director of OTA, has voting and investment control over the reported securities. The shares listed under “Number of Shares of Common Stock Owned Prior to Offering” and “Shares of Common Stock to be Sold Pursuant to this Prospectus” include 157,233 shares of common stock issuable upon exercise of the warrants sold in August 2014. This amount does not (i) give effect to limitations on ownership set out in any of the warrants that may be exercised into such shares or (ii) include any shares that may be beneficially owned by an affiliate.</w:t>
      </w:r>
    </w:p>
    <w:p>
      <w:pPr>
        <w:spacing w:after="0" w:line="158" w:lineRule="exact"/>
        <w:rPr>
          <w:rFonts w:ascii="Arial" w:cs="Arial" w:eastAsia="Arial" w:hAnsi="Arial"/>
          <w:sz w:val="16"/>
          <w:szCs w:val="16"/>
          <w:color w:val="auto"/>
        </w:rPr>
      </w:pPr>
    </w:p>
    <w:p>
      <w:pPr>
        <w:jc w:val="both"/>
        <w:ind w:right="100" w:firstLine="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Asher, who is a manager of Intracoastal, is also a control person of a broker-dealer. As a result of such common control, Intracoastal may be deemed to be an affiliate of a broker-dealer. Intracoastal acquired the ordinary shares being registered hereunder in the ordinary course of business, and at the time of the acquisition of the ordinary shares and warrants described herein, Intracoastal did not have any arrangements or understandings with any person to distribute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8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hereof, we are authorized by our articles of incorporation to issue an aggregate of 41,666,667 shares of common stock, par value $0.001 per share, and 5,000,000 shares of preferred stock, par value $0.001 per share. As of September 18, 2017, we had 10,271,696 shares of common stock, and no shares of preferred stock, issued and outstanding, as well as warrants and stock options outstanding to purchase an aggregate of 6,975,407 shares of our common stock at prices ranging between $1.20 and $220.00 per share,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Outstanding Warrants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546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Series A</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C</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110,683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5460" w:type="dxa"/>
            <w:vAlign w:val="bottom"/>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313,750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297,500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5460" w:type="dxa"/>
            <w:vAlign w:val="bottom"/>
          </w:tcPr>
          <w:p>
            <w:pPr>
              <w:spacing w:after="0"/>
              <w:rPr>
                <w:sz w:val="20"/>
                <w:szCs w:val="20"/>
                <w:color w:val="auto"/>
              </w:rPr>
            </w:pPr>
            <w:r>
              <w:rPr>
                <w:rFonts w:ascii="Arial" w:cs="Arial" w:eastAsia="Arial" w:hAnsi="Arial"/>
                <w:sz w:val="18"/>
                <w:szCs w:val="18"/>
                <w:color w:val="auto"/>
                <w:w w:val="97"/>
              </w:rPr>
              <w:t>Between 07/16/2020 and 08/13/2020 and 08/19/2020 and 09/09/2020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Between 07/16/2020 and 08/13/2020 and 08/19/2020 and 09/09/2020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261,619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5460" w:type="dxa"/>
            <w:vAlign w:val="bottom"/>
          </w:tcPr>
          <w:p>
            <w:pPr>
              <w:spacing w:after="0"/>
              <w:rPr>
                <w:sz w:val="20"/>
                <w:szCs w:val="20"/>
                <w:color w:val="auto"/>
              </w:rPr>
            </w:pPr>
            <w:r>
              <w:rPr>
                <w:rFonts w:ascii="Arial" w:cs="Arial" w:eastAsia="Arial" w:hAnsi="Arial"/>
                <w:sz w:val="18"/>
                <w:szCs w:val="18"/>
                <w:color w:val="auto"/>
                <w:w w:val="97"/>
              </w:rPr>
              <w:t>Between 10/01/2020 and 11/12/2020 and 11/30/2020 and 12/09/2020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186,555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Between 10/01/2020 and 11/12/2020 and 11/30/2020 and 12/09/2020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F</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290,833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F</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A-1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418,750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5460" w:type="dxa"/>
            <w:vAlign w:val="bottom"/>
          </w:tcPr>
          <w:p>
            <w:pPr>
              <w:spacing w:after="0"/>
              <w:rPr>
                <w:sz w:val="20"/>
                <w:szCs w:val="20"/>
                <w:color w:val="auto"/>
              </w:rPr>
            </w:pPr>
            <w:r>
              <w:rPr>
                <w:rFonts w:ascii="Arial" w:cs="Arial" w:eastAsia="Arial" w:hAnsi="Arial"/>
                <w:sz w:val="18"/>
                <w:szCs w:val="18"/>
                <w:color w:val="auto"/>
              </w:rPr>
              <w:t>03/09/2020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D-1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5460" w:type="dxa"/>
            <w:vAlign w:val="bottom"/>
          </w:tcPr>
          <w:p>
            <w:pPr>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418,750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06/16/2020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F-1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PIPE Investor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653,187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2016 PIPE Broker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65,327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10.00-$14.00</w:t>
            </w:r>
          </w:p>
        </w:tc>
        <w:tc>
          <w:tcPr>
            <w:tcW w:w="2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Warrants issued in August 2014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08/14/19</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16,195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14.01-$16.00</w:t>
            </w:r>
          </w:p>
        </w:tc>
        <w:tc>
          <w:tcPr>
            <w:tcW w:w="2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12/18/2017</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2017 PIPE Investor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1,503,567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tcPr>
          <w:p>
            <w:pPr>
              <w:spacing w:after="0"/>
              <w:rPr>
                <w:sz w:val="20"/>
                <w:szCs w:val="20"/>
                <w:color w:val="auto"/>
              </w:rPr>
            </w:pPr>
            <w:r>
              <w:rPr>
                <w:rFonts w:ascii="Arial" w:cs="Arial" w:eastAsia="Arial" w:hAnsi="Arial"/>
                <w:sz w:val="18"/>
                <w:szCs w:val="18"/>
                <w:color w:val="auto"/>
              </w:rPr>
              <w:t>06/26/2022</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 PIPE Broker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150,356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06/26/2022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Outstanding Stock Options</w:t>
            </w:r>
          </w:p>
        </w:tc>
        <w:tc>
          <w:tcPr>
            <w:tcW w:w="1440" w:type="dxa"/>
            <w:vAlign w:val="bottom"/>
          </w:tcPr>
          <w:p>
            <w:pPr>
              <w:spacing w:after="0"/>
              <w:rPr>
                <w:sz w:val="20"/>
                <w:szCs w:val="20"/>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Exercise Price</w:t>
            </w:r>
          </w:p>
        </w:tc>
        <w:tc>
          <w:tcPr>
            <w:tcW w:w="55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62,916</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141,667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$4.00-$7.00</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various</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248,333</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$7.00-$8.00</w:t>
            </w:r>
          </w:p>
        </w:tc>
        <w:tc>
          <w:tcPr>
            <w:tcW w:w="5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various</w:t>
            </w: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1,967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$120.00-$220.00</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various</w:t>
            </w:r>
          </w:p>
        </w:tc>
      </w:tr>
    </w:tbl>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authorized, subject to limitations prescribed by Nevada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our common stock. We have no current plan to issue any shares of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Except as otherwise required by Nevada law, and subject to the rights of the holders of outstanding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 Directors are elected by plurality vote, and stockholders do not have the ability to cumulate votes for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outstanding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Provisions of the Nevada Corporation Law and our articles of incorporation and bylaws could make it more difficult to acquire our company by means of a tender offer, a proxy contest or otherwise, or to remove incumbent officers and directors. These provisions, summarized below, would be expected to discourage certain types of takeover practices and takeover bids our Board may consider inadequate and to encourage persons seeking to acquire control of our Company to first negotiate with us. We believe that the benefits of increased protection of our ability to negotiate with the proponent of an unfriendly or unsolicited proposal to acquire or restructure our Company will outweigh the disadvantages of discouraging takeover or acquisition proposals because, among other things, negotiation of these proposals could result in an improvement of their terms.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 without stockholder approval, except as may be required under the listing rules of any stock exchange on which our common stock is then listed. We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articles of incorporation permit our Board to issue preferred stock with voting, conversion and exchange rights that could negatively affect the voting power or other rights of our common stockholders. The issuance of our preferred stock could delay or prevent a change of control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Vacancies may be Filled by Remaining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bylaws provide that vacancies on the Board may be filled by the remaining directors then in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our Articles of Incorporation and Bylaws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Nevada Corporation Law, our articles of incorporation may not be amended by stockholder action alone. Amendments to our articles of incorporation require a board resolution approved by the majority of the outstanding capital stock entitled to vote. Our bylaws may only be amended by a majority vote of the stockholders at any annual meeting or special meeting called for that purpose. Subject to the right of stockholders as described in the immediately preceding sentence, the Board has the power to make, adopt, alter, amend and repeal, from time to time, our bylaws.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 at Meetings.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bylaws, nominations of persons to stand for election as a director may be made by the Board of Directors or by any stockholder entitled to vote for the election of directors who complies with the applicable notice requirements set out therein. If a stockholder wishes to nominate someone to stand for election as a director, or bring any business before an annual or special meeting, the stockholder must comply with certain procedures set out in our bylaws. These provisions specify the timing for delivery of the stockholder’s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For the timing of the stockholder notice, our bylaws require that the notice must be received by our secretary:</w:t>
      </w:r>
    </w:p>
    <w:p>
      <w:pPr>
        <w:spacing w:after="0" w:line="182" w:lineRule="exact"/>
        <w:rPr>
          <w:sz w:val="20"/>
          <w:szCs w:val="20"/>
          <w:color w:val="auto"/>
        </w:rPr>
      </w:pPr>
    </w:p>
    <w:p>
      <w:pPr>
        <w:jc w:val="both"/>
        <w:ind w:left="980" w:hanging="648"/>
        <w:spacing w:after="0" w:line="25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w:t>
      </w:r>
    </w:p>
    <w:p>
      <w:pPr>
        <w:spacing w:after="0" w:line="188"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Nevada Law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in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our Company, regardless of whether such acquisition may be in the interest of our stockholders.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Nevada “Combination with Interested Stockholders Statute” may also have an effect of delaying or making it more difficult to effect a change in control of our Company.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Nevada Law also includes express provisions preserving the right of a corporation to adopt or sign “plans, arrangements or instruments that grant or deny rights, privileges, power or authority to a holder or holders of a specified number of shares or percentage of share ownership or voting power.” A common example is where the board issues the right for certain stockholders to purchase shares of the corporation at a substantially discounted price if one stockholder reaches a specified percentage of share ownership. The purchase of discounted shares dilutes the share ownership of such potential acquirer.</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Holders of approximately 4,408,014 shares of our outstanding common stock, and of warrants to purchase approximately 6,458,411 shares of our common stock, are entitled to certain rights with respect to registration of such outstanding shares, and the shares of common stock underlying such warrants, under the Securities Act. These shares are referred to as registrable securities. The holders of these registrable securities possess registration rights pursuant to the terms of various purchase agreements and registration rights agreements entered into with us in connection with our sale of such stock and warrants to such investors. This registration statement covers all of such securities. We are required to pay all expenses incurred in connection with such registration.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registration rights described above will terminate as to any stockholder at such time as all of such stockholder’s securities (together with any affiliate of the stockholder with whom such stockholder must aggregate its sales) could be sold without compliance with the registration requirements of the Securities Act pursuant to Rule 144.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Florida 33760.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shares of common stock are listed for trading on the Nasdaq Capital Market under the symbol TPIV. On September 18, 2017, the last reported sale price per share for our common stock on the Nasdaq Capital Market was $3.07.</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as of December 31, 2016 and December 31, 2015, and for the years then ended, have been incorporated by reference in the prospectus in reliance upon the report of Marcum LLP, independent registered public accounting firm, and upon the authority of said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firm of Shumaker, Loop &amp; Kendrick, LLP has issued an opinion regarding the legality and validity of the securities offered under this prospectus.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reporting company and file annual, quarterly and current reports, proxy statements and other information with the SEC. We have filed with the SEC registration statements on Forms S-1 and Form S-3 under the Securities Act with respect to the securities we are offering under this prospectus (Commission File Nos. 333-196115, 333-205757, 333-215258 and 333-220538). This prospectus does not contain all of the information set forth in the registration statements and the exhibits to the registration statements. For further information with respect to us and the securities we are offering under this prospectus, we refer you to the registration statements and the exhibits and schedules filed as a part of the registration statements. You may read and copy the registration statements,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http://www.sec.gov.</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website at www.tapimmune.com. The information contained in, or that can be accessed through, our website is not incorporated by reference herein and is not part of this prospectus.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25"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on March 14, 2017;</w:t>
      </w:r>
    </w:p>
    <w:p>
      <w:pPr>
        <w:spacing w:after="0" w:line="225" w:lineRule="exact"/>
        <w:rPr>
          <w:rFonts w:ascii="Arial" w:cs="Arial" w:eastAsia="Arial" w:hAnsi="Arial"/>
          <w:sz w:val="18"/>
          <w:szCs w:val="18"/>
          <w:color w:val="auto"/>
        </w:rPr>
      </w:pPr>
    </w:p>
    <w:p>
      <w:pPr>
        <w:ind w:right="100" w:firstLine="656"/>
        <w:spacing w:after="0" w:line="277" w:lineRule="auto"/>
        <w:tabs>
          <w:tab w:leader="none" w:pos="9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2017 and June 30, 2017, filed on May 5, 2017 and August 7, 2017, respectively;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Reports on Form 8-K filed on April 28, 2017, June 22, 2017, June 26, 2017, July 11, 2017 and September 5, 2017;</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July 12, 2017; and</w:t>
      </w:r>
    </w:p>
    <w:p>
      <w:pPr>
        <w:spacing w:after="0" w:line="225" w:lineRule="exact"/>
        <w:rPr>
          <w:rFonts w:ascii="Arial" w:cs="Arial" w:eastAsia="Arial" w:hAnsi="Arial"/>
          <w:sz w:val="18"/>
          <w:szCs w:val="18"/>
          <w:color w:val="auto"/>
        </w:rPr>
      </w:pPr>
    </w:p>
    <w:p>
      <w:pPr>
        <w:ind w:right="260" w:firstLine="656"/>
        <w:spacing w:after="0" w:line="277" w:lineRule="auto"/>
        <w:tabs>
          <w:tab w:leader="none" w:pos="9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its registration statement on Form 8-A (Registration No. 001-37939), filed on November 3, 2016, including any amendments or reports filed for the purpose of updating such description.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and such future filings will become a part of this prospectus from the respective dates that such documents are filed with the SEC. Our SEC file number is 001-37939.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furnish without charge to each person to whom this prospectus is delivered, upon written or oral request, a copy of any document incorporated by reference. Requests should be addressed to Corporate Secretary, 5 West Forsyth Street, Suite 200 Jacksonville, FL 32202, or may be made telephonically at (904) 516-5436.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You should not assume that the information contained in this prospectus or the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4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$1,142.87</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180" w:type="dxa"/>
            <w:vAlign w:val="bottom"/>
          </w:tcPr>
          <w:p>
            <w:pPr>
              <w:jc w:val="right"/>
              <w:ind w:right="10"/>
              <w:spacing w:after="0"/>
              <w:rPr>
                <w:sz w:val="20"/>
                <w:szCs w:val="20"/>
                <w:color w:val="auto"/>
              </w:rPr>
            </w:pPr>
            <w:r>
              <w:rPr>
                <w:rFonts w:ascii="Arial" w:cs="Arial" w:eastAsia="Arial" w:hAnsi="Arial"/>
                <w:sz w:val="18"/>
                <w:szCs w:val="18"/>
                <w:color w:val="auto"/>
              </w:rPr>
              <w:t>$25,000.00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4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Transfer agent and registrar’s fees and expenses</w:t>
            </w:r>
          </w:p>
        </w:tc>
        <w:tc>
          <w:tcPr>
            <w:tcW w:w="4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4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Total</w:t>
            </w:r>
          </w:p>
        </w:tc>
        <w:tc>
          <w:tcPr>
            <w:tcW w:w="41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Estimated expenses are not presently known. The foregoing sets forth the general categories of expenses (other than underwriting discounts and commissions) that the Company anticipates it will incur in connection with the offering of securities under the registration statement.</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officers and directors are indemnified under Nevada law. Our Amended and Restated Articles of Incorporation and our By-laws are silent as to director and officer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Nevada Revised Statute. The registrant is a Nevada corporation.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w w:val="95"/>
              </w:rPr>
              <w:t>Incorporated by Reference</w:t>
            </w: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center"/>
              <w:ind w:right="44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6"/>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8"/>
              </w:rPr>
              <w:t>no.</w:t>
            </w:r>
          </w:p>
        </w:tc>
        <w:tc>
          <w:tcPr>
            <w:tcW w:w="100" w:type="dxa"/>
            <w:vAlign w:val="bottom"/>
          </w:tcPr>
          <w:p>
            <w:pPr>
              <w:spacing w:after="0"/>
              <w:rPr>
                <w:sz w:val="20"/>
                <w:szCs w:val="20"/>
                <w:color w:val="auto"/>
              </w:rPr>
            </w:pPr>
          </w:p>
        </w:tc>
        <w:tc>
          <w:tcPr>
            <w:tcW w:w="11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36">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36">
              <w:r>
                <w:rPr>
                  <w:rFonts w:ascii="Arial" w:cs="Arial" w:eastAsia="Arial" w:hAnsi="Arial"/>
                  <w:sz w:val="18"/>
                  <w:szCs w:val="18"/>
                  <w:color w:val="0000EE"/>
                </w:rPr>
                <w:t>Articles of Incorporation as Amended</w:t>
              </w:r>
            </w:hyperlink>
          </w:p>
        </w:tc>
        <w:tc>
          <w:tcPr>
            <w:tcW w:w="1280" w:type="dxa"/>
            <w:vAlign w:val="bottom"/>
            <w:gridSpan w:val="4"/>
          </w:tcPr>
          <w:p>
            <w:pPr>
              <w:jc w:val="center"/>
              <w:ind w:right="120"/>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11/4/16</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37">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4"/>
          </w:tcPr>
          <w:p>
            <w:pPr>
              <w:spacing w:after="0"/>
              <w:rPr>
                <w:rFonts w:ascii="Arial" w:cs="Arial" w:eastAsia="Arial" w:hAnsi="Arial"/>
                <w:sz w:val="18"/>
                <w:szCs w:val="18"/>
                <w:color w:val="0000EE"/>
              </w:rPr>
            </w:pPr>
            <w:hyperlink r:id="rId37">
              <w:r>
                <w:rPr>
                  <w:rFonts w:ascii="Arial" w:cs="Arial" w:eastAsia="Arial" w:hAnsi="Arial"/>
                  <w:sz w:val="18"/>
                  <w:szCs w:val="18"/>
                  <w:color w:val="0000EE"/>
                </w:rPr>
                <w:t>Certificate of Change</w:t>
              </w:r>
            </w:hyperlink>
          </w:p>
        </w:tc>
        <w:tc>
          <w:tcPr>
            <w:tcW w:w="72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37">
              <w:r>
                <w:rPr>
                  <w:rFonts w:ascii="Arial" w:cs="Arial" w:eastAsia="Arial" w:hAnsi="Arial"/>
                  <w:sz w:val="18"/>
                  <w:szCs w:val="18"/>
                  <w:color w:val="0000EE"/>
                  <w:w w:val="99"/>
                </w:rPr>
                <w:t>8-K</w:t>
              </w:r>
            </w:hyperlink>
          </w:p>
        </w:tc>
        <w:tc>
          <w:tcPr>
            <w:tcW w:w="560" w:type="dxa"/>
            <w:vAlign w:val="bottom"/>
            <w:gridSpan w:val="2"/>
          </w:tcPr>
          <w:p>
            <w:pPr>
              <w:spacing w:after="0"/>
              <w:rPr>
                <w:sz w:val="24"/>
                <w:szCs w:val="24"/>
                <w:color w:val="auto"/>
              </w:rPr>
            </w:pPr>
          </w:p>
        </w:tc>
        <w:tc>
          <w:tcPr>
            <w:tcW w:w="1240" w:type="dxa"/>
            <w:vAlign w:val="bottom"/>
            <w:gridSpan w:val="2"/>
          </w:tcPr>
          <w:p>
            <w:pPr>
              <w:jc w:val="center"/>
              <w:ind w:left="370"/>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9/15/16</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38">
              <w:r>
                <w:rPr>
                  <w:rFonts w:ascii="Arial" w:cs="Arial" w:eastAsia="Arial" w:hAnsi="Arial"/>
                  <w:sz w:val="18"/>
                  <w:szCs w:val="18"/>
                  <w:color w:val="0000EE"/>
                  <w:w w:val="95"/>
                </w:rPr>
                <w:t>3.</w:t>
              </w:r>
              <w:r>
                <w:rPr>
                  <w:rFonts w:ascii="Arial" w:cs="Arial" w:eastAsia="Arial" w:hAnsi="Arial"/>
                  <w:sz w:val="18"/>
                  <w:szCs w:val="18"/>
                  <w:u w:val="single" w:color="auto"/>
                  <w:color w:val="0000EE"/>
                  <w:w w:val="95"/>
                </w:rPr>
                <w:t>3</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11"/>
          </w:tcPr>
          <w:p>
            <w:pPr>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Amended and Restated Bylaws</w:t>
              </w:r>
            </w:hyperlink>
          </w:p>
        </w:tc>
        <w:tc>
          <w:tcPr>
            <w:tcW w:w="118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3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7/15/16</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39">
              <w:r>
                <w:rPr>
                  <w:rFonts w:ascii="Arial" w:cs="Arial" w:eastAsia="Arial" w:hAnsi="Arial"/>
                  <w:sz w:val="18"/>
                  <w:szCs w:val="18"/>
                  <w:color w:val="0000EE"/>
                  <w:w w:val="95"/>
                </w:rPr>
                <w:t>3.</w:t>
              </w:r>
              <w:r>
                <w:rPr>
                  <w:rFonts w:ascii="Arial" w:cs="Arial" w:eastAsia="Arial" w:hAnsi="Arial"/>
                  <w:sz w:val="18"/>
                  <w:szCs w:val="18"/>
                  <w:u w:val="single" w:color="auto"/>
                  <w:color w:val="0000EE"/>
                  <w:w w:val="95"/>
                </w:rPr>
                <w:t>4</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39">
              <w:r>
                <w:rPr>
                  <w:rFonts w:ascii="Arial" w:cs="Arial" w:eastAsia="Arial" w:hAnsi="Arial"/>
                  <w:sz w:val="18"/>
                  <w:szCs w:val="18"/>
                  <w:color w:val="0000EE"/>
                </w:rPr>
                <w:t>Amendment to Amended and Restated</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3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39">
              <w:r>
                <w:rPr>
                  <w:rFonts w:ascii="Arial" w:cs="Arial" w:eastAsia="Arial" w:hAnsi="Arial"/>
                  <w:sz w:val="18"/>
                  <w:szCs w:val="18"/>
                  <w:color w:val="0000EE"/>
                  <w:w w:val="89"/>
                </w:rPr>
                <w:t>7/11/17</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Bylaws</w:t>
              </w:r>
            </w:hyperlink>
          </w:p>
        </w:tc>
        <w:tc>
          <w:tcPr>
            <w:tcW w:w="2240" w:type="dxa"/>
            <w:vAlign w:val="bottom"/>
            <w:tcBorders>
              <w:top w:val="single" w:sz="8" w:color="0000EE"/>
            </w:tcBorders>
            <w:gridSpan w:val="13"/>
          </w:tcPr>
          <w:p>
            <w:pPr>
              <w:spacing w:after="0"/>
              <w:rPr>
                <w:sz w:val="17"/>
                <w:szCs w:val="17"/>
                <w:color w:val="auto"/>
              </w:rPr>
            </w:pPr>
          </w:p>
        </w:tc>
        <w:tc>
          <w:tcPr>
            <w:tcW w:w="66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370"/>
              <w:spacing w:after="0"/>
              <w:rPr>
                <w:rFonts w:ascii="Arial" w:cs="Arial" w:eastAsia="Arial" w:hAnsi="Arial"/>
                <w:sz w:val="18"/>
                <w:szCs w:val="18"/>
                <w:color w:val="0000EE"/>
                <w:w w:val="95"/>
              </w:rPr>
            </w:pPr>
            <w:hyperlink r:id="rId4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w w:val="98"/>
              </w:rPr>
            </w:pPr>
            <w:hyperlink r:id="rId40">
              <w:r>
                <w:rPr>
                  <w:rFonts w:ascii="Arial" w:cs="Arial" w:eastAsia="Arial" w:hAnsi="Arial"/>
                  <w:sz w:val="18"/>
                  <w:szCs w:val="18"/>
                  <w:color w:val="0000EE"/>
                  <w:w w:val="98"/>
                </w:rPr>
                <w:t>Securities Purchase Agreement, dated May</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0">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17, 2010</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370"/>
              <w:spacing w:after="0"/>
              <w:rPr>
                <w:rFonts w:ascii="Arial" w:cs="Arial" w:eastAsia="Arial" w:hAnsi="Arial"/>
                <w:sz w:val="18"/>
                <w:szCs w:val="18"/>
                <w:color w:val="0000EE"/>
                <w:w w:val="95"/>
              </w:rPr>
            </w:pPr>
            <w:hyperlink r:id="rId41">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41">
              <w:r>
                <w:rPr>
                  <w:rFonts w:ascii="Arial" w:cs="Arial" w:eastAsia="Arial" w:hAnsi="Arial"/>
                  <w:sz w:val="18"/>
                  <w:szCs w:val="18"/>
                  <w:color w:val="0000EE"/>
                </w:rPr>
                <w:t>Registration Rights Agreement, dated May</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1">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24, 2010</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6"/>
          </w:tcPr>
          <w:p>
            <w:pPr>
              <w:spacing w:after="0"/>
              <w:rPr>
                <w:rFonts w:ascii="Arial" w:cs="Arial" w:eastAsia="Arial" w:hAnsi="Arial"/>
                <w:sz w:val="18"/>
                <w:szCs w:val="18"/>
                <w:color w:val="0000EE"/>
                <w:w w:val="89"/>
              </w:rPr>
            </w:pPr>
            <w:hyperlink r:id="rId42">
              <w:r>
                <w:rPr>
                  <w:rFonts w:ascii="Arial" w:cs="Arial" w:eastAsia="Arial" w:hAnsi="Arial"/>
                  <w:sz w:val="18"/>
                  <w:szCs w:val="18"/>
                  <w:color w:val="0000EE"/>
                  <w:w w:val="89"/>
                </w:rPr>
                <w:t>Security Agreement, dated May 24, 2010</w:t>
              </w:r>
            </w:hyperlink>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2">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6"/>
          </w:tcPr>
          <w:p>
            <w:pPr>
              <w:spacing w:after="0"/>
              <w:rPr>
                <w:rFonts w:ascii="Arial" w:cs="Arial" w:eastAsia="Arial" w:hAnsi="Arial"/>
                <w:sz w:val="18"/>
                <w:szCs w:val="18"/>
                <w:color w:val="0000EE"/>
                <w:w w:val="88"/>
              </w:rPr>
            </w:pPr>
            <w:hyperlink r:id="rId43">
              <w:r>
                <w:rPr>
                  <w:rFonts w:ascii="Arial" w:cs="Arial" w:eastAsia="Arial" w:hAnsi="Arial"/>
                  <w:sz w:val="18"/>
                  <w:szCs w:val="18"/>
                  <w:color w:val="0000EE"/>
                  <w:w w:val="88"/>
                </w:rPr>
                <w:t>Form of Senior Secured Convertible Note</w:t>
              </w:r>
            </w:hyperlink>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3">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86"/>
              </w:rPr>
            </w:pPr>
            <w:hyperlink r:id="rId44">
              <w:r>
                <w:rPr>
                  <w:rFonts w:ascii="Arial" w:cs="Arial" w:eastAsia="Arial" w:hAnsi="Arial"/>
                  <w:sz w:val="18"/>
                  <w:szCs w:val="18"/>
                  <w:color w:val="0000EE"/>
                  <w:w w:val="86"/>
                </w:rPr>
                <w:t>Form of Series A Warrants</w:t>
              </w:r>
            </w:hyperlink>
          </w:p>
        </w:tc>
        <w:tc>
          <w:tcPr>
            <w:tcW w:w="1080" w:type="dxa"/>
            <w:vAlign w:val="bottom"/>
            <w:gridSpan w:val="6"/>
          </w:tcPr>
          <w:p>
            <w:pPr>
              <w:spacing w:after="0"/>
              <w:rPr>
                <w:sz w:val="24"/>
                <w:szCs w:val="24"/>
                <w:color w:val="auto"/>
              </w:rPr>
            </w:pPr>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86"/>
              </w:rPr>
            </w:pPr>
            <w:hyperlink r:id="rId45">
              <w:r>
                <w:rPr>
                  <w:rFonts w:ascii="Arial" w:cs="Arial" w:eastAsia="Arial" w:hAnsi="Arial"/>
                  <w:sz w:val="18"/>
                  <w:szCs w:val="18"/>
                  <w:color w:val="0000EE"/>
                  <w:w w:val="86"/>
                </w:rPr>
                <w:t>Form of Series B Warrants</w:t>
              </w:r>
            </w:hyperlink>
          </w:p>
        </w:tc>
        <w:tc>
          <w:tcPr>
            <w:tcW w:w="156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46">
              <w:r>
                <w:rPr>
                  <w:rFonts w:ascii="Arial" w:cs="Arial" w:eastAsia="Arial" w:hAnsi="Arial"/>
                  <w:sz w:val="18"/>
                  <w:szCs w:val="18"/>
                  <w:color w:val="0000EE"/>
                </w:rPr>
                <w:t>Form of Series C Warrants</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8</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47">
              <w:r>
                <w:rPr>
                  <w:rFonts w:ascii="Arial" w:cs="Arial" w:eastAsia="Arial" w:hAnsi="Arial"/>
                  <w:sz w:val="18"/>
                  <w:szCs w:val="18"/>
                  <w:color w:val="0000EE"/>
                </w:rPr>
                <w:t>Securities Purchase Agreement, dated</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February 24, 2011</w:t>
              </w:r>
            </w:hyperlink>
          </w:p>
        </w:tc>
        <w:tc>
          <w:tcPr>
            <w:tcW w:w="1400" w:type="dxa"/>
            <w:vAlign w:val="bottom"/>
            <w:tcBorders>
              <w:top w:val="single" w:sz="8" w:color="0000EE"/>
            </w:tcBorders>
            <w:gridSpan w:val="6"/>
          </w:tcPr>
          <w:p>
            <w:pPr>
              <w:spacing w:after="0"/>
              <w:rPr>
                <w:sz w:val="17"/>
                <w:szCs w:val="17"/>
                <w:color w:val="auto"/>
              </w:rPr>
            </w:pPr>
          </w:p>
        </w:tc>
        <w:tc>
          <w:tcPr>
            <w:tcW w:w="72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9</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Form of Convertible Note</w:t>
              </w:r>
            </w:hyperlink>
          </w:p>
        </w:tc>
        <w:tc>
          <w:tcPr>
            <w:tcW w:w="156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4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10</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w w:val="93"/>
              </w:rPr>
            </w:pPr>
            <w:hyperlink r:id="rId49">
              <w:r>
                <w:rPr>
                  <w:rFonts w:ascii="Arial" w:cs="Arial" w:eastAsia="Arial" w:hAnsi="Arial"/>
                  <w:sz w:val="18"/>
                  <w:szCs w:val="18"/>
                  <w:color w:val="0000EE"/>
                  <w:w w:val="93"/>
                </w:rPr>
                <w:t>Security Agreement, dated February 24, 2011</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0"/>
          </w:tcPr>
          <w:p>
            <w:pPr>
              <w:spacing w:after="0"/>
              <w:rPr>
                <w:rFonts w:ascii="Arial" w:cs="Arial" w:eastAsia="Arial" w:hAnsi="Arial"/>
                <w:sz w:val="18"/>
                <w:szCs w:val="18"/>
                <w:color w:val="0000EE"/>
              </w:rPr>
            </w:pPr>
            <w:hyperlink r:id="rId50">
              <w:r>
                <w:rPr>
                  <w:rFonts w:ascii="Arial" w:cs="Arial" w:eastAsia="Arial" w:hAnsi="Arial"/>
                  <w:sz w:val="18"/>
                  <w:szCs w:val="18"/>
                  <w:color w:val="0000EE"/>
                </w:rPr>
                <w:t>Form of Warrant</w:t>
              </w:r>
            </w:hyperlink>
          </w:p>
        </w:tc>
        <w:tc>
          <w:tcPr>
            <w:tcW w:w="1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0"/>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Form of Convertible Note in connection with</w:t>
              </w:r>
            </w:hyperlink>
          </w:p>
        </w:tc>
        <w:tc>
          <w:tcPr>
            <w:tcW w:w="16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4"/>
              </w:rPr>
            </w:pPr>
            <w:hyperlink r:id="rId51">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the sale of same on April 12, 2011</w:t>
              </w:r>
            </w:hyperlink>
          </w:p>
        </w:tc>
        <w:tc>
          <w:tcPr>
            <w:tcW w:w="800" w:type="dxa"/>
            <w:vAlign w:val="bottom"/>
            <w:tcBorders>
              <w:top w:val="single" w:sz="8" w:color="0000EE"/>
            </w:tcBorders>
            <w:gridSpan w:val="8"/>
          </w:tcPr>
          <w:p>
            <w:pPr>
              <w:spacing w:after="0"/>
              <w:rPr>
                <w:sz w:val="17"/>
                <w:szCs w:val="17"/>
                <w:color w:val="auto"/>
              </w:rPr>
            </w:pPr>
          </w:p>
        </w:tc>
        <w:tc>
          <w:tcPr>
            <w:tcW w:w="1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13</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2">
              <w:r>
                <w:rPr>
                  <w:rFonts w:ascii="Arial" w:cs="Arial" w:eastAsia="Arial" w:hAnsi="Arial"/>
                  <w:sz w:val="18"/>
                  <w:szCs w:val="18"/>
                  <w:color w:val="0000EE"/>
                </w:rPr>
                <w:t>Security Agreement dated April 12, 2011</w:t>
              </w:r>
            </w:hyperlink>
          </w:p>
        </w:tc>
        <w:tc>
          <w:tcPr>
            <w:tcW w:w="1280" w:type="dxa"/>
            <w:vAlign w:val="bottom"/>
            <w:gridSpan w:val="4"/>
          </w:tcPr>
          <w:p>
            <w:pPr>
              <w:jc w:val="center"/>
              <w:ind w:right="120"/>
              <w:spacing w:after="0"/>
              <w:rPr>
                <w:rFonts w:ascii="Arial" w:cs="Arial" w:eastAsia="Arial" w:hAnsi="Arial"/>
                <w:sz w:val="18"/>
                <w:szCs w:val="18"/>
                <w:color w:val="0000EE"/>
                <w:w w:val="94"/>
              </w:rPr>
            </w:pPr>
            <w:hyperlink r:id="rId52">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14</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3">
              <w:r>
                <w:rPr>
                  <w:rFonts w:ascii="Arial" w:cs="Arial" w:eastAsia="Arial" w:hAnsi="Arial"/>
                  <w:sz w:val="18"/>
                  <w:szCs w:val="18"/>
                  <w:color w:val="0000EE"/>
                </w:rPr>
                <w:t>Form of Securities Purchase Agreement in</w:t>
              </w:r>
            </w:hyperlink>
          </w:p>
        </w:tc>
        <w:tc>
          <w:tcPr>
            <w:tcW w:w="1280" w:type="dxa"/>
            <w:vAlign w:val="bottom"/>
            <w:gridSpan w:val="4"/>
          </w:tcPr>
          <w:p>
            <w:pPr>
              <w:jc w:val="center"/>
              <w:ind w:right="120"/>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3">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3"/>
          </w:tcPr>
          <w:p>
            <w:pPr>
              <w:spacing w:after="0" w:line="196" w:lineRule="exact"/>
              <w:rPr>
                <w:rFonts w:ascii="Arial" w:cs="Arial" w:eastAsia="Arial" w:hAnsi="Arial"/>
                <w:sz w:val="18"/>
                <w:szCs w:val="18"/>
                <w:color w:val="0000EE"/>
                <w:w w:val="96"/>
              </w:rPr>
            </w:pPr>
            <w:hyperlink r:id="rId53">
              <w:r>
                <w:rPr>
                  <w:rFonts w:ascii="Arial" w:cs="Arial" w:eastAsia="Arial" w:hAnsi="Arial"/>
                  <w:sz w:val="18"/>
                  <w:szCs w:val="18"/>
                  <w:color w:val="0000EE"/>
                  <w:w w:val="96"/>
                </w:rPr>
                <w:t>connection with the sale of Units on April 14,</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53">
              <w:r>
                <w:rPr>
                  <w:rFonts w:ascii="Arial" w:cs="Arial" w:eastAsia="Arial" w:hAnsi="Arial"/>
                  <w:sz w:val="18"/>
                  <w:szCs w:val="18"/>
                  <w:color w:val="0000EE"/>
                  <w:w w:val="84"/>
                </w:rPr>
                <w:t>2011</w:t>
              </w:r>
            </w:hyperlink>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15</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4">
              <w:r>
                <w:rPr>
                  <w:rFonts w:ascii="Arial" w:cs="Arial" w:eastAsia="Arial" w:hAnsi="Arial"/>
                  <w:sz w:val="18"/>
                  <w:szCs w:val="18"/>
                  <w:color w:val="0000EE"/>
                </w:rPr>
                <w:t>Form of Warrant in connection with</w:t>
              </w:r>
            </w:hyperlink>
          </w:p>
        </w:tc>
        <w:tc>
          <w:tcPr>
            <w:tcW w:w="1280" w:type="dxa"/>
            <w:vAlign w:val="bottom"/>
            <w:gridSpan w:val="4"/>
          </w:tcPr>
          <w:p>
            <w:pPr>
              <w:jc w:val="center"/>
              <w:ind w:right="120"/>
              <w:spacing w:after="0"/>
              <w:rPr>
                <w:rFonts w:ascii="Arial" w:cs="Arial" w:eastAsia="Arial" w:hAnsi="Arial"/>
                <w:sz w:val="18"/>
                <w:szCs w:val="18"/>
                <w:color w:val="0000EE"/>
                <w:w w:val="94"/>
              </w:rPr>
            </w:pPr>
            <w:hyperlink r:id="rId54">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15</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4">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3"/>
          </w:tcPr>
          <w:p>
            <w:pPr>
              <w:spacing w:after="0" w:line="196"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Securities Purchase Agreement dated April</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14, 2011</w:t>
              </w:r>
            </w:hyperlink>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16</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5">
              <w:r>
                <w:rPr>
                  <w:rFonts w:ascii="Arial" w:cs="Arial" w:eastAsia="Arial" w:hAnsi="Arial"/>
                  <w:sz w:val="18"/>
                  <w:szCs w:val="18"/>
                  <w:color w:val="0000EE"/>
                </w:rPr>
                <w:t>Form of Common Stock Purchase Warrant</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8/14/14</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8"/>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17</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17"/>
          </w:tcPr>
          <w:p>
            <w:pPr>
              <w:spacing w:after="0"/>
              <w:rPr>
                <w:rFonts w:ascii="Arial" w:cs="Arial" w:eastAsia="Arial" w:hAnsi="Arial"/>
                <w:sz w:val="18"/>
                <w:szCs w:val="18"/>
                <w:color w:val="0000EE"/>
              </w:rPr>
            </w:pPr>
            <w:hyperlink r:id="rId56">
              <w:r>
                <w:rPr>
                  <w:rFonts w:ascii="Arial" w:cs="Arial" w:eastAsia="Arial" w:hAnsi="Arial"/>
                  <w:sz w:val="18"/>
                  <w:szCs w:val="18"/>
                  <w:color w:val="0000EE"/>
                </w:rPr>
                <w:t>Form of Placement Agent Warrant</w:t>
              </w:r>
            </w:hyperlink>
          </w:p>
        </w:tc>
        <w:tc>
          <w:tcPr>
            <w:tcW w:w="38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8/14/14</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8"/>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18</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Series A</w:t>
              </w:r>
            </w:hyperlink>
          </w:p>
        </w:tc>
        <w:tc>
          <w:tcPr>
            <w:tcW w:w="258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19</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Series B</w:t>
              </w:r>
            </w:hyperlink>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4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20</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Series C</w:t>
              </w:r>
            </w:hyperlink>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4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6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6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r:id="rId60">
              <w:r>
                <w:rPr>
                  <w:rFonts w:ascii="Arial" w:cs="Arial" w:eastAsia="Arial" w:hAnsi="Arial"/>
                  <w:sz w:val="18"/>
                  <w:szCs w:val="18"/>
                  <w:color w:val="0000EE"/>
                  <w:w w:val="86"/>
                </w:rPr>
                <w:t>Series D</w:t>
              </w:r>
            </w:hyperlink>
          </w:p>
        </w:tc>
        <w:tc>
          <w:tcPr>
            <w:tcW w:w="258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6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6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31" w:name="page32"/>
    <w:bookmarkEnd w:id="31"/>
    <w:p>
      <w:pPr>
        <w:ind w:left="80"/>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Series E</w:t>
        </w:r>
      </w:hyperlink>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number</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12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460" w:type="dxa"/>
            <w:vAlign w:val="bottom"/>
          </w:tcPr>
          <w:p>
            <w:pPr>
              <w:spacing w:after="0"/>
              <w:rPr>
                <w:sz w:val="20"/>
                <w:szCs w:val="20"/>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4"/>
          </w:tcPr>
          <w:p>
            <w:pPr>
              <w:ind w:left="26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4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center"/>
              <w:spacing w:after="0" w:line="170"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23</w:t>
              </w:r>
            </w:hyperlink>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Borders>
              <w:top w:val="single" w:sz="8" w:color="auto"/>
            </w:tcBorders>
            <w:gridSpan w:val="12"/>
          </w:tcPr>
          <w:p>
            <w:pPr>
              <w:spacing w:after="0" w:line="170"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Form of Placement Agent Common Stock</w:t>
              </w:r>
            </w:hyperlink>
          </w:p>
        </w:tc>
        <w:tc>
          <w:tcPr>
            <w:tcW w:w="280" w:type="dxa"/>
            <w:vAlign w:val="bottom"/>
            <w:tcBorders>
              <w:top w:val="single" w:sz="8" w:color="auto"/>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gridSpan w:val="3"/>
          </w:tcPr>
          <w:p>
            <w:pPr>
              <w:jc w:val="center"/>
              <w:spacing w:after="0" w:line="170" w:lineRule="exact"/>
              <w:rPr>
                <w:rFonts w:ascii="Arial" w:cs="Arial" w:eastAsia="Arial" w:hAnsi="Arial"/>
                <w:sz w:val="18"/>
                <w:szCs w:val="18"/>
                <w:color w:val="0000EE"/>
                <w:w w:val="99"/>
              </w:rPr>
            </w:pPr>
            <w:hyperlink r:id="rId63">
              <w:r>
                <w:rPr>
                  <w:rFonts w:ascii="Arial" w:cs="Arial" w:eastAsia="Arial" w:hAnsi="Arial"/>
                  <w:sz w:val="18"/>
                  <w:szCs w:val="18"/>
                  <w:color w:val="0000EE"/>
                  <w:w w:val="99"/>
                </w:rPr>
                <w:t>8-K</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000-27239</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87"/>
              </w:rPr>
            </w:pPr>
            <w:hyperlink r:id="rId6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gridSpan w:val="4"/>
          </w:tcPr>
          <w:p>
            <w:pPr>
              <w:jc w:val="center"/>
              <w:spacing w:after="0" w:line="170"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1/12/15</w:t>
              </w:r>
            </w:hyperlink>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3">
              <w:r>
                <w:rPr>
                  <w:rFonts w:ascii="Arial" w:cs="Arial" w:eastAsia="Arial" w:hAnsi="Arial"/>
                  <w:sz w:val="18"/>
                  <w:szCs w:val="18"/>
                  <w:color w:val="0000EE"/>
                  <w:w w:val="87"/>
                </w:rPr>
                <w:t>Purchase Warrants-Series A</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4">
              <w:r>
                <w:rPr>
                  <w:rFonts w:ascii="Arial" w:cs="Arial" w:eastAsia="Arial" w:hAnsi="Arial"/>
                  <w:sz w:val="18"/>
                  <w:szCs w:val="18"/>
                  <w:color w:val="0000EE"/>
                  <w:w w:val="87"/>
                </w:rPr>
                <w:t>Purchase Warrants-Series B</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Purchase Warrants-Series C</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6">
              <w:r>
                <w:rPr>
                  <w:rFonts w:ascii="Arial" w:cs="Arial" w:eastAsia="Arial" w:hAnsi="Arial"/>
                  <w:sz w:val="18"/>
                  <w:szCs w:val="18"/>
                  <w:color w:val="0000EE"/>
                  <w:w w:val="87"/>
                </w:rPr>
                <w:t>Purchase Warrants-Series D</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6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r:id="rId67">
              <w:r>
                <w:rPr>
                  <w:rFonts w:ascii="Arial" w:cs="Arial" w:eastAsia="Arial" w:hAnsi="Arial"/>
                  <w:sz w:val="18"/>
                  <w:szCs w:val="18"/>
                  <w:color w:val="0000EE"/>
                  <w:w w:val="86"/>
                </w:rPr>
                <w:t>Purchase Warrants-Series E</w:t>
              </w:r>
            </w:hyperlink>
          </w:p>
        </w:tc>
        <w:tc>
          <w:tcPr>
            <w:tcW w:w="1040" w:type="dxa"/>
            <w:vAlign w:val="bottom"/>
            <w:tcBorders>
              <w:top w:val="single" w:sz="8" w:color="0000EE"/>
            </w:tcBorders>
            <w:gridSpan w:val="6"/>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Series A-1</w:t>
              </w:r>
            </w:hyperlink>
          </w:p>
        </w:tc>
        <w:tc>
          <w:tcPr>
            <w:tcW w:w="242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69">
              <w:r>
                <w:rPr>
                  <w:rFonts w:ascii="Arial" w:cs="Arial" w:eastAsia="Arial" w:hAnsi="Arial"/>
                  <w:sz w:val="18"/>
                  <w:szCs w:val="18"/>
                  <w:color w:val="0000EE"/>
                  <w:w w:val="88"/>
                </w:rPr>
                <w:t>Series B-1</w:t>
              </w:r>
            </w:hyperlink>
          </w:p>
        </w:tc>
        <w:tc>
          <w:tcPr>
            <w:tcW w:w="2440" w:type="dxa"/>
            <w:vAlign w:val="bottom"/>
            <w:tcBorders>
              <w:top w:val="single" w:sz="8" w:color="0000EE"/>
            </w:tcBorders>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70">
              <w:r>
                <w:rPr>
                  <w:rFonts w:ascii="Arial" w:cs="Arial" w:eastAsia="Arial" w:hAnsi="Arial"/>
                  <w:sz w:val="18"/>
                  <w:szCs w:val="18"/>
                  <w:color w:val="0000EE"/>
                  <w:w w:val="86"/>
                </w:rPr>
                <w:t>Series C-1</w:t>
              </w:r>
            </w:hyperlink>
          </w:p>
        </w:tc>
        <w:tc>
          <w:tcPr>
            <w:tcW w:w="2440" w:type="dxa"/>
            <w:vAlign w:val="bottom"/>
            <w:tcBorders>
              <w:top w:val="single" w:sz="8" w:color="0000EE"/>
            </w:tcBorders>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Series D-1</w:t>
              </w:r>
            </w:hyperlink>
          </w:p>
        </w:tc>
        <w:tc>
          <w:tcPr>
            <w:tcW w:w="242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Series E-1</w:t>
              </w:r>
            </w:hyperlink>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3">
              <w:r>
                <w:rPr>
                  <w:rFonts w:ascii="Arial" w:cs="Arial" w:eastAsia="Arial" w:hAnsi="Arial"/>
                  <w:sz w:val="18"/>
                  <w:szCs w:val="18"/>
                  <w:color w:val="0000EE"/>
                  <w:w w:val="87"/>
                </w:rPr>
                <w:t>Purchase Warrants-Series A-1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4">
              <w:r>
                <w:rPr>
                  <w:rFonts w:ascii="Arial" w:cs="Arial" w:eastAsia="Arial" w:hAnsi="Arial"/>
                  <w:sz w:val="18"/>
                  <w:szCs w:val="18"/>
                  <w:color w:val="0000EE"/>
                  <w:w w:val="87"/>
                </w:rPr>
                <w:t>Purchase Warrants-Series B-1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5">
              <w:r>
                <w:rPr>
                  <w:rFonts w:ascii="Arial" w:cs="Arial" w:eastAsia="Arial" w:hAnsi="Arial"/>
                  <w:sz w:val="18"/>
                  <w:szCs w:val="18"/>
                  <w:color w:val="0000EE"/>
                  <w:w w:val="87"/>
                </w:rPr>
                <w:t>Purchase Warrants-Series C-1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6">
              <w:r>
                <w:rPr>
                  <w:rFonts w:ascii="Arial" w:cs="Arial" w:eastAsia="Arial" w:hAnsi="Arial"/>
                  <w:sz w:val="18"/>
                  <w:szCs w:val="18"/>
                  <w:color w:val="0000EE"/>
                  <w:w w:val="87"/>
                </w:rPr>
                <w:t>Purchase Warrants-Series D-1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7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Purchase Warrants-Series E-1</w:t>
              </w:r>
            </w:hyperlink>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Borders>
              <w:top w:val="single" w:sz="8" w:color="0000EE"/>
            </w:tcBorders>
            <w:gridSpan w:val="8"/>
          </w:tcPr>
          <w:p>
            <w:pP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Form of 2016 PIPE Warrant</w:t>
              </w:r>
            </w:hyperlink>
          </w:p>
        </w:tc>
        <w:tc>
          <w:tcPr>
            <w:tcW w:w="1300" w:type="dxa"/>
            <w:vAlign w:val="bottom"/>
            <w:gridSpan w:val="7"/>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79">
              <w:r>
                <w:rPr>
                  <w:rFonts w:ascii="Arial" w:cs="Arial" w:eastAsia="Arial" w:hAnsi="Arial"/>
                  <w:sz w:val="18"/>
                  <w:szCs w:val="18"/>
                  <w:color w:val="0000EE"/>
                  <w:w w:val="88"/>
                </w:rPr>
                <w:t>Form of Amended Series A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80">
              <w:r>
                <w:rPr>
                  <w:rFonts w:ascii="Arial" w:cs="Arial" w:eastAsia="Arial" w:hAnsi="Arial"/>
                  <w:sz w:val="18"/>
                  <w:szCs w:val="18"/>
                  <w:color w:val="0000EE"/>
                  <w:w w:val="88"/>
                </w:rPr>
                <w:t>Form of Amended Series C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81">
              <w:r>
                <w:rPr>
                  <w:rFonts w:ascii="Arial" w:cs="Arial" w:eastAsia="Arial" w:hAnsi="Arial"/>
                  <w:sz w:val="18"/>
                  <w:szCs w:val="18"/>
                  <w:color w:val="0000EE"/>
                  <w:w w:val="88"/>
                </w:rPr>
                <w:t>Form of Amended Series D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82">
              <w:r>
                <w:rPr>
                  <w:rFonts w:ascii="Arial" w:cs="Arial" w:eastAsia="Arial" w:hAnsi="Arial"/>
                  <w:sz w:val="18"/>
                  <w:szCs w:val="18"/>
                  <w:color w:val="0000EE"/>
                  <w:w w:val="88"/>
                </w:rPr>
                <w:t>Form of Amended Series E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Form of Amended Series A-1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Form of Amended Series D-1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Form of Amended Series E-1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Form of Series F Warrant</w:t>
              </w:r>
            </w:hyperlink>
          </w:p>
        </w:tc>
        <w:tc>
          <w:tcPr>
            <w:tcW w:w="900" w:type="dxa"/>
            <w:vAlign w:val="bottom"/>
            <w:gridSpan w:val="7"/>
          </w:tcPr>
          <w:p>
            <w:pPr>
              <w:spacing w:after="0"/>
              <w:rPr>
                <w:sz w:val="24"/>
                <w:szCs w:val="24"/>
                <w:color w:val="auto"/>
              </w:rPr>
            </w:pPr>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15"/>
          </w:tcPr>
          <w:p>
            <w:pPr>
              <w:spacing w:after="0"/>
              <w:rPr>
                <w:rFonts w:ascii="Arial" w:cs="Arial" w:eastAsia="Arial" w:hAnsi="Arial"/>
                <w:sz w:val="18"/>
                <w:szCs w:val="18"/>
                <w:color w:val="0000EE"/>
              </w:rPr>
            </w:pPr>
            <w:hyperlink r:id="rId87">
              <w:r>
                <w:rPr>
                  <w:rFonts w:ascii="Arial" w:cs="Arial" w:eastAsia="Arial" w:hAnsi="Arial"/>
                  <w:sz w:val="18"/>
                  <w:szCs w:val="18"/>
                  <w:color w:val="0000EE"/>
                </w:rPr>
                <w:t>Form of Series F-1 Warrant</w:t>
              </w:r>
            </w:hyperlink>
          </w:p>
        </w:tc>
        <w:tc>
          <w:tcPr>
            <w:tcW w:w="1280" w:type="dxa"/>
            <w:vAlign w:val="bottom"/>
            <w:gridSpan w:val="4"/>
          </w:tcPr>
          <w:p>
            <w:pPr>
              <w:jc w:val="center"/>
              <w:ind w:right="120"/>
              <w:spacing w:after="0"/>
              <w:rPr>
                <w:rFonts w:ascii="Arial" w:cs="Arial" w:eastAsia="Arial" w:hAnsi="Arial"/>
                <w:sz w:val="18"/>
                <w:szCs w:val="18"/>
                <w:color w:val="0000EE"/>
                <w:w w:val="99"/>
              </w:rPr>
            </w:pPr>
            <w:hyperlink r:id="rId8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8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9"/>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2016 Broker Warrant</w:t>
              </w:r>
            </w:hyperlink>
          </w:p>
        </w:tc>
        <w:tc>
          <w:tcPr>
            <w:tcW w:w="1260" w:type="dxa"/>
            <w:vAlign w:val="bottom"/>
            <w:gridSpan w:val="6"/>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290"/>
              <w:spacing w:after="0"/>
              <w:rPr>
                <w:rFonts w:ascii="Arial" w:cs="Arial" w:eastAsia="Arial" w:hAnsi="Arial"/>
                <w:sz w:val="18"/>
                <w:szCs w:val="18"/>
                <w:color w:val="0000EE"/>
                <w:w w:val="85"/>
              </w:rPr>
            </w:pPr>
            <w:hyperlink r:id="rId8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441" w:gutter="0" w:footer="0" w:header="0"/>
        </w:sectPr>
      </w:pPr>
    </w:p>
    <w:bookmarkStart w:id="33" w:name="page34"/>
    <w:bookmarkEnd w:id="33"/>
    <w:p>
      <w:pPr>
        <w:jc w:val="center"/>
        <w:ind w:right="-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44450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9"/>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29"/>
          </w:tcPr>
          <w:p>
            <w:pPr>
              <w:ind w:left="500"/>
              <w:spacing w:after="0"/>
              <w:rPr>
                <w:sz w:val="20"/>
                <w:szCs w:val="20"/>
                <w:color w:val="auto"/>
              </w:rPr>
            </w:pPr>
            <w:r>
              <w:rPr>
                <w:rFonts w:ascii="Arial" w:cs="Arial" w:eastAsia="Arial" w:hAnsi="Arial"/>
                <w:sz w:val="18"/>
                <w:szCs w:val="18"/>
                <w:b w:val="1"/>
                <w:bCs w:val="1"/>
                <w:color w:val="auto"/>
              </w:rPr>
              <w:t>Exhibit description</w:t>
            </w:r>
          </w:p>
        </w:tc>
        <w:tc>
          <w:tcPr>
            <w:tcW w:w="280" w:type="dxa"/>
            <w:vAlign w:val="bottom"/>
          </w:tcPr>
          <w:p>
            <w:pPr>
              <w:spacing w:after="0"/>
              <w:rPr>
                <w:sz w:val="20"/>
                <w:szCs w:val="20"/>
                <w:color w:val="auto"/>
              </w:rPr>
            </w:pPr>
          </w:p>
        </w:tc>
        <w:tc>
          <w:tcPr>
            <w:tcW w:w="10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7"/>
              </w:rPr>
              <w:t>Form</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4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center"/>
              <w:spacing w:after="0" w:line="170" w:lineRule="exact"/>
              <w:rPr>
                <w:rFonts w:ascii="Arial" w:cs="Arial" w:eastAsia="Arial" w:hAnsi="Arial"/>
                <w:sz w:val="18"/>
                <w:szCs w:val="18"/>
                <w:color w:val="0000EE"/>
                <w:w w:val="79"/>
              </w:rPr>
            </w:pPr>
            <w:hyperlink r:id="rId9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49</w:t>
              </w:r>
            </w:hyperlink>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top w:val="single" w:sz="8" w:color="auto"/>
            </w:tcBorders>
            <w:gridSpan w:val="9"/>
          </w:tcPr>
          <w:p>
            <w:pPr>
              <w:spacing w:after="0" w:line="170"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Form of 2017 PIPE Warrant</w:t>
              </w:r>
            </w:hyperlink>
          </w:p>
        </w:tc>
        <w:tc>
          <w:tcPr>
            <w:tcW w:w="1320" w:type="dxa"/>
            <w:vAlign w:val="bottom"/>
            <w:tcBorders>
              <w:top w:val="single" w:sz="8" w:color="auto"/>
            </w:tcBorders>
            <w:gridSpan w:val="21"/>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6"/>
          </w:tcPr>
          <w:p>
            <w:pPr>
              <w:jc w:val="center"/>
              <w:ind w:right="260"/>
              <w:spacing w:after="0" w:line="170" w:lineRule="exact"/>
              <w:rPr>
                <w:rFonts w:ascii="Arial" w:cs="Arial" w:eastAsia="Arial" w:hAnsi="Arial"/>
                <w:sz w:val="18"/>
                <w:szCs w:val="18"/>
                <w:color w:val="0000EE"/>
                <w:w w:val="99"/>
              </w:rPr>
            </w:pPr>
            <w:hyperlink r:id="rId90">
              <w:r>
                <w:rPr>
                  <w:rFonts w:ascii="Arial" w:cs="Arial" w:eastAsia="Arial" w:hAnsi="Arial"/>
                  <w:sz w:val="18"/>
                  <w:szCs w:val="18"/>
                  <w:color w:val="0000EE"/>
                  <w:w w:val="99"/>
                </w:rPr>
                <w:t>8-K</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3"/>
          </w:tcPr>
          <w:p>
            <w:pPr>
              <w:jc w:val="center"/>
              <w:ind w:left="370"/>
              <w:spacing w:after="0" w:line="170"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001-37939</w:t>
              </w:r>
            </w:hyperlink>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gridSpan w:val="3"/>
          </w:tcPr>
          <w:p>
            <w:pPr>
              <w:jc w:val="center"/>
              <w:ind w:left="330"/>
              <w:spacing w:after="0" w:line="170"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gridSpan w:val="5"/>
          </w:tcPr>
          <w:p>
            <w:pPr>
              <w:jc w:val="center"/>
              <w:ind w:left="190"/>
              <w:spacing w:after="0" w:line="170"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6/22/17</w:t>
              </w:r>
            </w:hyperlink>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000" w:type="dxa"/>
            <w:vAlign w:val="bottom"/>
            <w:tcBorders>
              <w:left w:val="single" w:sz="8" w:color="0000EE"/>
              <w:right w:val="single" w:sz="8" w:color="0000EE"/>
            </w:tcBorders>
            <w:gridSpan w:val="37"/>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6"/>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2017 Broker PIPE Warrant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91">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001-37939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left="330"/>
              <w:spacing w:after="0"/>
              <w:rPr>
                <w:rFonts w:ascii="Arial" w:cs="Arial" w:eastAsia="Arial" w:hAnsi="Arial"/>
                <w:sz w:val="18"/>
                <w:szCs w:val="18"/>
                <w:color w:val="0000EE"/>
                <w:w w:val="87"/>
              </w:rPr>
            </w:pPr>
            <w:hyperlink r:id="rId9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60" w:type="dxa"/>
            <w:vAlign w:val="bottom"/>
            <w:tcBorders>
              <w:right w:val="single" w:sz="8" w:color="0000EE"/>
            </w:tcBorders>
            <w:gridSpan w:val="35"/>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6"/>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2">
              <w:r>
                <w:rPr>
                  <w:rFonts w:ascii="Arial" w:cs="Arial" w:eastAsia="Arial" w:hAnsi="Arial"/>
                  <w:sz w:val="18"/>
                  <w:szCs w:val="18"/>
                  <w:color w:val="0000EE"/>
                </w:rPr>
                <w:t>Opinion of Shumaker, Loop &amp; Kendrick,</w:t>
              </w:r>
            </w:hyperlink>
          </w:p>
        </w:tc>
        <w:tc>
          <w:tcPr>
            <w:tcW w:w="1280" w:type="dxa"/>
            <w:vAlign w:val="bottom"/>
            <w:gridSpan w:val="8"/>
          </w:tcPr>
          <w:p>
            <w:pPr>
              <w:jc w:val="center"/>
              <w:ind w:right="160"/>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Form S-3</w:t>
              </w:r>
            </w:hyperlink>
          </w:p>
        </w:tc>
        <w:tc>
          <w:tcPr>
            <w:tcW w:w="1700" w:type="dxa"/>
            <w:vAlign w:val="bottom"/>
            <w:gridSpan w:val="5"/>
          </w:tcPr>
          <w:p>
            <w:pPr>
              <w:jc w:val="right"/>
              <w:ind w:right="400"/>
              <w:spacing w:after="0"/>
              <w:rPr>
                <w:rFonts w:ascii="Arial" w:cs="Arial" w:eastAsia="Arial" w:hAnsi="Arial"/>
                <w:sz w:val="18"/>
                <w:szCs w:val="18"/>
                <w:color w:val="0000EE"/>
              </w:rPr>
            </w:pPr>
            <w:hyperlink r:id="rId92">
              <w:r>
                <w:rPr>
                  <w:rFonts w:ascii="Arial" w:cs="Arial" w:eastAsia="Arial" w:hAnsi="Arial"/>
                  <w:sz w:val="18"/>
                  <w:szCs w:val="18"/>
                  <w:color w:val="0000EE"/>
                </w:rPr>
                <w:t>333-220538</w:t>
              </w:r>
            </w:hyperlink>
          </w:p>
        </w:tc>
        <w:tc>
          <w:tcPr>
            <w:tcW w:w="100" w:type="dxa"/>
            <w:vAlign w:val="bottom"/>
          </w:tcPr>
          <w:p>
            <w:pPr>
              <w:spacing w:after="0"/>
              <w:rPr>
                <w:sz w:val="24"/>
                <w:szCs w:val="24"/>
                <w:color w:val="auto"/>
              </w:rPr>
            </w:pPr>
          </w:p>
        </w:tc>
        <w:tc>
          <w:tcPr>
            <w:tcW w:w="620" w:type="dxa"/>
            <w:vAlign w:val="bottom"/>
            <w:gridSpan w:val="2"/>
          </w:tcPr>
          <w:p>
            <w:pPr>
              <w:jc w:val="center"/>
              <w:ind w:left="310"/>
              <w:spacing w:after="0"/>
              <w:rPr>
                <w:rFonts w:ascii="Arial" w:cs="Arial" w:eastAsia="Arial" w:hAnsi="Arial"/>
                <w:sz w:val="18"/>
                <w:szCs w:val="18"/>
                <w:color w:val="0000EE"/>
                <w:w w:val="87"/>
              </w:rPr>
            </w:pPr>
            <w:hyperlink r:id="rId92">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left="170"/>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9/20/17</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LLP</w:t>
              </w:r>
            </w:hyperlink>
          </w:p>
        </w:tc>
        <w:tc>
          <w:tcPr>
            <w:tcW w:w="2640" w:type="dxa"/>
            <w:vAlign w:val="bottom"/>
            <w:tcBorders>
              <w:top w:val="single" w:sz="8" w:color="0000EE"/>
            </w:tcBorders>
            <w:gridSpan w:val="17"/>
          </w:tcPr>
          <w:p>
            <w:pPr>
              <w:spacing w:after="0"/>
              <w:rPr>
                <w:sz w:val="15"/>
                <w:szCs w:val="15"/>
                <w:color w:val="auto"/>
              </w:rPr>
            </w:pPr>
          </w:p>
        </w:tc>
        <w:tc>
          <w:tcPr>
            <w:tcW w:w="480" w:type="dxa"/>
            <w:vAlign w:val="bottom"/>
            <w:gridSpan w:val="13"/>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3">
              <w:r>
                <w:rPr>
                  <w:rFonts w:ascii="Arial" w:cs="Arial" w:eastAsia="Arial" w:hAnsi="Arial"/>
                  <w:sz w:val="18"/>
                  <w:szCs w:val="18"/>
                  <w:color w:val="0000EE"/>
                </w:rPr>
                <w:t>Executive Services Agreement with Denis</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10-QSB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140" w:type="dxa"/>
            <w:vAlign w:val="bottom"/>
            <w:gridSpan w:val="7"/>
          </w:tcPr>
          <w:p>
            <w:pPr>
              <w:jc w:val="center"/>
              <w:spacing w:after="0"/>
              <w:rPr>
                <w:rFonts w:ascii="Arial" w:cs="Arial" w:eastAsia="Arial" w:hAnsi="Arial"/>
                <w:sz w:val="18"/>
                <w:szCs w:val="18"/>
                <w:color w:val="0000EE"/>
                <w:w w:val="88"/>
              </w:rPr>
            </w:pPr>
            <w:hyperlink r:id="rId93">
              <w:r>
                <w:rPr>
                  <w:rFonts w:ascii="Arial" w:cs="Arial" w:eastAsia="Arial" w:hAnsi="Arial"/>
                  <w:sz w:val="18"/>
                  <w:szCs w:val="18"/>
                  <w:color w:val="0000EE"/>
                  <w:w w:val="88"/>
                </w:rPr>
                <w:t>11/14/07</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Corin</w:t>
              </w:r>
            </w:hyperlink>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4">
              <w:r>
                <w:rPr>
                  <w:rFonts w:ascii="Arial" w:cs="Arial" w:eastAsia="Arial" w:hAnsi="Arial"/>
                  <w:sz w:val="18"/>
                  <w:szCs w:val="18"/>
                  <w:color w:val="0000EE"/>
                </w:rPr>
                <w:t>Amended Executive Services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10-QSB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140" w:type="dxa"/>
            <w:vAlign w:val="bottom"/>
            <w:gridSpan w:val="7"/>
          </w:tcPr>
          <w:p>
            <w:pPr>
              <w:jc w:val="center"/>
              <w:spacing w:after="0"/>
              <w:rPr>
                <w:rFonts w:ascii="Arial" w:cs="Arial" w:eastAsia="Arial" w:hAnsi="Arial"/>
                <w:sz w:val="18"/>
                <w:szCs w:val="18"/>
                <w:color w:val="0000EE"/>
                <w:w w:val="88"/>
              </w:rPr>
            </w:pPr>
            <w:hyperlink r:id="rId94">
              <w:r>
                <w:rPr>
                  <w:rFonts w:ascii="Arial" w:cs="Arial" w:eastAsia="Arial" w:hAnsi="Arial"/>
                  <w:sz w:val="18"/>
                  <w:szCs w:val="18"/>
                  <w:color w:val="0000EE"/>
                  <w:w w:val="88"/>
                </w:rPr>
                <w:t>11/14/07</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with Denis Corin</w:t>
              </w:r>
            </w:hyperlink>
          </w:p>
        </w:tc>
        <w:tc>
          <w:tcPr>
            <w:tcW w:w="1720" w:type="dxa"/>
            <w:vAlign w:val="bottom"/>
            <w:tcBorders>
              <w:top w:val="single" w:sz="8" w:color="0000EE"/>
            </w:tcBorders>
            <w:gridSpan w:val="13"/>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7"/>
          </w:tcPr>
          <w:p>
            <w:pP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License Agreement made March 6, 2000</w:t>
              </w:r>
            </w:hyperlink>
          </w:p>
        </w:tc>
        <w:tc>
          <w:tcPr>
            <w:tcW w:w="52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3"/>
          </w:tcPr>
          <w:p>
            <w:pPr>
              <w:jc w:val="center"/>
              <w:spacing w:after="0"/>
              <w:rPr>
                <w:rFonts w:ascii="Arial" w:cs="Arial" w:eastAsia="Arial" w:hAnsi="Arial"/>
                <w:sz w:val="18"/>
                <w:szCs w:val="18"/>
                <w:color w:val="0000EE"/>
                <w:w w:val="96"/>
              </w:rPr>
            </w:pPr>
            <w:hyperlink r:id="rId95">
              <w:r>
                <w:rPr>
                  <w:rFonts w:ascii="Arial" w:cs="Arial" w:eastAsia="Arial" w:hAnsi="Arial"/>
                  <w:sz w:val="18"/>
                  <w:szCs w:val="18"/>
                  <w:color w:val="0000EE"/>
                  <w:w w:val="96"/>
                </w:rPr>
                <w:t>10-KSB</w:t>
              </w:r>
            </w:hyperlink>
          </w:p>
        </w:tc>
        <w:tc>
          <w:tcPr>
            <w:tcW w:w="400" w:type="dxa"/>
            <w:vAlign w:val="bottom"/>
            <w:gridSpan w:val="4"/>
          </w:tcPr>
          <w:p>
            <w:pPr>
              <w:spacing w:after="0"/>
              <w:rPr>
                <w:sz w:val="24"/>
                <w:szCs w:val="24"/>
                <w:color w:val="auto"/>
              </w:rPr>
            </w:pPr>
          </w:p>
        </w:tc>
        <w:tc>
          <w:tcPr>
            <w:tcW w:w="1240" w:type="dxa"/>
            <w:vAlign w:val="bottom"/>
            <w:gridSpan w:val="3"/>
          </w:tcPr>
          <w:p>
            <w:pPr>
              <w:jc w:val="center"/>
              <w:ind w:left="370"/>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4100" w:type="dxa"/>
            <w:vAlign w:val="bottom"/>
            <w:tcBorders>
              <w:left w:val="single" w:sz="8" w:color="0000EE"/>
              <w:right w:val="single" w:sz="8" w:color="0000EE"/>
            </w:tcBorders>
            <w:gridSpan w:val="29"/>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gridSpan w:val="5"/>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between GeneMax Pharmaceuticals, UBC</w:t>
              </w:r>
            </w:hyperlink>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and Dr. Jefferies</w:t>
              </w:r>
            </w:hyperlink>
          </w:p>
        </w:tc>
        <w:tc>
          <w:tcPr>
            <w:tcW w:w="2260" w:type="dxa"/>
            <w:vAlign w:val="bottom"/>
            <w:gridSpan w:val="27"/>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6">
              <w:r>
                <w:rPr>
                  <w:rFonts w:ascii="Arial" w:cs="Arial" w:eastAsia="Arial" w:hAnsi="Arial"/>
                  <w:sz w:val="18"/>
                  <w:szCs w:val="18"/>
                  <w:color w:val="0000EE"/>
                </w:rPr>
                <w:t>Collaborative Research Agreement made</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6"/>
              </w:rPr>
            </w:pPr>
            <w:hyperlink r:id="rId96">
              <w:r>
                <w:rPr>
                  <w:rFonts w:ascii="Arial" w:cs="Arial" w:eastAsia="Arial" w:hAnsi="Arial"/>
                  <w:sz w:val="18"/>
                  <w:szCs w:val="18"/>
                  <w:color w:val="0000EE"/>
                  <w:w w:val="96"/>
                </w:rPr>
                <w:t>10-KSB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September 1, 2000 between GeneMax</w:t>
              </w:r>
            </w:hyperlink>
          </w:p>
        </w:tc>
        <w:tc>
          <w:tcPr>
            <w:tcW w:w="200" w:type="dxa"/>
            <w:vAlign w:val="bottom"/>
            <w:tcBorders>
              <w:top w:val="single" w:sz="8" w:color="0000EE"/>
            </w:tcBorders>
            <w:gridSpan w:val="3"/>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Pharmaceuticals, GeneMax Pharmaceuticals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Inc. and UBC</w:t>
              </w:r>
            </w:hyperlink>
          </w:p>
        </w:tc>
        <w:tc>
          <w:tcPr>
            <w:tcW w:w="2200" w:type="dxa"/>
            <w:vAlign w:val="bottom"/>
            <w:tcBorders>
              <w:top w:val="single" w:sz="8" w:color="0000EE"/>
            </w:tcBorders>
            <w:gridSpan w:val="23"/>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Production Services Agreement made March</w:t>
              </w:r>
            </w:hyperlink>
          </w:p>
        </w:tc>
        <w:tc>
          <w:tcPr>
            <w:tcW w:w="20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3"/>
          </w:tcPr>
          <w:p>
            <w:pPr>
              <w:jc w:val="center"/>
              <w:spacing w:after="0"/>
              <w:rPr>
                <w:rFonts w:ascii="Arial" w:cs="Arial" w:eastAsia="Arial" w:hAnsi="Arial"/>
                <w:sz w:val="18"/>
                <w:szCs w:val="18"/>
                <w:color w:val="0000EE"/>
                <w:w w:val="96"/>
              </w:rPr>
            </w:pPr>
            <w:hyperlink r:id="rId97">
              <w:r>
                <w:rPr>
                  <w:rFonts w:ascii="Arial" w:cs="Arial" w:eastAsia="Arial" w:hAnsi="Arial"/>
                  <w:sz w:val="18"/>
                  <w:szCs w:val="18"/>
                  <w:color w:val="0000EE"/>
                  <w:w w:val="96"/>
                </w:rPr>
                <w:t>10-KSB</w:t>
              </w:r>
            </w:hyperlink>
          </w:p>
        </w:tc>
        <w:tc>
          <w:tcPr>
            <w:tcW w:w="400" w:type="dxa"/>
            <w:vAlign w:val="bottom"/>
            <w:gridSpan w:val="4"/>
          </w:tcPr>
          <w:p>
            <w:pPr>
              <w:spacing w:after="0"/>
              <w:rPr>
                <w:sz w:val="24"/>
                <w:szCs w:val="24"/>
                <w:color w:val="auto"/>
              </w:rPr>
            </w:pPr>
          </w:p>
        </w:tc>
        <w:tc>
          <w:tcPr>
            <w:tcW w:w="1240" w:type="dxa"/>
            <w:vAlign w:val="bottom"/>
            <w:gridSpan w:val="3"/>
          </w:tcPr>
          <w:p>
            <w:pPr>
              <w:jc w:val="center"/>
              <w:ind w:left="370"/>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18, 2003 between the Company and</w:t>
              </w:r>
            </w:hyperlink>
          </w:p>
        </w:tc>
        <w:tc>
          <w:tcPr>
            <w:tcW w:w="2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Molecular Medicine</w:t>
              </w:r>
            </w:hyperlink>
          </w:p>
        </w:tc>
        <w:tc>
          <w:tcPr>
            <w:tcW w:w="860" w:type="dxa"/>
            <w:vAlign w:val="bottom"/>
            <w:gridSpan w:val="19"/>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8">
              <w:r>
                <w:rPr>
                  <w:rFonts w:ascii="Arial" w:cs="Arial" w:eastAsia="Arial" w:hAnsi="Arial"/>
                  <w:sz w:val="18"/>
                  <w:szCs w:val="18"/>
                  <w:color w:val="0000EE"/>
                </w:rPr>
                <w:t>Biological Materials Transfer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10-KSB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made October 21, 2003 between the</w:t>
              </w:r>
            </w:hyperlink>
          </w:p>
        </w:tc>
        <w:tc>
          <w:tcPr>
            <w:tcW w:w="360" w:type="dxa"/>
            <w:vAlign w:val="bottom"/>
            <w:tcBorders>
              <w:top w:val="single" w:sz="8" w:color="0000EE"/>
            </w:tcBorders>
            <w:gridSpan w:val="5"/>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Company and National Institutes of Health</w:t>
              </w:r>
            </w:hyperlink>
          </w:p>
        </w:tc>
        <w:tc>
          <w:tcPr>
            <w:tcW w:w="34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7"/>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Option and Settlement Agreement made</w:t>
              </w:r>
            </w:hyperlink>
          </w:p>
        </w:tc>
        <w:tc>
          <w:tcPr>
            <w:tcW w:w="52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4"/>
          </w:tcPr>
          <w:p>
            <w:pPr>
              <w:jc w:val="center"/>
              <w:ind w:left="210"/>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2/3/06</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January 23, 2006 between GeneMax</w:t>
              </w:r>
            </w:hyperlink>
          </w:p>
        </w:tc>
        <w:tc>
          <w:tcPr>
            <w:tcW w:w="280" w:type="dxa"/>
            <w:vAlign w:val="bottom"/>
            <w:tcBorders>
              <w:top w:val="single" w:sz="8" w:color="0000EE"/>
            </w:tcBorders>
            <w:gridSpan w:val="3"/>
          </w:tcPr>
          <w:p>
            <w:pPr>
              <w:spacing w:after="0"/>
              <w:rPr>
                <w:sz w:val="17"/>
                <w:szCs w:val="17"/>
                <w:color w:val="auto"/>
              </w:rPr>
            </w:pPr>
          </w:p>
        </w:tc>
        <w:tc>
          <w:tcPr>
            <w:tcW w:w="52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99">
              <w:r>
                <w:rPr>
                  <w:rFonts w:ascii="Arial" w:cs="Arial" w:eastAsia="Arial" w:hAnsi="Arial"/>
                  <w:sz w:val="18"/>
                  <w:szCs w:val="18"/>
                  <w:color w:val="0000EE"/>
                  <w:w w:val="95"/>
                </w:rPr>
                <w:t>Pharmaceuticals, GeneMax Pharmaceuticals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Inc., UBC and Dr. Jefferies</w:t>
              </w:r>
            </w:hyperlink>
          </w:p>
        </w:tc>
        <w:tc>
          <w:tcPr>
            <w:tcW w:w="1240" w:type="dxa"/>
            <w:vAlign w:val="bottom"/>
            <w:tcBorders>
              <w:top w:val="single" w:sz="8" w:color="0000EE"/>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10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100">
              <w:r>
                <w:rPr>
                  <w:rFonts w:ascii="Arial" w:cs="Arial" w:eastAsia="Arial" w:hAnsi="Arial"/>
                  <w:sz w:val="18"/>
                  <w:szCs w:val="18"/>
                  <w:color w:val="0000EE"/>
                </w:rPr>
                <w:t>2009 Stock Incentive Plan*</w:t>
              </w:r>
            </w:hyperlink>
          </w:p>
        </w:tc>
        <w:tc>
          <w:tcPr>
            <w:tcW w:w="280" w:type="dxa"/>
            <w:vAlign w:val="bottom"/>
          </w:tcPr>
          <w:p>
            <w:pPr>
              <w:spacing w:after="0"/>
              <w:rPr>
                <w:sz w:val="24"/>
                <w:szCs w:val="24"/>
                <w:color w:val="auto"/>
              </w:rPr>
            </w:pPr>
          </w:p>
        </w:tc>
        <w:tc>
          <w:tcPr>
            <w:tcW w:w="1000" w:type="dxa"/>
            <w:vAlign w:val="bottom"/>
            <w:gridSpan w:val="7"/>
          </w:tcPr>
          <w:p>
            <w:pPr>
              <w:jc w:val="center"/>
              <w:ind w:right="360"/>
              <w:spacing w:after="0"/>
              <w:rPr>
                <w:rFonts w:ascii="Arial" w:cs="Arial" w:eastAsia="Arial" w:hAnsi="Arial"/>
                <w:sz w:val="18"/>
                <w:szCs w:val="18"/>
                <w:color w:val="0000EE"/>
                <w:w w:val="85"/>
              </w:rPr>
            </w:pPr>
            <w:hyperlink r:id="rId100">
              <w:r>
                <w:rPr>
                  <w:rFonts w:ascii="Arial" w:cs="Arial" w:eastAsia="Arial" w:hAnsi="Arial"/>
                  <w:sz w:val="18"/>
                  <w:szCs w:val="18"/>
                  <w:color w:val="0000EE"/>
                  <w:w w:val="85"/>
                </w:rPr>
                <w:t>DEF14-C</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4"/>
          </w:tcPr>
          <w:p>
            <w:pPr>
              <w:jc w:val="center"/>
              <w:ind w:right="620"/>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B</w:t>
              </w:r>
            </w:hyperlink>
          </w:p>
        </w:tc>
        <w:tc>
          <w:tcPr>
            <w:tcW w:w="860" w:type="dxa"/>
            <w:vAlign w:val="bottom"/>
            <w:gridSpan w:val="5"/>
          </w:tcPr>
          <w:p>
            <w:pPr>
              <w:jc w:val="center"/>
              <w:ind w:left="190"/>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1/29/10</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10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Technology Option Agreement, dated June 1,</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4"/>
          </w:tcPr>
          <w:p>
            <w:pPr>
              <w:jc w:val="center"/>
              <w:ind w:left="210"/>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6/4/10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top w:val="single" w:sz="8" w:color="0000EE"/>
            </w:tcBorders>
            <w:gridSpan w:val="28"/>
          </w:tcPr>
          <w:p>
            <w:pPr>
              <w:spacing w:after="0" w:line="196" w:lineRule="exact"/>
              <w:rPr>
                <w:rFonts w:ascii="Arial" w:cs="Arial" w:eastAsia="Arial" w:hAnsi="Arial"/>
                <w:sz w:val="18"/>
                <w:szCs w:val="18"/>
                <w:color w:val="0000EE"/>
                <w:w w:val="96"/>
              </w:rPr>
            </w:pPr>
            <w:hyperlink r:id="rId101">
              <w:r>
                <w:rPr>
                  <w:rFonts w:ascii="Arial" w:cs="Arial" w:eastAsia="Arial" w:hAnsi="Arial"/>
                  <w:sz w:val="18"/>
                  <w:szCs w:val="18"/>
                  <w:color w:val="0000EE"/>
                  <w:w w:val="96"/>
                </w:rPr>
                <w:t>2010, between TapImmune Inc. and Mayo</w:t>
              </w:r>
            </w:hyperlink>
          </w:p>
        </w:tc>
        <w:tc>
          <w:tcPr>
            <w:tcW w:w="1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Foundation for Education and Research</w:t>
              </w:r>
            </w:hyperlink>
          </w:p>
        </w:tc>
        <w:tc>
          <w:tcPr>
            <w:tcW w:w="120" w:type="dxa"/>
            <w:vAlign w:val="bottom"/>
            <w:tcBorders>
              <w:top w:val="single" w:sz="8" w:color="0000EE"/>
            </w:tcBorders>
            <w:gridSpan w:val="2"/>
          </w:tcPr>
          <w:p>
            <w:pPr>
              <w:spacing w:after="0"/>
              <w:rPr>
                <w:sz w:val="17"/>
                <w:szCs w:val="17"/>
                <w:color w:val="auto"/>
              </w:rPr>
            </w:pPr>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102">
              <w:r>
                <w:rPr>
                  <w:rFonts w:ascii="Arial" w:cs="Arial" w:eastAsia="Arial" w:hAnsi="Arial"/>
                  <w:sz w:val="18"/>
                  <w:szCs w:val="18"/>
                  <w:color w:val="0000EE"/>
                </w:rPr>
                <w:t>Form of Securities Purchase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4"/>
          </w:tcPr>
          <w:p>
            <w:pPr>
              <w:jc w:val="center"/>
              <w:ind w:left="210"/>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8/11/14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dated as of August 11, 2014, by and among</w:t>
              </w:r>
            </w:hyperlink>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the Company and the Purchasers</w:t>
              </w:r>
            </w:hyperlink>
          </w:p>
        </w:tc>
        <w:tc>
          <w:tcPr>
            <w:tcW w:w="1080" w:type="dxa"/>
            <w:vAlign w:val="bottom"/>
            <w:gridSpan w:val="21"/>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0"/>
              </w:rPr>
            </w:pPr>
            <w:hyperlink r:id="rId103">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8/14/14</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July 29, 2014, by and between the Company</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and H. C. Wainwright &amp; Co., LLC</w:t>
              </w:r>
            </w:hyperlink>
          </w:p>
        </w:tc>
        <w:tc>
          <w:tcPr>
            <w:tcW w:w="640" w:type="dxa"/>
            <w:vAlign w:val="bottom"/>
            <w:tcBorders>
              <w:top w:val="single" w:sz="8" w:color="0000EE"/>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104">
              <w:r>
                <w:rPr>
                  <w:rFonts w:ascii="Arial" w:cs="Arial" w:eastAsia="Arial" w:hAnsi="Arial"/>
                  <w:sz w:val="18"/>
                  <w:szCs w:val="18"/>
                  <w:color w:val="0000EE"/>
                </w:rPr>
                <w:t>Form of Securities Purchase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1/12/15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dated as of January 12, 2015, by and among</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r:id="rId104">
              <w:r>
                <w:rPr>
                  <w:rFonts w:ascii="Arial" w:cs="Arial" w:eastAsia="Arial" w:hAnsi="Arial"/>
                  <w:sz w:val="18"/>
                  <w:szCs w:val="18"/>
                  <w:color w:val="0000EE"/>
                  <w:w w:val="87"/>
                </w:rPr>
                <w:t>the Company and the Purchasers</w:t>
              </w:r>
            </w:hyperlink>
          </w:p>
        </w:tc>
        <w:tc>
          <w:tcPr>
            <w:tcW w:w="800" w:type="dxa"/>
            <w:vAlign w:val="bottom"/>
            <w:tcBorders>
              <w:top w:val="single" w:sz="8" w:color="0000EE"/>
            </w:tcBorders>
            <w:gridSpan w:val="14"/>
          </w:tcPr>
          <w:p>
            <w:pPr>
              <w:spacing w:after="0"/>
              <w:rPr>
                <w:sz w:val="17"/>
                <w:szCs w:val="17"/>
                <w:color w:val="auto"/>
              </w:rPr>
            </w:pPr>
          </w:p>
        </w:tc>
        <w:tc>
          <w:tcPr>
            <w:tcW w:w="28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1/12/15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July 29, 2014 and Amended on January 12,</w:t>
              </w:r>
            </w:hyperlink>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2015, by and between the Company and H.</w:t>
              </w:r>
            </w:hyperlink>
          </w:p>
        </w:tc>
        <w:tc>
          <w:tcPr>
            <w:tcW w:w="32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C. Wainwright &amp; Co., LLC</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7"/>
              </w:rPr>
            </w:pPr>
            <w:hyperlink r:id="rId106">
              <w:r>
                <w:rPr>
                  <w:rFonts w:ascii="Arial" w:cs="Arial" w:eastAsia="Arial" w:hAnsi="Arial"/>
                  <w:sz w:val="18"/>
                  <w:szCs w:val="18"/>
                  <w:color w:val="0000EE"/>
                  <w:w w:val="97"/>
                </w:rPr>
                <w:t>Finders Agreement, dated as of January 12,</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1/12/15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2015, by and between the Company and</w:t>
              </w:r>
            </w:hyperlink>
          </w:p>
        </w:tc>
        <w:tc>
          <w:tcPr>
            <w:tcW w:w="220" w:type="dxa"/>
            <w:vAlign w:val="bottom"/>
            <w:tcBorders>
              <w:top w:val="single" w:sz="8" w:color="0000EE"/>
            </w:tcBorders>
            <w:gridSpan w:val="6"/>
          </w:tcPr>
          <w:p>
            <w:pPr>
              <w:spacing w:after="0"/>
              <w:rPr>
                <w:sz w:val="17"/>
                <w:szCs w:val="17"/>
                <w:color w:val="auto"/>
              </w:rPr>
            </w:pPr>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Olympus Securities LLC</w:t>
              </w:r>
            </w:hyperlink>
          </w:p>
        </w:tc>
        <w:tc>
          <w:tcPr>
            <w:tcW w:w="1640" w:type="dxa"/>
            <w:vAlign w:val="bottom"/>
            <w:gridSpan w:val="2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7"/>
              </w:rPr>
            </w:pPr>
            <w:hyperlink r:id="rId107">
              <w:r>
                <w:rPr>
                  <w:rFonts w:ascii="Arial" w:cs="Arial" w:eastAsia="Arial" w:hAnsi="Arial"/>
                  <w:sz w:val="18"/>
                  <w:szCs w:val="18"/>
                  <w:color w:val="0000EE"/>
                  <w:w w:val="97"/>
                </w:rPr>
                <w:t>Securities Purchase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3/10/15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March 9, 2015, by and among the Company</w:t>
              </w:r>
            </w:hyperlink>
          </w:p>
        </w:tc>
        <w:tc>
          <w:tcPr>
            <w:tcW w:w="2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and Eastern Capital Limited</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3/10/15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16"/>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July 29, 2014, Amended on January 12, 2015,</w:t>
              </w:r>
            </w:hyperlink>
          </w:p>
        </w:tc>
        <w:tc>
          <w:tcPr>
            <w:tcW w:w="1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by and between the Company and H. C.</w:t>
              </w:r>
            </w:hyperlink>
          </w:p>
        </w:tc>
        <w:tc>
          <w:tcPr>
            <w:tcW w:w="56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0" w:gutter="0" w:footer="0" w:header="0"/>
        </w:sectPr>
      </w:pPr>
    </w:p>
    <w:bookmarkStart w:id="35" w:name="page36"/>
    <w:bookmarkEnd w:id="35"/>
    <w:p>
      <w:pPr>
        <w:ind w:left="900"/>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Wainwright &amp; Co., LLC and Amended on</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March 9, 2015, by and between the Company</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and H. C. Wainwright &amp; Co., LLC</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jc w:val="right"/>
              <w:spacing w:after="0"/>
              <w:rPr>
                <w:rFonts w:ascii="Arial" w:cs="Arial" w:eastAsia="Arial" w:hAnsi="Arial"/>
                <w:sz w:val="18"/>
                <w:szCs w:val="18"/>
                <w:color w:val="0000EE"/>
                <w:w w:val="84"/>
              </w:rPr>
            </w:pPr>
            <w:hyperlink r:id="rId10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500" w:type="dxa"/>
            <w:vAlign w:val="bottom"/>
          </w:tcPr>
          <w:p>
            <w:pPr>
              <w:spacing w:after="0"/>
              <w:rPr>
                <w:sz w:val="17"/>
                <w:szCs w:val="17"/>
                <w:color w:val="auto"/>
              </w:rPr>
            </w:pPr>
          </w:p>
        </w:tc>
        <w:tc>
          <w:tcPr>
            <w:tcW w:w="3560" w:type="dxa"/>
            <w:vAlign w:val="bottom"/>
            <w:gridSpan w:val="13"/>
          </w:tcPr>
          <w:p>
            <w:pPr>
              <w:spacing w:after="0"/>
              <w:rPr>
                <w:rFonts w:ascii="Arial" w:cs="Arial" w:eastAsia="Arial" w:hAnsi="Arial"/>
                <w:sz w:val="18"/>
                <w:szCs w:val="18"/>
                <w:color w:val="0000EE"/>
                <w:w w:val="99"/>
              </w:rPr>
            </w:pPr>
            <w:hyperlink r:id="rId109">
              <w:r>
                <w:rPr>
                  <w:rFonts w:ascii="Arial" w:cs="Arial" w:eastAsia="Arial" w:hAnsi="Arial"/>
                  <w:sz w:val="18"/>
                  <w:szCs w:val="18"/>
                  <w:color w:val="0000EE"/>
                  <w:w w:val="99"/>
                </w:rPr>
                <w:t>Form of Restructuring Agreement dated May</w:t>
              </w:r>
            </w:hyperlink>
          </w:p>
        </w:tc>
        <w:tc>
          <w:tcPr>
            <w:tcW w:w="320" w:type="dxa"/>
            <w:vAlign w:val="bottom"/>
          </w:tcPr>
          <w:p>
            <w:pPr>
              <w:spacing w:after="0"/>
              <w:rPr>
                <w:sz w:val="17"/>
                <w:szCs w:val="17"/>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09">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0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6/3/15</w:t>
              </w:r>
            </w:hyperlink>
          </w:p>
        </w:tc>
        <w:tc>
          <w:tcPr>
            <w:tcW w:w="80" w:type="dxa"/>
            <w:vAlign w:val="bottom"/>
          </w:tcPr>
          <w:p>
            <w:pPr>
              <w:spacing w:after="0"/>
              <w:rPr>
                <w:sz w:val="17"/>
                <w:szCs w:val="17"/>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09">
              <w:r>
                <w:rPr>
                  <w:rFonts w:ascii="Arial" w:cs="Arial" w:eastAsia="Arial" w:hAnsi="Arial"/>
                  <w:sz w:val="18"/>
                  <w:szCs w:val="18"/>
                  <w:color w:val="0000EE"/>
                  <w:w w:val="85"/>
                </w:rPr>
                <w:t>28, 2015</w:t>
              </w:r>
            </w:hyperlink>
          </w:p>
        </w:tc>
        <w:tc>
          <w:tcPr>
            <w:tcW w:w="16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500" w:type="dxa"/>
            <w:vAlign w:val="bottom"/>
          </w:tcPr>
          <w:p>
            <w:pPr>
              <w:spacing w:after="0"/>
              <w:rPr>
                <w:sz w:val="24"/>
                <w:szCs w:val="24"/>
                <w:color w:val="auto"/>
              </w:rPr>
            </w:pPr>
          </w:p>
        </w:tc>
        <w:tc>
          <w:tcPr>
            <w:tcW w:w="2700" w:type="dxa"/>
            <w:vAlign w:val="bottom"/>
            <w:gridSpan w:val="4"/>
          </w:tcPr>
          <w:p>
            <w:pPr>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Amended and Restated Restructuring</w:t>
              </w:r>
            </w:hyperlink>
          </w:p>
        </w:tc>
        <w:tc>
          <w:tcPr>
            <w:tcW w:w="86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6/5/15</w:t>
              </w:r>
            </w:hyperlink>
          </w:p>
        </w:tc>
        <w:tc>
          <w:tcPr>
            <w:tcW w:w="80" w:type="dxa"/>
            <w:vAlign w:val="bottom"/>
          </w:tcPr>
          <w:p>
            <w:pPr>
              <w:spacing w:after="0"/>
              <w:rPr>
                <w:sz w:val="24"/>
                <w:szCs w:val="24"/>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Agreement, dated as of June 2, 2015</w:t>
              </w:r>
            </w:hyperlink>
          </w:p>
        </w:tc>
        <w:tc>
          <w:tcPr>
            <w:tcW w:w="86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500" w:type="dxa"/>
            <w:vAlign w:val="bottom"/>
          </w:tcPr>
          <w:p>
            <w:pPr>
              <w:spacing w:after="0"/>
              <w:rPr>
                <w:sz w:val="24"/>
                <w:szCs w:val="24"/>
                <w:color w:val="auto"/>
              </w:rPr>
            </w:pPr>
          </w:p>
        </w:tc>
        <w:tc>
          <w:tcPr>
            <w:tcW w:w="3080" w:type="dxa"/>
            <w:vAlign w:val="bottom"/>
            <w:gridSpan w:val="8"/>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Consulting Agreement, dated February 10,</w:t>
              </w:r>
            </w:hyperlink>
          </w:p>
        </w:tc>
        <w:tc>
          <w:tcPr>
            <w:tcW w:w="48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11">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11">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gridSpan w:val="2"/>
          </w:tcPr>
          <w:p>
            <w:pPr>
              <w:jc w:val="center"/>
              <w:ind w:right="40"/>
              <w:spacing w:after="0"/>
              <w:rPr>
                <w:rFonts w:ascii="Arial" w:cs="Arial" w:eastAsia="Arial" w:hAnsi="Arial"/>
                <w:sz w:val="18"/>
                <w:szCs w:val="18"/>
                <w:color w:val="0000EE"/>
                <w:w w:val="83"/>
              </w:rPr>
            </w:pPr>
            <w:hyperlink r:id="rId111">
              <w:r>
                <w:rPr>
                  <w:rFonts w:ascii="Arial" w:cs="Arial" w:eastAsia="Arial" w:hAnsi="Arial"/>
                  <w:sz w:val="18"/>
                  <w:szCs w:val="18"/>
                  <w:color w:val="0000EE"/>
                  <w:w w:val="83"/>
                </w:rPr>
                <w:t>7/30/15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2015, between TapImmune Inc. and Dr. John</w:t>
              </w:r>
            </w:hyperlink>
          </w:p>
        </w:tc>
        <w:tc>
          <w:tcPr>
            <w:tcW w:w="3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Bonfiglio*</w:t>
              </w:r>
            </w:hyperlink>
          </w:p>
        </w:tc>
        <w:tc>
          <w:tcPr>
            <w:tcW w:w="278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500" w:type="dxa"/>
            <w:vAlign w:val="bottom"/>
          </w:tcPr>
          <w:p>
            <w:pPr>
              <w:spacing w:after="0"/>
              <w:rPr>
                <w:sz w:val="24"/>
                <w:szCs w:val="24"/>
                <w:color w:val="auto"/>
              </w:rPr>
            </w:pPr>
          </w:p>
        </w:tc>
        <w:tc>
          <w:tcPr>
            <w:tcW w:w="3100" w:type="dxa"/>
            <w:vAlign w:val="bottom"/>
            <w:gridSpan w:val="9"/>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License and Assignment Agreement, dated</w:t>
              </w:r>
            </w:hyperlink>
          </w:p>
        </w:tc>
        <w:tc>
          <w:tcPr>
            <w:tcW w:w="460" w:type="dxa"/>
            <w:vAlign w:val="bottom"/>
            <w:gridSpan w:val="4"/>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112">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gridSpan w:val="2"/>
          </w:tcPr>
          <w:p>
            <w:pPr>
              <w:jc w:val="center"/>
              <w:ind w:right="40"/>
              <w:spacing w:after="0"/>
              <w:rPr>
                <w:rFonts w:ascii="Arial" w:cs="Arial" w:eastAsia="Arial" w:hAnsi="Arial"/>
                <w:sz w:val="18"/>
                <w:szCs w:val="18"/>
                <w:color w:val="0000EE"/>
                <w:w w:val="83"/>
              </w:rPr>
            </w:pPr>
            <w:hyperlink r:id="rId112">
              <w:r>
                <w:rPr>
                  <w:rFonts w:ascii="Arial" w:cs="Arial" w:eastAsia="Arial" w:hAnsi="Arial"/>
                  <w:sz w:val="18"/>
                  <w:szCs w:val="18"/>
                  <w:color w:val="0000EE"/>
                  <w:w w:val="83"/>
                </w:rPr>
                <w:t>8/14/15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July 21, 2015, with The Mayo Foundation for</w:t>
              </w:r>
            </w:hyperlink>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Medical Education and Research**</w:t>
              </w:r>
            </w:hyperlink>
          </w:p>
        </w:tc>
        <w:tc>
          <w:tcPr>
            <w:tcW w:w="940" w:type="dxa"/>
            <w:vAlign w:val="bottom"/>
            <w:gridSpan w:val="10"/>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Borders>
              <w:bottom w:val="single" w:sz="8" w:color="0000EE"/>
            </w:tcBorders>
          </w:tcPr>
          <w:p>
            <w:pPr>
              <w:jc w:val="right"/>
              <w:spacing w:after="0"/>
              <w:rPr>
                <w:rFonts w:ascii="Arial" w:cs="Arial" w:eastAsia="Arial" w:hAnsi="Arial"/>
                <w:sz w:val="18"/>
                <w:szCs w:val="18"/>
                <w:color w:val="0000EE"/>
                <w:w w:val="84"/>
              </w:rPr>
            </w:pPr>
            <w:hyperlink r:id="rId11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500" w:type="dxa"/>
            <w:vAlign w:val="bottom"/>
          </w:tcPr>
          <w:p>
            <w:pPr>
              <w:spacing w:after="0"/>
              <w:rPr>
                <w:sz w:val="24"/>
                <w:szCs w:val="24"/>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2014 Omnibus Stock Ownership Plan*</w:t>
              </w:r>
            </w:hyperlink>
          </w:p>
        </w:tc>
        <w:tc>
          <w:tcPr>
            <w:tcW w:w="740" w:type="dxa"/>
            <w:vAlign w:val="bottom"/>
            <w:gridSpan w:val="6"/>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10-Q</w:t>
              </w:r>
            </w:hyperlink>
          </w:p>
        </w:tc>
        <w:tc>
          <w:tcPr>
            <w:tcW w:w="780" w:type="dxa"/>
            <w:vAlign w:val="bottom"/>
            <w:tcBorders>
              <w:bottom w:val="single" w:sz="8" w:color="0000EE"/>
            </w:tcBorders>
          </w:tcPr>
          <w:p>
            <w:pPr>
              <w:jc w:val="right"/>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tcBorders>
              <w:bottom w:val="single" w:sz="8" w:color="0000EE"/>
            </w:tcBorders>
            <w:gridSpan w:val="2"/>
          </w:tcPr>
          <w:p>
            <w:pPr>
              <w:jc w:val="center"/>
              <w:spacing w:after="0"/>
              <w:rPr>
                <w:rFonts w:ascii="Arial" w:cs="Arial" w:eastAsia="Arial" w:hAnsi="Arial"/>
                <w:sz w:val="18"/>
                <w:szCs w:val="18"/>
                <w:color w:val="0000EE"/>
                <w:w w:val="77"/>
              </w:rPr>
            </w:pPr>
            <w:hyperlink r:id="rId113">
              <w:r>
                <w:rPr>
                  <w:rFonts w:ascii="Arial" w:cs="Arial" w:eastAsia="Arial" w:hAnsi="Arial"/>
                  <w:sz w:val="18"/>
                  <w:szCs w:val="18"/>
                  <w:color w:val="0000EE"/>
                  <w:w w:val="77"/>
                </w:rPr>
                <w:t>11/16/15</w:t>
              </w:r>
            </w:hyperlink>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Amendment to 2014 Omnibus Stock</w:t>
              </w:r>
            </w:hyperlink>
          </w:p>
        </w:tc>
        <w:tc>
          <w:tcPr>
            <w:tcW w:w="940" w:type="dxa"/>
            <w:vAlign w:val="bottom"/>
            <w:gridSpan w:val="10"/>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114">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540" w:type="dxa"/>
            <w:vAlign w:val="bottom"/>
            <w:gridSpan w:val="2"/>
          </w:tcPr>
          <w:p>
            <w:pPr>
              <w:jc w:val="center"/>
              <w:spacing w:after="0"/>
              <w:rPr>
                <w:rFonts w:ascii="Arial" w:cs="Arial" w:eastAsia="Arial" w:hAnsi="Arial"/>
                <w:sz w:val="18"/>
                <w:szCs w:val="18"/>
                <w:color w:val="0000EE"/>
                <w:w w:val="77"/>
              </w:rPr>
            </w:pPr>
            <w:hyperlink r:id="rId114">
              <w:r>
                <w:rPr>
                  <w:rFonts w:ascii="Arial" w:cs="Arial" w:eastAsia="Arial" w:hAnsi="Arial"/>
                  <w:sz w:val="18"/>
                  <w:szCs w:val="18"/>
                  <w:color w:val="0000EE"/>
                  <w:w w:val="77"/>
                </w:rPr>
                <w:t>11/16/15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Ownership Plan (February 10, 2015) *</w:t>
              </w:r>
            </w:hyperlink>
          </w:p>
        </w:tc>
        <w:tc>
          <w:tcPr>
            <w:tcW w:w="78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Amendment to 2014 Omnibus Stock</w:t>
              </w:r>
            </w:hyperlink>
          </w:p>
        </w:tc>
        <w:tc>
          <w:tcPr>
            <w:tcW w:w="940" w:type="dxa"/>
            <w:vAlign w:val="bottom"/>
            <w:gridSpan w:val="10"/>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540" w:type="dxa"/>
            <w:vAlign w:val="bottom"/>
            <w:gridSpan w:val="2"/>
          </w:tcPr>
          <w:p>
            <w:pPr>
              <w:jc w:val="center"/>
              <w:spacing w:after="0"/>
              <w:rPr>
                <w:rFonts w:ascii="Arial" w:cs="Arial" w:eastAsia="Arial" w:hAnsi="Arial"/>
                <w:sz w:val="18"/>
                <w:szCs w:val="18"/>
                <w:color w:val="0000EE"/>
                <w:w w:val="77"/>
              </w:rPr>
            </w:pPr>
            <w:hyperlink r:id="rId115">
              <w:r>
                <w:rPr>
                  <w:rFonts w:ascii="Arial" w:cs="Arial" w:eastAsia="Arial" w:hAnsi="Arial"/>
                  <w:sz w:val="18"/>
                  <w:szCs w:val="18"/>
                  <w:color w:val="0000EE"/>
                  <w:w w:val="77"/>
                </w:rPr>
                <w:t>11/16/15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Ownership Plan (November 6, 2015) *</w:t>
              </w:r>
            </w:hyperlink>
          </w:p>
        </w:tc>
        <w:tc>
          <w:tcPr>
            <w:tcW w:w="76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Amendment to 2014 Omnibus Stock</w:t>
              </w:r>
            </w:hyperlink>
          </w:p>
        </w:tc>
        <w:tc>
          <w:tcPr>
            <w:tcW w:w="940" w:type="dxa"/>
            <w:vAlign w:val="bottom"/>
            <w:gridSpan w:val="10"/>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16">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16">
              <w:r>
                <w:rPr>
                  <w:rFonts w:ascii="Arial" w:cs="Arial" w:eastAsia="Arial" w:hAnsi="Arial"/>
                  <w:sz w:val="18"/>
                  <w:szCs w:val="18"/>
                  <w:color w:val="0000EE"/>
                  <w:w w:val="88"/>
                </w:rPr>
                <w:t>001-37939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9/5/17</w:t>
              </w:r>
            </w:hyperlink>
          </w:p>
        </w:tc>
        <w:tc>
          <w:tcPr>
            <w:tcW w:w="8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60" w:type="dxa"/>
            <w:vAlign w:val="bottom"/>
            <w:gridSpan w:val="1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Ownership Plan (August 29, 2017) *</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39"/>
          </w:cols>
          <w:pgMar w:left="620" w:top="125"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280" w:type="dxa"/>
            <w:vAlign w:val="bottom"/>
            <w:gridSpan w:val="6"/>
            <w:vMerge w:val="restart"/>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1"/>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6"/>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5"/>
          </w:tcPr>
          <w:p>
            <w:pPr>
              <w:ind w:left="40"/>
              <w:spacing w:after="0" w:line="191" w:lineRule="exact"/>
              <w:rPr>
                <w:sz w:val="20"/>
                <w:szCs w:val="20"/>
                <w:color w:val="auto"/>
              </w:rPr>
            </w:pPr>
            <w:r>
              <w:rPr>
                <w:rFonts w:ascii="Arial" w:cs="Arial" w:eastAsia="Arial" w:hAnsi="Arial"/>
                <w:sz w:val="18"/>
                <w:szCs w:val="18"/>
                <w:b w:val="1"/>
                <w:bCs w:val="1"/>
                <w:color w:val="auto"/>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number</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29"/>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220" w:type="dxa"/>
            <w:vAlign w:val="bottom"/>
          </w:tcPr>
          <w:p>
            <w:pPr>
              <w:spacing w:after="0"/>
              <w:rPr>
                <w:sz w:val="20"/>
                <w:szCs w:val="20"/>
                <w:color w:val="auto"/>
              </w:rPr>
            </w:pPr>
          </w:p>
        </w:tc>
        <w:tc>
          <w:tcPr>
            <w:tcW w:w="10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7"/>
              </w:rPr>
              <w:t>Form</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6"/>
              </w:rPr>
              <w:t>Exhibit</w:t>
            </w:r>
          </w:p>
        </w:tc>
        <w:tc>
          <w:tcPr>
            <w:tcW w:w="300" w:type="dxa"/>
            <w:vAlign w:val="bottom"/>
          </w:tcPr>
          <w:p>
            <w:pPr>
              <w:spacing w:after="0"/>
              <w:rPr>
                <w:sz w:val="20"/>
                <w:szCs w:val="20"/>
                <w:color w:val="auto"/>
              </w:rPr>
            </w:pPr>
          </w:p>
        </w:tc>
        <w:tc>
          <w:tcPr>
            <w:tcW w:w="9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gridSpan w:val="4"/>
          </w:tcPr>
          <w:p>
            <w:pPr>
              <w:jc w:val="center"/>
              <w:ind w:left="290"/>
              <w:spacing w:after="0" w:line="170"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tcBorders>
              <w:top w:val="single" w:sz="8" w:color="auto"/>
            </w:tcBorders>
            <w:gridSpan w:val="32"/>
          </w:tcPr>
          <w:p>
            <w:pPr>
              <w:spacing w:after="0" w:line="170"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Form of Stock Option Award Agreement –</w:t>
              </w:r>
            </w:hyperlink>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4"/>
          </w:tcPr>
          <w:p>
            <w:pPr>
              <w:jc w:val="center"/>
              <w:ind w:right="200"/>
              <w:spacing w:after="0" w:line="170"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10-Q</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4"/>
          </w:tcPr>
          <w:p>
            <w:pPr>
              <w:jc w:val="right"/>
              <w:spacing w:after="0" w:line="170" w:lineRule="exact"/>
              <w:rPr>
                <w:rFonts w:ascii="Arial" w:cs="Arial" w:eastAsia="Arial" w:hAnsi="Arial"/>
                <w:sz w:val="18"/>
                <w:szCs w:val="18"/>
                <w:color w:val="0000EE"/>
              </w:rPr>
            </w:pPr>
            <w:hyperlink r:id="rId118">
              <w:r>
                <w:rPr>
                  <w:rFonts w:ascii="Arial" w:cs="Arial" w:eastAsia="Arial" w:hAnsi="Arial"/>
                  <w:sz w:val="18"/>
                  <w:szCs w:val="18"/>
                  <w:color w:val="0000EE"/>
                </w:rPr>
                <w:t>000-27239</w:t>
              </w:r>
            </w:hyperlink>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gridSpan w:val="4"/>
          </w:tcPr>
          <w:p>
            <w:pPr>
              <w:jc w:val="center"/>
              <w:ind w:left="310"/>
              <w:spacing w:after="0" w:line="170" w:lineRule="exact"/>
              <w:rPr>
                <w:rFonts w:ascii="Arial" w:cs="Arial" w:eastAsia="Arial" w:hAnsi="Arial"/>
                <w:sz w:val="18"/>
                <w:szCs w:val="18"/>
                <w:color w:val="0000EE"/>
                <w:w w:val="85"/>
              </w:rPr>
            </w:pPr>
            <w:hyperlink r:id="rId11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gridSpan w:val="4"/>
          </w:tcPr>
          <w:p>
            <w:pPr>
              <w:jc w:val="center"/>
              <w:ind w:left="150"/>
              <w:spacing w:after="0" w:line="170"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11/16/15</w:t>
              </w:r>
            </w:hyperlink>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Key Employee*</w:t>
              </w:r>
            </w:hyperlink>
          </w:p>
        </w:tc>
        <w:tc>
          <w:tcPr>
            <w:tcW w:w="36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19">
              <w:r>
                <w:rPr>
                  <w:rFonts w:ascii="Arial" w:cs="Arial" w:eastAsia="Arial" w:hAnsi="Arial"/>
                  <w:sz w:val="18"/>
                  <w:szCs w:val="18"/>
                  <w:color w:val="0000EE"/>
                </w:rPr>
                <w:t>Form of Stock Option Award Agreement –</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19">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1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119">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Non-employee Director*</w:t>
              </w:r>
            </w:hyperlink>
          </w:p>
        </w:tc>
        <w:tc>
          <w:tcPr>
            <w:tcW w:w="36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20">
              <w:r>
                <w:rPr>
                  <w:rFonts w:ascii="Arial" w:cs="Arial" w:eastAsia="Arial" w:hAnsi="Arial"/>
                  <w:sz w:val="18"/>
                  <w:szCs w:val="18"/>
                  <w:color w:val="0000EE"/>
                </w:rPr>
                <w:t>Form of Stock Option Award Agreement –</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20">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Consultant*</w:t>
              </w:r>
            </w:hyperlink>
          </w:p>
        </w:tc>
        <w:tc>
          <w:tcPr>
            <w:tcW w:w="36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4"/>
              </w:rPr>
            </w:pPr>
            <w:hyperlink r:id="rId121">
              <w:r>
                <w:rPr>
                  <w:rFonts w:ascii="Arial" w:cs="Arial" w:eastAsia="Arial" w:hAnsi="Arial"/>
                  <w:sz w:val="18"/>
                  <w:szCs w:val="18"/>
                  <w:color w:val="0000EE"/>
                  <w:w w:val="94"/>
                </w:rPr>
                <w:t>Form of Restricted Stock Award Agreement –</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21">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Consultant*</w:t>
              </w:r>
            </w:hyperlink>
          </w:p>
        </w:tc>
        <w:tc>
          <w:tcPr>
            <w:tcW w:w="1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22">
              <w:r>
                <w:rPr>
                  <w:rFonts w:ascii="Arial" w:cs="Arial" w:eastAsia="Arial" w:hAnsi="Arial"/>
                  <w:sz w:val="18"/>
                  <w:szCs w:val="18"/>
                  <w:color w:val="0000EE"/>
                </w:rPr>
                <w:t>Employment Agreement between</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22">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880" w:type="dxa"/>
            <w:vAlign w:val="bottom"/>
            <w:gridSpan w:val="14"/>
          </w:tcPr>
          <w:p>
            <w:pPr>
              <w:spacing w:after="0" w:line="20" w:lineRule="exact"/>
              <w:rPr>
                <w:sz w:val="1"/>
                <w:szCs w:val="1"/>
                <w:color w:val="auto"/>
              </w:rPr>
            </w:pPr>
          </w:p>
        </w:tc>
        <w:tc>
          <w:tcPr>
            <w:tcW w:w="1500" w:type="dxa"/>
            <w:vAlign w:val="bottom"/>
            <w:tcBorders>
              <w:left w:val="single" w:sz="8" w:color="0000EE"/>
              <w:right w:val="single" w:sz="8" w:color="0000EE"/>
            </w:tcBorders>
            <w:gridSpan w:val="2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40" w:type="dxa"/>
            <w:vAlign w:val="bottom"/>
            <w:tcBorders>
              <w:left w:val="single" w:sz="8" w:color="0000EE"/>
              <w:right w:val="single" w:sz="8" w:color="0000EE"/>
            </w:tcBorders>
            <w:gridSpan w:val="1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Borders>
              <w:left w:val="single" w:sz="8" w:color="0000EE"/>
              <w:right w:val="single" w:sz="8" w:color="0000EE"/>
            </w:tcBorders>
            <w:gridSpan w:val="4"/>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TapImmune, Inc. and Dr. Glynn Wilson,</w:t>
              </w:r>
            </w:hyperlink>
          </w:p>
        </w:tc>
        <w:tc>
          <w:tcPr>
            <w:tcW w:w="52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dated November 12, 2015*</w:t>
              </w:r>
            </w:hyperlink>
          </w:p>
        </w:tc>
        <w:tc>
          <w:tcPr>
            <w:tcW w:w="1480" w:type="dxa"/>
            <w:vAlign w:val="bottom"/>
            <w:gridSpan w:val="23"/>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30</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23">
              <w:r>
                <w:rPr>
                  <w:rFonts w:ascii="Arial" w:cs="Arial" w:eastAsia="Arial" w:hAnsi="Arial"/>
                  <w:sz w:val="18"/>
                  <w:szCs w:val="18"/>
                  <w:color w:val="0000EE"/>
                </w:rPr>
                <w:t>Amendment to Consulting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23">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2/16/16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880" w:type="dxa"/>
            <w:vAlign w:val="bottom"/>
            <w:gridSpan w:val="14"/>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60" w:type="dxa"/>
            <w:vAlign w:val="bottom"/>
            <w:tcBorders>
              <w:left w:val="single" w:sz="8" w:color="0000EE"/>
              <w:right w:val="single" w:sz="8" w:color="0000EE"/>
            </w:tcBorders>
            <w:gridSpan w:val="3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tcBorders>
              <w:left w:val="single" w:sz="8" w:color="0000EE"/>
            </w:tcBorders>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between TapImmune Inc. and Dr. John</w:t>
              </w:r>
            </w:hyperlink>
          </w:p>
        </w:tc>
        <w:tc>
          <w:tcPr>
            <w:tcW w:w="64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Bonfiglio dated as of June 12, 2015*</w:t>
              </w:r>
            </w:hyperlink>
          </w:p>
        </w:tc>
        <w:tc>
          <w:tcPr>
            <w:tcW w:w="78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24">
              <w:r>
                <w:rPr>
                  <w:rFonts w:ascii="Arial" w:cs="Arial" w:eastAsia="Arial" w:hAnsi="Arial"/>
                  <w:sz w:val="18"/>
                  <w:szCs w:val="18"/>
                  <w:color w:val="0000EE"/>
                </w:rPr>
                <w:t>Second Amendment to the Consulting</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24">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24">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2/16/16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880" w:type="dxa"/>
            <w:vAlign w:val="bottom"/>
            <w:gridSpan w:val="14"/>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340" w:type="dxa"/>
            <w:vAlign w:val="bottom"/>
            <w:tcBorders>
              <w:left w:val="single" w:sz="8" w:color="0000EE"/>
              <w:right w:val="single" w:sz="8" w:color="0000EE"/>
            </w:tcBorders>
            <w:gridSpan w:val="3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tcBorders>
              <w:left w:val="single" w:sz="8" w:color="0000EE"/>
            </w:tcBorders>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Agreement by and between TapImmune Inc.</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26"/>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and Dr. John Bonfiglio dated as of February</w:t>
              </w:r>
            </w:hyperlink>
          </w:p>
        </w:tc>
        <w:tc>
          <w:tcPr>
            <w:tcW w:w="24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6"/>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10, 2016*</w:t>
              </w:r>
            </w:hyperlink>
          </w:p>
        </w:tc>
        <w:tc>
          <w:tcPr>
            <w:tcW w:w="2460" w:type="dxa"/>
            <w:vAlign w:val="bottom"/>
            <w:tcBorders>
              <w:top w:val="single" w:sz="8" w:color="0000EE"/>
            </w:tcBorders>
            <w:gridSpan w:val="22"/>
          </w:tcPr>
          <w:p>
            <w:pPr>
              <w:spacing w:after="0"/>
              <w:rPr>
                <w:sz w:val="17"/>
                <w:szCs w:val="17"/>
                <w:color w:val="auto"/>
              </w:rPr>
            </w:pPr>
          </w:p>
        </w:tc>
        <w:tc>
          <w:tcPr>
            <w:tcW w:w="696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32</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25">
              <w:r>
                <w:rPr>
                  <w:rFonts w:ascii="Arial" w:cs="Arial" w:eastAsia="Arial" w:hAnsi="Arial"/>
                  <w:sz w:val="18"/>
                  <w:szCs w:val="18"/>
                  <w:color w:val="0000EE"/>
                </w:rPr>
                <w:t>License and Assignment Agreement with</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25">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8/15/16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Mayo Foundation for Medical Education and</w:t>
              </w:r>
            </w:hyperlink>
          </w:p>
        </w:tc>
        <w:tc>
          <w:tcPr>
            <w:tcW w:w="1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Research dated May 19, 2016**</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26">
              <w:r>
                <w:rPr>
                  <w:rFonts w:ascii="Arial" w:cs="Arial" w:eastAsia="Arial" w:hAnsi="Arial"/>
                  <w:sz w:val="18"/>
                  <w:szCs w:val="18"/>
                  <w:color w:val="0000EE"/>
                </w:rPr>
                <w:t>Amendment to Employment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26">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7/19/16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between TapImmune Inc. and Glynn Wilson,</w:t>
              </w:r>
            </w:hyperlink>
          </w:p>
        </w:tc>
        <w:tc>
          <w:tcPr>
            <w:tcW w:w="20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dated as of July 18, 2016*</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7"/>
              </w:rPr>
            </w:pPr>
            <w:hyperlink r:id="rId127">
              <w:r>
                <w:rPr>
                  <w:rFonts w:ascii="Arial" w:cs="Arial" w:eastAsia="Arial" w:hAnsi="Arial"/>
                  <w:sz w:val="18"/>
                  <w:szCs w:val="18"/>
                  <w:color w:val="0000EE"/>
                  <w:w w:val="97"/>
                </w:rPr>
                <w:t>Employment Agreement by and between by</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27">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27">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7/19/16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and between TapImmune Inc. and Dr. John</w:t>
              </w:r>
            </w:hyperlink>
          </w:p>
        </w:tc>
        <w:tc>
          <w:tcPr>
            <w:tcW w:w="80" w:type="dxa"/>
            <w:vAlign w:val="bottom"/>
            <w:tcBorders>
              <w:top w:val="single" w:sz="8" w:color="0000EE"/>
            </w:tcBorders>
          </w:tcPr>
          <w:p>
            <w:pPr>
              <w:spacing w:after="0"/>
              <w:rPr>
                <w:sz w:val="17"/>
                <w:szCs w:val="17"/>
                <w:color w:val="auto"/>
              </w:rPr>
            </w:pPr>
          </w:p>
        </w:tc>
        <w:tc>
          <w:tcPr>
            <w:tcW w:w="26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Bonfiglio dated as of July 18, 2016*</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Employment Agreement by and between by</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28">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8/25/16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and between TapImmune Inc. and Michael J.</w:t>
              </w:r>
            </w:hyperlink>
          </w:p>
        </w:tc>
        <w:tc>
          <w:tcPr>
            <w:tcW w:w="20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Loiacono dated as of August 25, 2016*</w:t>
              </w:r>
            </w:hyperlink>
          </w:p>
        </w:tc>
        <w:tc>
          <w:tcPr>
            <w:tcW w:w="54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2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29">
              <w:r>
                <w:rPr>
                  <w:rFonts w:ascii="Arial" w:cs="Arial" w:eastAsia="Arial" w:hAnsi="Arial"/>
                  <w:sz w:val="18"/>
                  <w:szCs w:val="18"/>
                  <w:color w:val="0000EE"/>
                </w:rPr>
                <w:t>Form of Subscription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29">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2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Registration Rights Agreement dated June 26,</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30">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30">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3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0" w:type="dxa"/>
            <w:vAlign w:val="bottom"/>
            <w:tcBorders>
              <w:top w:val="single" w:sz="8" w:color="0000EE"/>
            </w:tcBorders>
            <w:gridSpan w:val="3"/>
          </w:tcPr>
          <w:p>
            <w:pPr>
              <w:spacing w:after="0"/>
              <w:rPr>
                <w:sz w:val="17"/>
                <w:szCs w:val="17"/>
                <w:color w:val="auto"/>
              </w:rPr>
            </w:pPr>
          </w:p>
        </w:tc>
        <w:tc>
          <w:tcPr>
            <w:tcW w:w="500" w:type="dxa"/>
            <w:vAlign w:val="bottom"/>
            <w:gridSpan w:val="2"/>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30">
              <w:r>
                <w:rPr>
                  <w:rFonts w:ascii="Arial" w:cs="Arial" w:eastAsia="Arial" w:hAnsi="Arial"/>
                  <w:sz w:val="18"/>
                  <w:szCs w:val="18"/>
                  <w:color w:val="0000EE"/>
                  <w:w w:val="84"/>
                </w:rPr>
                <w:t>2017</w:t>
              </w:r>
            </w:hyperlink>
          </w:p>
        </w:tc>
        <w:tc>
          <w:tcPr>
            <w:tcW w:w="2980" w:type="dxa"/>
            <w:vAlign w:val="bottom"/>
            <w:tcBorders>
              <w:top w:val="single" w:sz="8" w:color="0000EE"/>
            </w:tcBorders>
            <w:gridSpan w:val="31"/>
          </w:tcPr>
          <w:p>
            <w:pPr>
              <w:spacing w:after="0"/>
              <w:rPr>
                <w:sz w:val="17"/>
                <w:szCs w:val="17"/>
                <w:color w:val="auto"/>
              </w:rPr>
            </w:pPr>
          </w:p>
        </w:tc>
        <w:tc>
          <w:tcPr>
            <w:tcW w:w="540" w:type="dxa"/>
            <w:vAlign w:val="bottom"/>
            <w:gridSpan w:val="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gridSpan w:val="6"/>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40" w:type="dxa"/>
            <w:vAlign w:val="bottom"/>
            <w:gridSpan w:val="6"/>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 w:type="dxa"/>
            <w:vAlign w:val="bottom"/>
            <w:gridSpan w:val="4"/>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Warrant Exercise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31">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3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3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Agency Agreement between TapImmune Inc.</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32">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3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top w:val="single" w:sz="8" w:color="0000EE"/>
            </w:tcBorders>
            <w:gridSpan w:val="29"/>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and Katalyst Securities LLC, dated May 12,</w:t>
              </w:r>
            </w:hyperlink>
          </w:p>
        </w:tc>
        <w:tc>
          <w:tcPr>
            <w:tcW w:w="16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6"/>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32">
              <w:r>
                <w:rPr>
                  <w:rFonts w:ascii="Arial" w:cs="Arial" w:eastAsia="Arial" w:hAnsi="Arial"/>
                  <w:sz w:val="18"/>
                  <w:szCs w:val="18"/>
                  <w:color w:val="0000EE"/>
                  <w:w w:val="84"/>
                </w:rPr>
                <w:t>2017</w:t>
              </w:r>
            </w:hyperlink>
          </w:p>
        </w:tc>
        <w:tc>
          <w:tcPr>
            <w:tcW w:w="2820" w:type="dxa"/>
            <w:vAlign w:val="bottom"/>
            <w:tcBorders>
              <w:top w:val="single" w:sz="8" w:color="0000EE"/>
            </w:tcBorders>
            <w:gridSpan w:val="24"/>
          </w:tcPr>
          <w:p>
            <w:pPr>
              <w:spacing w:after="0"/>
              <w:rPr>
                <w:sz w:val="17"/>
                <w:szCs w:val="17"/>
                <w:color w:val="auto"/>
              </w:rPr>
            </w:pPr>
          </w:p>
        </w:tc>
        <w:tc>
          <w:tcPr>
            <w:tcW w:w="696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3"/>
              </w:rPr>
            </w:pPr>
            <w:hyperlink r:id="rId133">
              <w:r>
                <w:rPr>
                  <w:rFonts w:ascii="Arial" w:cs="Arial" w:eastAsia="Arial" w:hAnsi="Arial"/>
                  <w:sz w:val="18"/>
                  <w:szCs w:val="18"/>
                  <w:color w:val="0000EE"/>
                  <w:w w:val="93"/>
                </w:rPr>
                <w:t>Amendment to Placement Agency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33">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3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6/26/17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between TapImmune Inc. and Katalyst</w:t>
              </w:r>
            </w:hyperlink>
          </w:p>
        </w:tc>
        <w:tc>
          <w:tcPr>
            <w:tcW w:w="540" w:type="dxa"/>
            <w:vAlign w:val="bottom"/>
            <w:tcBorders>
              <w:top w:val="single" w:sz="8" w:color="0000EE"/>
            </w:tcBorders>
            <w:gridSpan w:val="15"/>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Securities LLC dated June 22, 2017</w:t>
              </w:r>
            </w:hyperlink>
          </w:p>
        </w:tc>
        <w:tc>
          <w:tcPr>
            <w:tcW w:w="82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gridSpan w:val="3"/>
          </w:tcPr>
          <w:p>
            <w:pPr>
              <w:jc w:val="center"/>
              <w:ind w:left="410"/>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14</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34">
              <w:r>
                <w:rPr>
                  <w:rFonts w:ascii="Arial" w:cs="Arial" w:eastAsia="Arial" w:hAnsi="Arial"/>
                  <w:sz w:val="18"/>
                  <w:szCs w:val="18"/>
                  <w:color w:val="0000EE"/>
                </w:rPr>
                <w:t>Code of Ethics</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34">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center"/>
              <w:ind w:left="390"/>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14</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134">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21"/>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Consent of Marcum LLP, an independent</w:t>
              </w:r>
            </w:hyperlink>
          </w:p>
        </w:tc>
        <w:tc>
          <w:tcPr>
            <w:tcW w:w="440" w:type="dxa"/>
            <w:vAlign w:val="bottom"/>
            <w:gridSpan w:val="12"/>
          </w:tcPr>
          <w:p>
            <w:pPr>
              <w:spacing w:after="0"/>
              <w:rPr>
                <w:sz w:val="24"/>
                <w:szCs w:val="24"/>
                <w:color w:val="auto"/>
              </w:rPr>
            </w:pPr>
          </w:p>
        </w:tc>
        <w:tc>
          <w:tcPr>
            <w:tcW w:w="1280" w:type="dxa"/>
            <w:vAlign w:val="bottom"/>
            <w:gridSpan w:val="6"/>
          </w:tcPr>
          <w:p>
            <w:pPr>
              <w:jc w:val="center"/>
              <w:ind w:right="160"/>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Form S-3</w:t>
              </w:r>
            </w:hyperlink>
          </w:p>
        </w:tc>
        <w:tc>
          <w:tcPr>
            <w:tcW w:w="1300" w:type="dxa"/>
            <w:vAlign w:val="bottom"/>
            <w:gridSpan w:val="5"/>
          </w:tcPr>
          <w:p>
            <w:pPr>
              <w:jc w:val="center"/>
              <w:ind w:left="250"/>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333-220538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center"/>
              <w:ind w:left="250"/>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left="170"/>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9/20/17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public accounting firm.</w:t>
              </w:r>
            </w:hyperlink>
          </w:p>
        </w:tc>
        <w:tc>
          <w:tcPr>
            <w:tcW w:w="44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92">
              <w:r>
                <w:rPr>
                  <w:rFonts w:ascii="Arial" w:cs="Arial" w:eastAsia="Arial" w:hAnsi="Arial"/>
                  <w:sz w:val="18"/>
                  <w:szCs w:val="18"/>
                  <w:color w:val="0000EE"/>
                </w:rPr>
                <w:t>Consent of Shumaker, Loop &amp; Kendrick,</w:t>
              </w:r>
            </w:hyperlink>
          </w:p>
        </w:tc>
        <w:tc>
          <w:tcPr>
            <w:tcW w:w="1280" w:type="dxa"/>
            <w:vAlign w:val="bottom"/>
            <w:gridSpan w:val="6"/>
          </w:tcPr>
          <w:p>
            <w:pPr>
              <w:jc w:val="center"/>
              <w:ind w:right="160"/>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Form S-3</w:t>
              </w:r>
            </w:hyperlink>
          </w:p>
        </w:tc>
        <w:tc>
          <w:tcPr>
            <w:tcW w:w="1240" w:type="dxa"/>
            <w:vAlign w:val="bottom"/>
            <w:gridSpan w:val="4"/>
          </w:tcPr>
          <w:p>
            <w:pPr>
              <w:jc w:val="right"/>
              <w:spacing w:after="0"/>
              <w:rPr>
                <w:rFonts w:ascii="Arial" w:cs="Arial" w:eastAsia="Arial" w:hAnsi="Arial"/>
                <w:sz w:val="18"/>
                <w:szCs w:val="18"/>
                <w:color w:val="0000EE"/>
              </w:rPr>
            </w:pPr>
            <w:hyperlink r:id="rId92">
              <w:r>
                <w:rPr>
                  <w:rFonts w:ascii="Arial" w:cs="Arial" w:eastAsia="Arial" w:hAnsi="Arial"/>
                  <w:sz w:val="18"/>
                  <w:szCs w:val="18"/>
                  <w:color w:val="0000EE"/>
                </w:rPr>
                <w:t>333-220538</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center"/>
              <w:ind w:left="250"/>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left="130"/>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9/20/17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LLP (included as part of Exhibit 5.1)</w:t>
              </w:r>
            </w:hyperlink>
          </w:p>
        </w:tc>
        <w:tc>
          <w:tcPr>
            <w:tcW w:w="48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gridSpan w:val="12"/>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36">
              <w:r>
                <w:rPr>
                  <w:rFonts w:ascii="Arial" w:cs="Arial" w:eastAsia="Arial" w:hAnsi="Arial"/>
                  <w:sz w:val="18"/>
                  <w:szCs w:val="18"/>
                  <w:color w:val="0000EE"/>
                </w:rPr>
                <w:t>Powers of Attorney (included on signature</w:t>
              </w:r>
            </w:hyperlink>
          </w:p>
        </w:tc>
        <w:tc>
          <w:tcPr>
            <w:tcW w:w="1280" w:type="dxa"/>
            <w:vAlign w:val="bottom"/>
            <w:gridSpan w:val="6"/>
          </w:tcPr>
          <w:p>
            <w:pPr>
              <w:jc w:val="center"/>
              <w:ind w:right="160"/>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Form S-3</w:t>
              </w:r>
            </w:hyperlink>
          </w:p>
        </w:tc>
        <w:tc>
          <w:tcPr>
            <w:tcW w:w="1240" w:type="dxa"/>
            <w:vAlign w:val="bottom"/>
            <w:gridSpan w:val="4"/>
          </w:tcPr>
          <w:p>
            <w:pPr>
              <w:jc w:val="right"/>
              <w:spacing w:after="0"/>
              <w:rPr>
                <w:rFonts w:ascii="Arial" w:cs="Arial" w:eastAsia="Arial" w:hAnsi="Arial"/>
                <w:sz w:val="18"/>
                <w:szCs w:val="18"/>
                <w:color w:val="0000EE"/>
              </w:rPr>
            </w:pPr>
            <w:hyperlink r:id="rId136">
              <w:r>
                <w:rPr>
                  <w:rFonts w:ascii="Arial" w:cs="Arial" w:eastAsia="Arial" w:hAnsi="Arial"/>
                  <w:sz w:val="18"/>
                  <w:szCs w:val="18"/>
                  <w:color w:val="0000EE"/>
                </w:rPr>
                <w:t>333-220538</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left="130"/>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9/20/17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page).</w:t>
              </w:r>
            </w:hyperlink>
          </w:p>
        </w:tc>
        <w:tc>
          <w:tcPr>
            <w:tcW w:w="38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6"/>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0" w:type="dxa"/>
            <w:vAlign w:val="bottom"/>
            <w:gridSpan w:val="3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8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101.INS</w:t>
            </w:r>
          </w:p>
        </w:tc>
        <w:tc>
          <w:tcPr>
            <w:tcW w:w="3440" w:type="dxa"/>
            <w:vAlign w:val="bottom"/>
            <w:gridSpan w:val="33"/>
          </w:tcPr>
          <w:p>
            <w:pPr>
              <w:spacing w:after="0"/>
              <w:rPr>
                <w:sz w:val="20"/>
                <w:szCs w:val="20"/>
                <w:color w:val="auto"/>
              </w:rPr>
            </w:pPr>
            <w:r>
              <w:rPr>
                <w:rFonts w:ascii="Arial" w:cs="Arial" w:eastAsia="Arial" w:hAnsi="Arial"/>
                <w:sz w:val="18"/>
                <w:szCs w:val="18"/>
                <w:color w:val="auto"/>
              </w:rPr>
              <w:t>XBRL Instance Document</w:t>
            </w:r>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sz w:val="20"/>
                <w:szCs w:val="20"/>
                <w:color w:val="auto"/>
              </w:rPr>
            </w:pPr>
            <w:r>
              <w:rPr>
                <w:rFonts w:ascii="Arial" w:cs="Arial" w:eastAsia="Arial" w:hAnsi="Arial"/>
                <w:sz w:val="18"/>
                <w:szCs w:val="18"/>
                <w:color w:val="auto"/>
                <w:w w:val="94"/>
              </w:rPr>
              <w:t>10-K</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000-27239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4/14/16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0" w:gutter="0" w:footer="0" w:header="0"/>
        </w:sectPr>
      </w:pPr>
    </w:p>
    <w:bookmarkStart w:id="37" w:name="page38"/>
    <w:bookmarkEnd w:id="37"/>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37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25" w:lineRule="exact"/>
        <w:rPr>
          <w:sz w:val="20"/>
          <w:szCs w:val="20"/>
          <w:color w:val="auto"/>
        </w:rPr>
      </w:pPr>
    </w:p>
    <w:p>
      <w:pPr>
        <w:ind w:firstLine="8"/>
        <w:spacing w:after="0" w:line="277" w:lineRule="auto"/>
        <w:tabs>
          <w:tab w:leader="none" w:pos="226" w:val="left"/>
        </w:tabs>
        <w:numPr>
          <w:ilvl w:val="0"/>
          <w:numId w:val="24"/>
        </w:numPr>
        <w:rPr>
          <w:rFonts w:ascii="Arial" w:cs="Arial" w:eastAsia="Arial" w:hAnsi="Arial"/>
          <w:sz w:val="18"/>
          <w:szCs w:val="18"/>
          <w:color w:val="212121"/>
        </w:rPr>
      </w:pPr>
      <w:r>
        <w:rPr>
          <w:rFonts w:ascii="Arial" w:cs="Arial" w:eastAsia="Arial" w:hAnsi="Arial"/>
          <w:sz w:val="18"/>
          <w:szCs w:val="18"/>
          <w:color w:val="212121"/>
        </w:rPr>
        <w:t>Confidential treatment has been granted as to certain portions of this exhibit pursuant to Rule 406 of the Securities Act of 1933, as amended, or Rule 24b-2 of the Securities Exchange Act of 1934, as amended.</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tabs>
          <w:tab w:leader="none" w:pos="11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RULE 415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jc w:val="both"/>
        <w:ind w:left="660" w:hanging="4"/>
        <w:spacing w:after="0" w:line="293" w:lineRule="auto"/>
        <w:tabs>
          <w:tab w:leader="none" w:pos="1002"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0" w:firstLine="656"/>
        <w:spacing w:after="0" w:line="277" w:lineRule="auto"/>
        <w:tabs>
          <w:tab w:leader="none" w:pos="10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8"/>
        <w:spacing w:after="0" w:line="264"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8"/>
        <w:spacing w:after="0" w:line="277" w:lineRule="auto"/>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8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hanging="4"/>
        <w:spacing w:after="0" w:line="269" w:lineRule="auto"/>
        <w:tabs>
          <w:tab w:leader="none" w:pos="943" w:val="left"/>
        </w:tabs>
        <w:numPr>
          <w:ilvl w:val="1"/>
          <w:numId w:val="2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left="-8" w:firstLine="8"/>
        <w:spacing w:after="0" w:line="255" w:lineRule="auto"/>
        <w:tabs>
          <w:tab w:leader="none" w:pos="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rFonts w:ascii="Arial" w:cs="Arial" w:eastAsia="Arial" w:hAnsi="Arial"/>
          <w:sz w:val="18"/>
          <w:szCs w:val="18"/>
          <w:color w:val="auto"/>
        </w:rPr>
      </w:pPr>
    </w:p>
    <w:p>
      <w:pPr>
        <w:jc w:val="both"/>
        <w:ind w:left="-8" w:firstLine="8"/>
        <w:spacing w:after="0" w:line="302" w:lineRule="auto"/>
        <w:tabs>
          <w:tab w:leader="none" w:pos="2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jc w:val="both"/>
        <w:ind w:left="-8" w:firstLine="8"/>
        <w:spacing w:after="0" w:line="271" w:lineRule="auto"/>
        <w:tabs>
          <w:tab w:leader="none" w:pos="2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Jacksonville, State of Florida, on September 22, 2017.</w:t>
      </w:r>
    </w:p>
    <w:p>
      <w:pPr>
        <w:spacing w:after="0" w:line="18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Glynn Wilson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Michael J. Loiacono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Accounting Officer)</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dated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3880" w:type="dxa"/>
            <w:vAlign w:val="bottom"/>
            <w:gridSpan w:val="3"/>
          </w:tcPr>
          <w:p>
            <w:pPr>
              <w:ind w:left="120"/>
              <w:spacing w:after="0"/>
              <w:rPr>
                <w:sz w:val="20"/>
                <w:szCs w:val="20"/>
                <w:color w:val="auto"/>
              </w:rPr>
            </w:pPr>
            <w:r>
              <w:rPr>
                <w:rFonts w:ascii="Arial" w:cs="Arial" w:eastAsia="Arial" w:hAnsi="Arial"/>
                <w:sz w:val="18"/>
                <w:szCs w:val="18"/>
                <w:b w:val="1"/>
                <w:bCs w:val="1"/>
                <w:color w:val="auto"/>
              </w:rPr>
              <w:t>Title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426"/>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22, 2017</w:t>
            </w: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Sherry Grisewood</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Glynn Wilson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22, 2017</w:t>
            </w: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Dr. Glynn Wilson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22, 2017</w:t>
            </w: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David Laskow-Pooley</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22, 2017</w:t>
            </w: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Mark Reddish</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22, 2017</w:t>
            </w: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Frederick Wasserman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22, 2017</w:t>
            </w: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Joshua Silverman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J. Loiacono</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September 22, 2017</w:t>
            </w:r>
          </w:p>
        </w:tc>
      </w:tr>
      <w:tr>
        <w:trPr>
          <w:trHeight w:val="224"/>
        </w:trPr>
        <w:tc>
          <w:tcPr>
            <w:tcW w:w="3900" w:type="dxa"/>
            <w:vAlign w:val="bottom"/>
            <w:gridSpan w:val="3"/>
          </w:tcPr>
          <w:p>
            <w:pPr>
              <w:spacing w:after="0"/>
              <w:rPr>
                <w:sz w:val="20"/>
                <w:szCs w:val="20"/>
                <w:color w:val="auto"/>
              </w:rPr>
            </w:pPr>
            <w:r>
              <w:rPr>
                <w:rFonts w:ascii="Arial" w:cs="Arial" w:eastAsia="Arial" w:hAnsi="Arial"/>
                <w:sz w:val="18"/>
                <w:szCs w:val="18"/>
                <w:color w:val="auto"/>
              </w:rPr>
              <w:t>Michael J. Loiacono</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634"/>
        </w:trPr>
        <w:tc>
          <w:tcPr>
            <w:tcW w:w="3900" w:type="dxa"/>
            <w:vAlign w:val="bottom"/>
            <w:gridSpan w:val="3"/>
          </w:tcPr>
          <w:p>
            <w:pPr>
              <w:spacing w:after="0"/>
              <w:rPr>
                <w:sz w:val="20"/>
                <w:szCs w:val="20"/>
                <w:color w:val="auto"/>
              </w:rPr>
            </w:pPr>
            <w:r>
              <w:rPr>
                <w:rFonts w:ascii="Arial" w:cs="Arial" w:eastAsia="Arial" w:hAnsi="Arial"/>
                <w:sz w:val="18"/>
                <w:szCs w:val="18"/>
                <w:color w:val="auto"/>
              </w:rPr>
              <w:t>*By:/s/ Michael J. Loiacono</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24"/>
        </w:trPr>
        <w:tc>
          <w:tcPr>
            <w:tcW w:w="37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decimal"/>
      <w:start w:val="9"/>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1)"/>
      <w:numFmt w:val="decimal"/>
      <w:start w:val="14"/>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Roman"/>
      <w:start w:val="1"/>
    </w:lvl>
  </w:abstractNum>
  <w:abstractNum w:abstractNumId="25">
    <w:nsid w:val="189A769B"/>
    <w:multiLevelType w:val="hybridMultilevel"/>
    <w:lvl w:ilvl="0">
      <w:lvlJc w:val="left"/>
      <w:lvlText w:val="(%1)"/>
      <w:numFmt w:val="decimal"/>
      <w:start w:val="2"/>
    </w:lvl>
    <w:lvl w:ilvl="1">
      <w:lvlJc w:val="left"/>
      <w:lvlText w:val="(%2)"/>
      <w:numFmt w:val="lowerRoman"/>
      <w:start w:val="1"/>
    </w:lvl>
  </w:abstractNum>
  <w:abstractNum w:abstractNumId="26">
    <w:nsid w:val="54E49EB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62" Type="http://schemas.openxmlformats.org/officeDocument/2006/relationships/image" Target="media/image29.png"/><Relationship Id="rId89" Type="http://schemas.openxmlformats.org/officeDocument/2006/relationships/image" Target="media/image30.png"/><Relationship Id="rId117" Type="http://schemas.openxmlformats.org/officeDocument/2006/relationships/image" Target="media/image31.png"/><Relationship Id="rId137" Type="http://schemas.openxmlformats.org/officeDocument/2006/relationships/image" Target="media/image32.png"/><Relationship Id="rId138" Type="http://schemas.openxmlformats.org/officeDocument/2006/relationships/image" Target="media/image33.png"/><Relationship Id="rId139" Type="http://schemas.openxmlformats.org/officeDocument/2006/relationships/image" Target="media/image34.png"/><Relationship Id="rId140" Type="http://schemas.openxmlformats.org/officeDocument/2006/relationships/image" Target="media/image35.png"/><Relationship Id="rId141" Type="http://schemas.openxmlformats.org/officeDocument/2006/relationships/image" Target="media/image36.png"/><Relationship Id="rId142" Type="http://schemas.openxmlformats.org/officeDocument/2006/relationships/image" Target="media/image37.png"/><Relationship Id="rId36" Type="http://schemas.openxmlformats.org/officeDocument/2006/relationships/hyperlink" Target="http://www.sec.gov/Archives/edgar/data/1094038/000114420416131724/v450946_ex3-1.htm" TargetMode="External"/><Relationship Id="rId37" Type="http://schemas.openxmlformats.org/officeDocument/2006/relationships/hyperlink" Target="http://www.sec.gov/Archives/edgar/data/1094038/000119312516710452/d259737dex31.htm" TargetMode="External"/><Relationship Id="rId38" Type="http://schemas.openxmlformats.org/officeDocument/2006/relationships/hyperlink" Target="http://www.sec.gov/Archives/edgar/data/1094038/000119312516649467/d226182dex31.htm" TargetMode="External"/><Relationship Id="rId39" Type="http://schemas.openxmlformats.org/officeDocument/2006/relationships/hyperlink" Target="http://www.sec.gov/Archives/edgar/data/1094038/000114420417036431/v470649_ex3-1.htm" TargetMode="External"/><Relationship Id="rId40" Type="http://schemas.openxmlformats.org/officeDocument/2006/relationships/hyperlink" Target="http://www.sec.gov/Archives/edgar/data/1094038/000142488410000060/exhibit10-1.htm" TargetMode="External"/><Relationship Id="rId41" Type="http://schemas.openxmlformats.org/officeDocument/2006/relationships/hyperlink" Target="http://www.sec.gov/Archives/edgar/data/1094038/000142488410000060/exhibit10-4.htm" TargetMode="External"/><Relationship Id="rId42" Type="http://schemas.openxmlformats.org/officeDocument/2006/relationships/hyperlink" Target="http://www.sec.gov/Archives/edgar/data/1094038/000142488410000060/exhibit10-3.htm" TargetMode="External"/><Relationship Id="rId43" Type="http://schemas.openxmlformats.org/officeDocument/2006/relationships/hyperlink" Target="http://www.sec.gov/Archives/edgar/data/1094038/000142488410000060/exhibit10-2.htm" TargetMode="External"/><Relationship Id="rId44" Type="http://schemas.openxmlformats.org/officeDocument/2006/relationships/hyperlink" Target="http://www.sec.gov/Archives/edgar/data/1094038/000142488410000060/exhibit10-5.htm" TargetMode="External"/><Relationship Id="rId45" Type="http://schemas.openxmlformats.org/officeDocument/2006/relationships/hyperlink" Target="http://www.sec.gov/Archives/edgar/data/1094038/000142488410000060/exhibit10-6.htm" TargetMode="External"/><Relationship Id="rId46" Type="http://schemas.openxmlformats.org/officeDocument/2006/relationships/hyperlink" Target="http://www.sec.gov/Archives/edgar/data/1094038/000142488410000060/exhibit10-7.htm" TargetMode="External"/><Relationship Id="rId47" Type="http://schemas.openxmlformats.org/officeDocument/2006/relationships/hyperlink" Target="http://www.sec.gov/Archives/edgar/data/1094038/000142488411000031/exhibit10-1.htm" TargetMode="External"/><Relationship Id="rId48" Type="http://schemas.openxmlformats.org/officeDocument/2006/relationships/hyperlink" Target="http://www.sec.gov/Archives/edgar/data/1094038/000142488411000031/exhibit10-2.htm" TargetMode="External"/><Relationship Id="rId49" Type="http://schemas.openxmlformats.org/officeDocument/2006/relationships/hyperlink" Target="http://www.sec.gov/Archives/edgar/data/1094038/000142488411000031/exhibit10-3.htm" TargetMode="External"/><Relationship Id="rId50" Type="http://schemas.openxmlformats.org/officeDocument/2006/relationships/hyperlink" Target="http://www.sec.gov/Archives/edgar/data/1094038/000142488411000031/exhibit10-4.htm" TargetMode="External"/><Relationship Id="rId51" Type="http://schemas.openxmlformats.org/officeDocument/2006/relationships/hyperlink" Target="http://www.sec.gov/Archives/edgar/data/1094038/000142488411000066/exhib4-12.htm" TargetMode="External"/><Relationship Id="rId52" Type="http://schemas.openxmlformats.org/officeDocument/2006/relationships/hyperlink" Target="http://www.sec.gov/Archives/edgar/data/1094038/000142488411000066/exhib4-13.htm" TargetMode="External"/><Relationship Id="rId53" Type="http://schemas.openxmlformats.org/officeDocument/2006/relationships/hyperlink" Target="http://www.sec.gov/Archives/edgar/data/1094038/000142488411000066/exhib4-14.htm" TargetMode="External"/><Relationship Id="rId54" Type="http://schemas.openxmlformats.org/officeDocument/2006/relationships/hyperlink" Target="http://www.sec.gov/Archives/edgar/data/1094038/000142488411000066/exhib4-15.htm" TargetMode="External"/><Relationship Id="rId55" Type="http://schemas.openxmlformats.org/officeDocument/2006/relationships/hyperlink" Target="http://www.sec.gov/Archives/edgar/data/1094038/000142488414000086/exhibit4-1.htm" TargetMode="External"/><Relationship Id="rId56" Type="http://schemas.openxmlformats.org/officeDocument/2006/relationships/hyperlink" Target="http://www.sec.gov/Archives/edgar/data/1094038/000142488414000086/exhibit4-2.htm" TargetMode="External"/><Relationship Id="rId57" Type="http://schemas.openxmlformats.org/officeDocument/2006/relationships/hyperlink" Target="http://www.sec.gov/Archives/edgar/data/1094038/000142488415000006/exhibit4-1.htm" TargetMode="External"/><Relationship Id="rId58" Type="http://schemas.openxmlformats.org/officeDocument/2006/relationships/hyperlink" Target="http://www.sec.gov/Archives/edgar/data/1094038/000142488415000006/exhibit4-2.htm" TargetMode="External"/><Relationship Id="rId59" Type="http://schemas.openxmlformats.org/officeDocument/2006/relationships/hyperlink" Target="http://www.sec.gov/Archives/edgar/data/1094038/000142488415000006/exhibit4-3.htm" TargetMode="External"/><Relationship Id="rId60" Type="http://schemas.openxmlformats.org/officeDocument/2006/relationships/hyperlink" Target="http://www.sec.gov/Archives/edgar/data/1094038/000142488415000006/exhibit4-4.htm" TargetMode="External"/><Relationship Id="rId61" Type="http://schemas.openxmlformats.org/officeDocument/2006/relationships/hyperlink" Target="http://www.sec.gov/Archives/edgar/data/1094038/000142488415000006/exhibit4-5.htm" TargetMode="External"/><Relationship Id="rId63" Type="http://schemas.openxmlformats.org/officeDocument/2006/relationships/hyperlink" Target="http://www.sec.gov/Archives/edgar/data/1094038/000142488415000006/exhibit4-6.htm" TargetMode="External"/><Relationship Id="rId64" Type="http://schemas.openxmlformats.org/officeDocument/2006/relationships/hyperlink" Target="http://www.sec.gov/Archives/edgar/data/1094038/000142488415000006/exhibit4-7.htm" TargetMode="External"/><Relationship Id="rId65" Type="http://schemas.openxmlformats.org/officeDocument/2006/relationships/hyperlink" Target="http://www.sec.gov/Archives/edgar/data/1094038/000142488415000006/exhibit4-8.htm" TargetMode="External"/><Relationship Id="rId66" Type="http://schemas.openxmlformats.org/officeDocument/2006/relationships/hyperlink" Target="http://www.sec.gov/Archives/edgar/data/1094038/000142488415000006/exhibit4-9.htm" TargetMode="External"/><Relationship Id="rId67" Type="http://schemas.openxmlformats.org/officeDocument/2006/relationships/hyperlink" Target="http://www.sec.gov/Archives/edgar/data/1094038/000142488415000006/exhibit4-10.htm" TargetMode="External"/><Relationship Id="rId68" Type="http://schemas.openxmlformats.org/officeDocument/2006/relationships/hyperlink" Target="http://www.sec.gov/Archives/edgar/data/1094038/000142488415000030/exhibit4-1.htm" TargetMode="External"/><Relationship Id="rId69" Type="http://schemas.openxmlformats.org/officeDocument/2006/relationships/hyperlink" Target="http://www.sec.gov/Archives/edgar/data/1094038/000142488415000030/exhibit4-2.htm" TargetMode="External"/><Relationship Id="rId70" Type="http://schemas.openxmlformats.org/officeDocument/2006/relationships/hyperlink" Target="http://www.sec.gov/Archives/edgar/data/1094038/000142488415000030/exhibit4-3.htm" TargetMode="External"/><Relationship Id="rId71" Type="http://schemas.openxmlformats.org/officeDocument/2006/relationships/hyperlink" Target="http://www.sec.gov/Archives/edgar/data/1094038/000142488415000030/exhibit4-4.htm" TargetMode="External"/><Relationship Id="rId72" Type="http://schemas.openxmlformats.org/officeDocument/2006/relationships/hyperlink" Target="http://www.sec.gov/Archives/edgar/data/1094038/000142488415000030/exhibit4-5.htm" TargetMode="External"/><Relationship Id="rId73" Type="http://schemas.openxmlformats.org/officeDocument/2006/relationships/hyperlink" Target="http://www.sec.gov/Archives/edgar/data/1094038/000142488415000030/exhibit4-6.htm" TargetMode="External"/><Relationship Id="rId74" Type="http://schemas.openxmlformats.org/officeDocument/2006/relationships/hyperlink" Target="http://www.sec.gov/Archives/edgar/data/1094038/000142488415000030/exhibit4-7.htm" TargetMode="External"/><Relationship Id="rId75" Type="http://schemas.openxmlformats.org/officeDocument/2006/relationships/hyperlink" Target="http://www.sec.gov/Archives/edgar/data/1094038/000142488415000030/exhibit4-8.htm" TargetMode="External"/><Relationship Id="rId76" Type="http://schemas.openxmlformats.org/officeDocument/2006/relationships/hyperlink" Target="http://www.sec.gov/Archives/edgar/data/1094038/000142488415000030/exhibit4-9.htm" TargetMode="External"/><Relationship Id="rId77" Type="http://schemas.openxmlformats.org/officeDocument/2006/relationships/hyperlink" Target="http://www.sec.gov/Archives/edgar/data/1094038/000142488415000030/exhibit4-10.htm" TargetMode="External"/><Relationship Id="rId78" Type="http://schemas.openxmlformats.org/officeDocument/2006/relationships/hyperlink" Target="http://www.sec.gov/Archives/edgar/data/1094038/000119312516678673/d161424dex41.htm" TargetMode="External"/><Relationship Id="rId79" Type="http://schemas.openxmlformats.org/officeDocument/2006/relationships/hyperlink" Target="http://www.sec.gov/Archives/edgar/data/1094038/000119312516678673/d161424dex42.htm" TargetMode="External"/><Relationship Id="rId80" Type="http://schemas.openxmlformats.org/officeDocument/2006/relationships/hyperlink" Target="http://www.sec.gov/Archives/edgar/data/1094038/000119312516678673/d161424dex43.htm" TargetMode="External"/><Relationship Id="rId81" Type="http://schemas.openxmlformats.org/officeDocument/2006/relationships/hyperlink" Target="http://www.sec.gov/Archives/edgar/data/1094038/000119312516678673/d161424dex44.htm" TargetMode="External"/><Relationship Id="rId82" Type="http://schemas.openxmlformats.org/officeDocument/2006/relationships/hyperlink" Target="http://www.sec.gov/Archives/edgar/data/1094038/000119312516678673/d161424dex45.htm" TargetMode="External"/><Relationship Id="rId83" Type="http://schemas.openxmlformats.org/officeDocument/2006/relationships/hyperlink" Target="http://www.sec.gov/Archives/edgar/data/1094038/000119312516678673/d161424dex46.htm" TargetMode="External"/><Relationship Id="rId84" Type="http://schemas.openxmlformats.org/officeDocument/2006/relationships/hyperlink" Target="http://www.sec.gov/Archives/edgar/data/1094038/000119312516678673/d161424dex47.htm" TargetMode="External"/><Relationship Id="rId85" Type="http://schemas.openxmlformats.org/officeDocument/2006/relationships/hyperlink" Target="http://www.sec.gov/Archives/edgar/data/1094038/000119312516678673/d161424dex48.htm" TargetMode="External"/><Relationship Id="rId86" Type="http://schemas.openxmlformats.org/officeDocument/2006/relationships/hyperlink" Target="http://www.sec.gov/Archives/edgar/data/1094038/000119312516678673/d161424dex49.htm" TargetMode="External"/><Relationship Id="rId87" Type="http://schemas.openxmlformats.org/officeDocument/2006/relationships/hyperlink" Target="http://www.sec.gov/Archives/edgar/data/1094038/000119312516678673/d161424dex410.htm" TargetMode="External"/><Relationship Id="rId88" Type="http://schemas.openxmlformats.org/officeDocument/2006/relationships/hyperlink" Target="http://www.sec.gov/Archives/edgar/data/1094038/000119312516678673/d161424dex411.htm" TargetMode="External"/><Relationship Id="rId90" Type="http://schemas.openxmlformats.org/officeDocument/2006/relationships/hyperlink" Target="http://www.sec.gov/Archives/edgar/data/1094038/000114420417033502/v469341_ex4-1.htm" TargetMode="External"/><Relationship Id="rId91" Type="http://schemas.openxmlformats.org/officeDocument/2006/relationships/hyperlink" Target="http://www.sec.gov/Archives/edgar/data/1094038/000114420417033502/v469341_ex4-2.htm" TargetMode="External"/><Relationship Id="rId92" Type="http://schemas.openxmlformats.org/officeDocument/2006/relationships/hyperlink" Target="http://www.sec.gov/Archives/edgar/data/1094038/000142488414000070/exhibit5-1.htm" TargetMode="External"/><Relationship Id="rId93" Type="http://schemas.openxmlformats.org/officeDocument/2006/relationships/hyperlink" Target="http://www.sec.gov/Archives/edgar/data/1094038/000118374007000771/ex10-1.htm" TargetMode="External"/><Relationship Id="rId94" Type="http://schemas.openxmlformats.org/officeDocument/2006/relationships/hyperlink" Target="http://www.sec.gov/Archives/edgar/data/1094038/000118374007000771/ex10-2.htm" TargetMode="External"/><Relationship Id="rId95" Type="http://schemas.openxmlformats.org/officeDocument/2006/relationships/hyperlink" Target="http://www.sec.gov/Archives/edgar/data/1094038/000095013405007541/d23996exv10w2.htm" TargetMode="External"/><Relationship Id="rId96" Type="http://schemas.openxmlformats.org/officeDocument/2006/relationships/hyperlink" Target="http://www.sec.gov/Archives/edgar/data/1094038/000095013405007541/d23996exv10w3.htm" TargetMode="External"/><Relationship Id="rId97" Type="http://schemas.openxmlformats.org/officeDocument/2006/relationships/hyperlink" Target="http://www.sec.gov/Archives/edgar/data/1094038/000095013405007541/d23996exv10w5.htm" TargetMode="External"/><Relationship Id="rId98" Type="http://schemas.openxmlformats.org/officeDocument/2006/relationships/hyperlink" Target="http://www.sec.gov/Archives/edgar/data/1094038/000095013405007541/d23996exv10w6.htm" TargetMode="External"/><Relationship Id="rId99" Type="http://schemas.openxmlformats.org/officeDocument/2006/relationships/hyperlink" Target="http://www.sec.gov/Archives/edgar/data/1094038/000118374006000024/f8k.htm" TargetMode="External"/><Relationship Id="rId100" Type="http://schemas.openxmlformats.org/officeDocument/2006/relationships/hyperlink" Target="http://www.sec.gov/Archives/edgar/data/1094038/000142488410000008/forddef14-c.htm" TargetMode="External"/><Relationship Id="rId101" Type="http://schemas.openxmlformats.org/officeDocument/2006/relationships/hyperlink" Target="http://www.sec.gov/Archives/edgar/data/1094038/000142488410000072/exhib10-1.htm" TargetMode="External"/><Relationship Id="rId102" Type="http://schemas.openxmlformats.org/officeDocument/2006/relationships/hyperlink" Target="http://www.sec.gov/Archives/edgar/data/1094038/000142488414000086/exhibit10-1.htm" TargetMode="External"/><Relationship Id="rId103" Type="http://schemas.openxmlformats.org/officeDocument/2006/relationships/hyperlink" Target="http://www.sec.gov/Archives/edgar/data/1094038/000142488414000086/exhibit10-2.htm" TargetMode="External"/><Relationship Id="rId104" Type="http://schemas.openxmlformats.org/officeDocument/2006/relationships/hyperlink" Target="http://www.sec.gov/Archives/edgar/data/1094038/000142488415000006/exhibit10-1.htm" TargetMode="External"/><Relationship Id="rId105" Type="http://schemas.openxmlformats.org/officeDocument/2006/relationships/hyperlink" Target="http://www.sec.gov/Archives/edgar/data/1094038/000142488415000006/exhibit10-2.htm" TargetMode="External"/><Relationship Id="rId106" Type="http://schemas.openxmlformats.org/officeDocument/2006/relationships/hyperlink" Target="http://www.sec.gov/Archives/edgar/data/1094038/000142488415000006/exhibit10-3.htm" TargetMode="External"/><Relationship Id="rId107" Type="http://schemas.openxmlformats.org/officeDocument/2006/relationships/hyperlink" Target="http://www.sec.gov/Archives/edgar/data/1094038/000142488415000030/exhibit10-1.htm" TargetMode="External"/><Relationship Id="rId108" Type="http://schemas.openxmlformats.org/officeDocument/2006/relationships/hyperlink" Target="http://www.sec.gov/Archives/edgar/data/1094038/000142488415000030/exhibit10-2.htm" TargetMode="External"/><Relationship Id="rId109" Type="http://schemas.openxmlformats.org/officeDocument/2006/relationships/hyperlink" Target="http://www.sec.gov/Archives/edgar/data/1094038/000142488415000054/exhibit10-1.htm" TargetMode="External"/><Relationship Id="rId110" Type="http://schemas.openxmlformats.org/officeDocument/2006/relationships/hyperlink" Target="http://www.sec.gov/Archives/edgar/data/1094038/000142488415000057/exhibit10-1.htm" TargetMode="External"/><Relationship Id="rId111" Type="http://schemas.openxmlformats.org/officeDocument/2006/relationships/hyperlink" Target="http://www.sec.gov/Archives/edgar/data/1094038/000142488415000110/exhibit10-1.htm" TargetMode="External"/><Relationship Id="rId112" Type="http://schemas.openxmlformats.org/officeDocument/2006/relationships/hyperlink" Target="http://www.sec.gov/Archives/edgar/data/1094038/000142488415000124/exhibit10-1.htm" TargetMode="External"/><Relationship Id="rId113" Type="http://schemas.openxmlformats.org/officeDocument/2006/relationships/hyperlink" Target="http://www.sec.gov/Archives/edgar/data/1094038/000142488415000168/exhibit10-1.htm" TargetMode="External"/><Relationship Id="rId114" Type="http://schemas.openxmlformats.org/officeDocument/2006/relationships/hyperlink" Target="http://www.sec.gov/Archives/edgar/data/1094038/000142488415000168/exhibit10-2.htm" TargetMode="External"/><Relationship Id="rId115" Type="http://schemas.openxmlformats.org/officeDocument/2006/relationships/hyperlink" Target="http://www.sec.gov/Archives/edgar/data/1094038/000142488415000168/exhibit10-3.htm" TargetMode="External"/><Relationship Id="rId116" Type="http://schemas.openxmlformats.org/officeDocument/2006/relationships/hyperlink" Target="http://www.sec.gov/Archives/edgar/data/1094038/000114420417046574/v474594_ex10-1.htm" TargetMode="External"/><Relationship Id="rId118" Type="http://schemas.openxmlformats.org/officeDocument/2006/relationships/hyperlink" Target="http://www.sec.gov/Archives/edgar/data/1094038/000142488415000168/exhibit10-4.htm" TargetMode="External"/><Relationship Id="rId119" Type="http://schemas.openxmlformats.org/officeDocument/2006/relationships/hyperlink" Target="http://www.sec.gov/Archives/edgar/data/1094038/000142488415000168/exhibit10-5.htm" TargetMode="External"/><Relationship Id="rId120" Type="http://schemas.openxmlformats.org/officeDocument/2006/relationships/hyperlink" Target="http://www.sec.gov/Archives/edgar/data/1094038/000142488415000168/exhibit10-6.htm" TargetMode="External"/><Relationship Id="rId121" Type="http://schemas.openxmlformats.org/officeDocument/2006/relationships/hyperlink" Target="http://www.sec.gov/Archives/edgar/data/1094038/000142488415000168/exhibit10-7.htm" TargetMode="External"/><Relationship Id="rId122" Type="http://schemas.openxmlformats.org/officeDocument/2006/relationships/hyperlink" Target="http://www.sec.gov/Archives/edgar/data/1094038/000142488415000168/exhibit10-8.htm" TargetMode="External"/><Relationship Id="rId123" Type="http://schemas.openxmlformats.org/officeDocument/2006/relationships/hyperlink" Target="http://www.sec.gov/Archives/edgar/data/1094038/000119312516465456/d135795dex102.htm" TargetMode="External"/><Relationship Id="rId124" Type="http://schemas.openxmlformats.org/officeDocument/2006/relationships/hyperlink" Target="http://www.sec.gov/Archives/edgar/data/1094038/000119312516465456/d135795dex103.htm" TargetMode="External"/><Relationship Id="rId125" Type="http://schemas.openxmlformats.org/officeDocument/2006/relationships/hyperlink" Target="http://www.sec.gov/Archives/edgar/data/1094038/000119312516682054/d157003dex107.htm" TargetMode="External"/><Relationship Id="rId126" Type="http://schemas.openxmlformats.org/officeDocument/2006/relationships/hyperlink" Target="http://www.sec.gov/Archives/edgar/data/1094038/000119312516650797/d208443dex101.htm" TargetMode="External"/><Relationship Id="rId127" Type="http://schemas.openxmlformats.org/officeDocument/2006/relationships/hyperlink" Target="http://www.sec.gov/Archives/edgar/data/1094038/000119312516650797/d208443dex102.htm" TargetMode="External"/><Relationship Id="rId128" Type="http://schemas.openxmlformats.org/officeDocument/2006/relationships/hyperlink" Target="http://www.sec.gov/Archives/edgar/data/1094038/000119312516690727/d230909dex101.htm" TargetMode="External"/><Relationship Id="rId129" Type="http://schemas.openxmlformats.org/officeDocument/2006/relationships/hyperlink" Target="http://www.sec.gov/Archives/edgar/data/1094038/000114420417033502/v469341_ex10-1.htm" TargetMode="External"/><Relationship Id="rId130" Type="http://schemas.openxmlformats.org/officeDocument/2006/relationships/hyperlink" Target="http://www.sec.gov/Archives/edgar/data/1094038/000114420417033502/v469341_ex10-2.htm" TargetMode="External"/><Relationship Id="rId131" Type="http://schemas.openxmlformats.org/officeDocument/2006/relationships/hyperlink" Target="http://www.sec.gov/Archives/edgar/data/1094038/000114420417033502/v469341_ex10-3.htm" TargetMode="External"/><Relationship Id="rId132" Type="http://schemas.openxmlformats.org/officeDocument/2006/relationships/hyperlink" Target="http://www.sec.gov/Archives/edgar/data/1094038/000114420417033502/v469341_ex10-4.htm" TargetMode="External"/><Relationship Id="rId133" Type="http://schemas.openxmlformats.org/officeDocument/2006/relationships/hyperlink" Target="http://www.sec.gov/Archives/edgar/data/1094038/000114420417034074/v469703_ex10-1.htm" TargetMode="External"/><Relationship Id="rId134" Type="http://schemas.openxmlformats.org/officeDocument/2006/relationships/hyperlink" Target="http://www.sec.gov/Archives/edgar/data/1094038/000142488415000168/exhibit14.htm" TargetMode="External"/><Relationship Id="rId135" Type="http://schemas.openxmlformats.org/officeDocument/2006/relationships/hyperlink" Target="http://www.sec.gov/Archives/edgar/data/1094038/000142488414000070/exhibit23-1.htm" TargetMode="External"/><Relationship Id="rId136" Type="http://schemas.openxmlformats.org/officeDocument/2006/relationships/hyperlink" Target="http://www.sec.gov/Archives/edgar/data/1094038/000142488414000070/s-3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2020-01-18T10:25:31Z</dcterms:created>
  <dcterms:modified xsi:type="dcterms:W3CDTF">2020-01-18T10:25:31Z</dcterms:modified>
</cp:coreProperties>
</file>