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tv521409_4.xml.htm"/>
      <w:bookmarkStart w:id="1" w:name="kstv521409_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Eansor Norman David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3200 SOUTHWEST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2240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Marker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MRKR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05/09/2019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05/09/2019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7,260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7,260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portion of the annual board retainer for each non-employee director payable in immediately vested, common stock under the Company's 2014 Omnibus Stock Ownership Plan, as amended and based on the closing price of $5.51 per share, on the day immediately preceding the date of the Company's 2019 annual meeting.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Mark A. Catchur, as Attorney-in-Fact for Norman David Eansor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05/13/2019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70905" TargetMode="External"/><Relationship Id="rId4" Type="http://schemas.openxmlformats.org/officeDocument/2006/relationships/hyperlink" Target="http://www.sec.gov/cgi-bin/browse-edgar?action=getcompany&amp;CIK=00010940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574</Words>
  <CharactersWithSpaces>3634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