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25" w:lineRule="exact"/>
        <w:rPr>
          <w:sz w:val="24"/>
          <w:szCs w:val="24"/>
          <w:color w:val="auto"/>
        </w:rPr>
      </w:pPr>
    </w:p>
    <w:p>
      <w:pPr>
        <w:jc w:val="center"/>
        <w:ind w:left="4820" w:right="2180" w:hanging="2614"/>
        <w:spacing w:after="0" w:line="532" w:lineRule="auto"/>
        <w:tabs>
          <w:tab w:leader="none" w:pos="233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240.13d-l(a) AND AMENDMENTS THERETO FILED PURSUANT TO § 240.13d-2(a)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-21590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57055L206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Aisling Capital</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888 Seventh Avenue,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10106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651-6380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16,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§§240.13d-l(e), 240.13d-l(f) or 240.13d-l(g),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ind w:left="340" w:right="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left="340" w:right="32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CUSIP No.</w:t>
            </w:r>
          </w:p>
        </w:tc>
        <w:tc>
          <w:tcPr>
            <w:tcW w:w="8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140" w:type="dxa"/>
            <w:vAlign w:val="bottom"/>
            <w:tcBorders>
              <w:top w:val="single" w:sz="8" w:color="auto"/>
            </w:tcBorders>
          </w:tcPr>
          <w:p>
            <w:pPr>
              <w:ind w:left="3020"/>
              <w:spacing w:after="0"/>
              <w:rPr>
                <w:sz w:val="20"/>
                <w:szCs w:val="20"/>
                <w:color w:val="auto"/>
              </w:rPr>
            </w:pPr>
            <w:r>
              <w:rPr>
                <w:rFonts w:ascii="Arial" w:cs="Arial" w:eastAsia="Arial" w:hAnsi="Arial"/>
                <w:sz w:val="18"/>
                <w:szCs w:val="18"/>
                <w:b w:val="1"/>
                <w:bCs w:val="1"/>
                <w:color w:val="auto"/>
              </w:rPr>
              <w:t>13G</w:t>
            </w:r>
          </w:p>
        </w:tc>
        <w:tc>
          <w:tcPr>
            <w:tcW w:w="26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3"/>
              </w:rPr>
              <w:t>Page 2 of 8 Pages</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7800" w:type="dxa"/>
            <w:vAlign w:val="bottom"/>
            <w:gridSpan w:val="4"/>
          </w:tcPr>
          <w:p>
            <w:pPr>
              <w:ind w:left="20"/>
              <w:spacing w:after="0"/>
              <w:rPr>
                <w:sz w:val="20"/>
                <w:szCs w:val="20"/>
                <w:color w:val="auto"/>
              </w:rPr>
            </w:pPr>
            <w:r>
              <w:rPr>
                <w:rFonts w:ascii="Arial" w:cs="Arial" w:eastAsia="Arial" w:hAnsi="Arial"/>
                <w:sz w:val="18"/>
                <w:szCs w:val="18"/>
                <w:b w:val="1"/>
                <w:bCs w:val="1"/>
                <w:color w:val="auto"/>
              </w:rPr>
              <w:t>Aisling Capital IV, LP</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7.</w:t>
            </w:r>
          </w:p>
        </w:tc>
        <w:tc>
          <w:tcPr>
            <w:tcW w:w="61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8.</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6140" w:type="dxa"/>
            <w:vAlign w:val="bottom"/>
            <w:vMerge w:val="restart"/>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Beneficially Owned</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1"/>
              </w:rPr>
              <w:t>By Each Reporting</w:t>
            </w: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color w:val="auto"/>
                <w:w w:val="92"/>
              </w:rPr>
              <w:t>9.</w:t>
            </w:r>
          </w:p>
        </w:tc>
        <w:tc>
          <w:tcPr>
            <w:tcW w:w="61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14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10.</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464,285</w:t>
            </w:r>
            <w:r>
              <w:rPr>
                <w:rFonts w:ascii="Arial" w:cs="Arial" w:eastAsia="Arial" w:hAnsi="Arial"/>
                <w:sz w:val="29"/>
                <w:szCs w:val="29"/>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780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4"/>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13.</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5.46%</w:t>
            </w:r>
            <w:r>
              <w:rPr>
                <w:rFonts w:ascii="Arial" w:cs="Arial" w:eastAsia="Arial" w:hAnsi="Arial"/>
                <w:sz w:val="29"/>
                <w:szCs w:val="29"/>
                <w:b w:val="1"/>
                <w:bCs w:val="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14.</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464,285 shares of Common Stock (“Shares”) held and acquirable in respect of (i) 314,285 Shares and (ii) 150,000 warrants (“Warrants”) to purchase Shares at an exercise price of $5.00 per share with a five-year term. See Item 4.</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(i) 8,359,918 Shares outstanding calculated from the 83,599,187 Shares outstanding as of November 1, 2022 as reported on the Issuer’s Form 10-Q, filed on November 10, 2022 and giving effect to the one for ten reverse stock split on January 26, 2023 (the “Reverse Stock Split”) and (ii) 150,000 Shares in respect of 150,000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6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CUSIP No.</w:t>
            </w:r>
          </w:p>
        </w:tc>
        <w:tc>
          <w:tcPr>
            <w:tcW w:w="8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140" w:type="dxa"/>
            <w:vAlign w:val="bottom"/>
            <w:tcBorders>
              <w:top w:val="single" w:sz="8" w:color="auto"/>
            </w:tcBorders>
          </w:tcPr>
          <w:p>
            <w:pPr>
              <w:ind w:left="3020"/>
              <w:spacing w:after="0"/>
              <w:rPr>
                <w:sz w:val="20"/>
                <w:szCs w:val="20"/>
                <w:color w:val="auto"/>
              </w:rPr>
            </w:pPr>
            <w:r>
              <w:rPr>
                <w:rFonts w:ascii="Arial" w:cs="Arial" w:eastAsia="Arial" w:hAnsi="Arial"/>
                <w:sz w:val="18"/>
                <w:szCs w:val="18"/>
                <w:b w:val="1"/>
                <w:bCs w:val="1"/>
                <w:color w:val="auto"/>
              </w:rPr>
              <w:t>13G</w:t>
            </w:r>
          </w:p>
        </w:tc>
        <w:tc>
          <w:tcPr>
            <w:tcW w:w="26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3"/>
              </w:rPr>
              <w:t>Page 3 of 8 Pages</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7800" w:type="dxa"/>
            <w:vAlign w:val="bottom"/>
            <w:gridSpan w:val="4"/>
          </w:tcPr>
          <w:p>
            <w:pPr>
              <w:ind w:left="20"/>
              <w:spacing w:after="0"/>
              <w:rPr>
                <w:sz w:val="20"/>
                <w:szCs w:val="20"/>
                <w:color w:val="auto"/>
              </w:rPr>
            </w:pPr>
            <w:r>
              <w:rPr>
                <w:rFonts w:ascii="Arial" w:cs="Arial" w:eastAsia="Arial" w:hAnsi="Arial"/>
                <w:sz w:val="18"/>
                <w:szCs w:val="18"/>
                <w:b w:val="1"/>
                <w:bCs w:val="1"/>
                <w:color w:val="auto"/>
              </w:rPr>
              <w:t>Aisling Capital Partners IV, LP</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7.</w:t>
            </w:r>
          </w:p>
        </w:tc>
        <w:tc>
          <w:tcPr>
            <w:tcW w:w="61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8.</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6140" w:type="dxa"/>
            <w:vAlign w:val="bottom"/>
            <w:vMerge w:val="restart"/>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Beneficially Owned</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1"/>
              </w:rPr>
              <w:t>By Each Reporting</w:t>
            </w: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color w:val="auto"/>
                <w:w w:val="92"/>
              </w:rPr>
              <w:t>9.</w:t>
            </w:r>
          </w:p>
        </w:tc>
        <w:tc>
          <w:tcPr>
            <w:tcW w:w="61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14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10.</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464,285</w:t>
            </w:r>
            <w:r>
              <w:rPr>
                <w:rFonts w:ascii="Arial" w:cs="Arial" w:eastAsia="Arial" w:hAnsi="Arial"/>
                <w:sz w:val="29"/>
                <w:szCs w:val="29"/>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780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4"/>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13.</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5.46%</w:t>
            </w:r>
            <w:r>
              <w:rPr>
                <w:rFonts w:ascii="Arial" w:cs="Arial" w:eastAsia="Arial" w:hAnsi="Arial"/>
                <w:sz w:val="29"/>
                <w:szCs w:val="29"/>
                <w:b w:val="1"/>
                <w:bCs w:val="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14.</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PN</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464,285 Shares held and acquirable in respect of (i) 314,285 Shares and (ii) 150,000 Warrants.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(i) 8,359,918 Shares outstanding calculated from the 83,599,187 Shares outstanding as of November 1, 2022 as reported on the Issuer’s Form 10-Q, filed on November 10, 2022 and giving effect to the Reverse Stock Split and (ii) 150,000 Shares in respect of 150,000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6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CUSIP No.</w:t>
            </w:r>
          </w:p>
        </w:tc>
        <w:tc>
          <w:tcPr>
            <w:tcW w:w="8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140" w:type="dxa"/>
            <w:vAlign w:val="bottom"/>
            <w:tcBorders>
              <w:top w:val="single" w:sz="8" w:color="auto"/>
            </w:tcBorders>
          </w:tcPr>
          <w:p>
            <w:pPr>
              <w:ind w:left="3020"/>
              <w:spacing w:after="0"/>
              <w:rPr>
                <w:sz w:val="20"/>
                <w:szCs w:val="20"/>
                <w:color w:val="auto"/>
              </w:rPr>
            </w:pPr>
            <w:r>
              <w:rPr>
                <w:rFonts w:ascii="Arial" w:cs="Arial" w:eastAsia="Arial" w:hAnsi="Arial"/>
                <w:sz w:val="18"/>
                <w:szCs w:val="18"/>
                <w:b w:val="1"/>
                <w:bCs w:val="1"/>
                <w:color w:val="auto"/>
              </w:rPr>
              <w:t>13G</w:t>
            </w:r>
          </w:p>
        </w:tc>
        <w:tc>
          <w:tcPr>
            <w:tcW w:w="26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3"/>
              </w:rPr>
              <w:t>Page 4 of 8 Pages</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7800" w:type="dxa"/>
            <w:vAlign w:val="bottom"/>
            <w:gridSpan w:val="4"/>
          </w:tcPr>
          <w:p>
            <w:pPr>
              <w:ind w:left="20"/>
              <w:spacing w:after="0"/>
              <w:rPr>
                <w:sz w:val="20"/>
                <w:szCs w:val="20"/>
                <w:color w:val="auto"/>
              </w:rPr>
            </w:pPr>
            <w:r>
              <w:rPr>
                <w:rFonts w:ascii="Arial" w:cs="Arial" w:eastAsia="Arial" w:hAnsi="Arial"/>
                <w:sz w:val="18"/>
                <w:szCs w:val="18"/>
                <w:b w:val="1"/>
                <w:bCs w:val="1"/>
                <w:color w:val="auto"/>
              </w:rPr>
              <w:t>Aisling Capital Partners IV LLC</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7.</w:t>
            </w:r>
          </w:p>
        </w:tc>
        <w:tc>
          <w:tcPr>
            <w:tcW w:w="61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8.</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6140" w:type="dxa"/>
            <w:vAlign w:val="bottom"/>
            <w:vMerge w:val="restart"/>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Beneficially Owned</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1"/>
              </w:rPr>
              <w:t>By Each Reporting</w:t>
            </w: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color w:val="auto"/>
                <w:w w:val="92"/>
              </w:rPr>
              <w:t>9.</w:t>
            </w:r>
          </w:p>
        </w:tc>
        <w:tc>
          <w:tcPr>
            <w:tcW w:w="61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14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10.</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464,285</w:t>
            </w:r>
            <w:r>
              <w:rPr>
                <w:rFonts w:ascii="Arial" w:cs="Arial" w:eastAsia="Arial" w:hAnsi="Arial"/>
                <w:sz w:val="29"/>
                <w:szCs w:val="29"/>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780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4"/>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13.</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5.46%</w:t>
            </w:r>
            <w:r>
              <w:rPr>
                <w:rFonts w:ascii="Arial" w:cs="Arial" w:eastAsia="Arial" w:hAnsi="Arial"/>
                <w:sz w:val="29"/>
                <w:szCs w:val="29"/>
                <w:b w:val="1"/>
                <w:bCs w:val="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14.</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464,285 Shares held and acquirable in respect of (i) 314,285 Shares and (ii) 150,000 Warrants.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(i) 8,359,918 Shares outstanding calculated from the 83,599,187 Shares outstanding as of November 1, 2022 as reported on the Issuer’s Form 10-Q, filed on November 10, 2022 and giving effect to the Reverse Stock Split and (ii) 150,000 Shares in respect of 150,000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6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CUSIP No.</w:t>
            </w:r>
          </w:p>
        </w:tc>
        <w:tc>
          <w:tcPr>
            <w:tcW w:w="8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140" w:type="dxa"/>
            <w:vAlign w:val="bottom"/>
            <w:tcBorders>
              <w:top w:val="single" w:sz="8" w:color="auto"/>
            </w:tcBorders>
          </w:tcPr>
          <w:p>
            <w:pPr>
              <w:ind w:left="3020"/>
              <w:spacing w:after="0"/>
              <w:rPr>
                <w:sz w:val="20"/>
                <w:szCs w:val="20"/>
                <w:color w:val="auto"/>
              </w:rPr>
            </w:pPr>
            <w:r>
              <w:rPr>
                <w:rFonts w:ascii="Arial" w:cs="Arial" w:eastAsia="Arial" w:hAnsi="Arial"/>
                <w:sz w:val="18"/>
                <w:szCs w:val="18"/>
                <w:b w:val="1"/>
                <w:bCs w:val="1"/>
                <w:color w:val="auto"/>
              </w:rPr>
              <w:t>13G</w:t>
            </w:r>
          </w:p>
        </w:tc>
        <w:tc>
          <w:tcPr>
            <w:tcW w:w="26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3"/>
              </w:rPr>
              <w:t>Page 5 of 8 Pages</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Steve Elms</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7.</w:t>
            </w:r>
          </w:p>
        </w:tc>
        <w:tc>
          <w:tcPr>
            <w:tcW w:w="61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8.</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6140" w:type="dxa"/>
            <w:vAlign w:val="bottom"/>
            <w:vMerge w:val="restart"/>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Beneficially Owned</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1"/>
              </w:rPr>
              <w:t>By Each Reporting</w:t>
            </w: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color w:val="auto"/>
                <w:w w:val="92"/>
              </w:rPr>
              <w:t>9.</w:t>
            </w:r>
          </w:p>
        </w:tc>
        <w:tc>
          <w:tcPr>
            <w:tcW w:w="61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14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10.</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464,285</w:t>
            </w:r>
            <w:r>
              <w:rPr>
                <w:rFonts w:ascii="Arial" w:cs="Arial" w:eastAsia="Arial" w:hAnsi="Arial"/>
                <w:sz w:val="29"/>
                <w:szCs w:val="29"/>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780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4"/>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13.</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5.46%</w:t>
            </w:r>
            <w:r>
              <w:rPr>
                <w:rFonts w:ascii="Arial" w:cs="Arial" w:eastAsia="Arial" w:hAnsi="Arial"/>
                <w:sz w:val="29"/>
                <w:szCs w:val="29"/>
                <w:b w:val="1"/>
                <w:bCs w:val="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14.</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IN</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464,285 Shares held and acquirable in respect of (i) 314,285 Shares and (ii) 150,000 Warrants.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(i) 8,359,918 Shares outstanding calculated from the 83,599,187 Shares outstanding as of November 1, 2022 as reported on the Issuer’s Form 10-Q, filed on November 10, 2022 and giving effect to the Reverse Stock Split and (ii) 150,000 Shares in respect of 150,000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61"/>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CUSIP No.</w:t>
            </w:r>
          </w:p>
        </w:tc>
        <w:tc>
          <w:tcPr>
            <w:tcW w:w="8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140" w:type="dxa"/>
            <w:vAlign w:val="bottom"/>
            <w:tcBorders>
              <w:top w:val="single" w:sz="8" w:color="auto"/>
            </w:tcBorders>
          </w:tcPr>
          <w:p>
            <w:pPr>
              <w:ind w:left="3020"/>
              <w:spacing w:after="0"/>
              <w:rPr>
                <w:sz w:val="20"/>
                <w:szCs w:val="20"/>
                <w:color w:val="auto"/>
              </w:rPr>
            </w:pPr>
            <w:r>
              <w:rPr>
                <w:rFonts w:ascii="Arial" w:cs="Arial" w:eastAsia="Arial" w:hAnsi="Arial"/>
                <w:sz w:val="18"/>
                <w:szCs w:val="18"/>
                <w:b w:val="1"/>
                <w:bCs w:val="1"/>
                <w:color w:val="auto"/>
              </w:rPr>
              <w:t>13G</w:t>
            </w:r>
          </w:p>
        </w:tc>
        <w:tc>
          <w:tcPr>
            <w:tcW w:w="260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w w:val="83"/>
              </w:rPr>
              <w:t>Page 6 of 8 Pages</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Andrew Schiff</w:t>
            </w: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2.</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w w:val="91"/>
              </w:rPr>
              <w:t>SEC Use Only</w:t>
            </w:r>
          </w:p>
        </w:tc>
        <w:tc>
          <w:tcPr>
            <w:tcW w:w="56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Source of Funds</w:t>
            </w:r>
          </w:p>
        </w:tc>
        <w:tc>
          <w:tcPr>
            <w:tcW w:w="6140" w:type="dxa"/>
            <w:vAlign w:val="bottom"/>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5.</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spacing w:after="0"/>
              <w:rPr>
                <w:sz w:val="21"/>
                <w:szCs w:val="21"/>
                <w:color w:val="auto"/>
              </w:rPr>
            </w:pPr>
          </w:p>
        </w:tc>
        <w:tc>
          <w:tcPr>
            <w:tcW w:w="614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6.</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Delaware</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7.</w:t>
            </w:r>
          </w:p>
        </w:tc>
        <w:tc>
          <w:tcPr>
            <w:tcW w:w="61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8.</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Number of Shares</w:t>
            </w:r>
          </w:p>
        </w:tc>
        <w:tc>
          <w:tcPr>
            <w:tcW w:w="22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6140" w:type="dxa"/>
            <w:vAlign w:val="bottom"/>
            <w:vMerge w:val="restart"/>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Beneficially Owned</w:t>
            </w: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6140" w:type="dxa"/>
            <w:vAlign w:val="bottom"/>
            <w:tcBorders>
              <w:bottom w:val="single" w:sz="8" w:color="auto"/>
            </w:tcBorders>
            <w:vMerge w:val="continue"/>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1"/>
              </w:rPr>
              <w:t>By Each Reporting</w:t>
            </w:r>
          </w:p>
        </w:tc>
        <w:tc>
          <w:tcPr>
            <w:tcW w:w="220" w:type="dxa"/>
            <w:vAlign w:val="bottom"/>
          </w:tcPr>
          <w:p>
            <w:pPr>
              <w:spacing w:after="0"/>
              <w:rPr>
                <w:sz w:val="16"/>
                <w:szCs w:val="16"/>
                <w:color w:val="auto"/>
              </w:rPr>
            </w:pPr>
          </w:p>
        </w:tc>
        <w:tc>
          <w:tcPr>
            <w:tcW w:w="560" w:type="dxa"/>
            <w:vAlign w:val="bottom"/>
            <w:tcBorders>
              <w:right w:val="single" w:sz="8" w:color="auto"/>
            </w:tcBorders>
          </w:tcPr>
          <w:p>
            <w:pPr>
              <w:jc w:val="center"/>
              <w:ind w:right="250"/>
              <w:spacing w:after="0" w:line="189" w:lineRule="exact"/>
              <w:rPr>
                <w:sz w:val="20"/>
                <w:szCs w:val="20"/>
                <w:color w:val="auto"/>
              </w:rPr>
            </w:pPr>
            <w:r>
              <w:rPr>
                <w:rFonts w:ascii="Arial" w:cs="Arial" w:eastAsia="Arial" w:hAnsi="Arial"/>
                <w:sz w:val="18"/>
                <w:szCs w:val="18"/>
                <w:color w:val="auto"/>
                <w:w w:val="92"/>
              </w:rPr>
              <w:t>9.</w:t>
            </w:r>
          </w:p>
        </w:tc>
        <w:tc>
          <w:tcPr>
            <w:tcW w:w="6140" w:type="dxa"/>
            <w:vAlign w:val="bottom"/>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 With</w:t>
            </w:r>
          </w:p>
        </w:tc>
        <w:tc>
          <w:tcPr>
            <w:tcW w:w="22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140" w:type="dxa"/>
            <w:vAlign w:val="bottom"/>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6140" w:type="dxa"/>
            <w:vAlign w:val="bottom"/>
          </w:tcPr>
          <w:p>
            <w:pPr>
              <w:ind w:left="40"/>
              <w:spacing w:after="0"/>
              <w:rPr>
                <w:sz w:val="20"/>
                <w:szCs w:val="20"/>
                <w:color w:val="auto"/>
              </w:rPr>
            </w:pPr>
            <w:r>
              <w:rPr>
                <w:rFonts w:ascii="Arial" w:cs="Arial" w:eastAsia="Arial" w:hAnsi="Arial"/>
                <w:sz w:val="18"/>
                <w:szCs w:val="18"/>
                <w:b w:val="1"/>
                <w:bCs w:val="1"/>
                <w:color w:val="auto"/>
              </w:rPr>
              <w:t>0</w:t>
            </w:r>
          </w:p>
        </w:tc>
        <w:tc>
          <w:tcPr>
            <w:tcW w:w="2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88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87"/>
              </w:rPr>
              <w:t>10.</w:t>
            </w:r>
          </w:p>
        </w:tc>
        <w:tc>
          <w:tcPr>
            <w:tcW w:w="61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6140" w:type="dxa"/>
            <w:vAlign w:val="bottom"/>
          </w:tcPr>
          <w:p>
            <w:pPr>
              <w:ind w:left="40"/>
              <w:spacing w:after="0"/>
              <w:rPr>
                <w:sz w:val="20"/>
                <w:szCs w:val="20"/>
                <w:color w:val="auto"/>
              </w:rPr>
            </w:pPr>
            <w:r>
              <w:rPr>
                <w:rFonts w:ascii="Arial" w:cs="Arial" w:eastAsia="Arial" w:hAnsi="Arial"/>
                <w:sz w:val="18"/>
                <w:szCs w:val="18"/>
                <w:color w:val="auto"/>
              </w:rPr>
              <w:t>464,285</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464,285</w:t>
            </w:r>
            <w:r>
              <w:rPr>
                <w:rFonts w:ascii="Arial" w:cs="Arial" w:eastAsia="Arial" w:hAnsi="Arial"/>
                <w:sz w:val="29"/>
                <w:szCs w:val="29"/>
                <w:color w:val="auto"/>
                <w:w w:val="92"/>
                <w:vertAlign w:val="superscript"/>
              </w:rPr>
              <w:t>(1)</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7800" w:type="dxa"/>
            <w:vAlign w:val="bottom"/>
            <w:gridSpan w:val="4"/>
          </w:tcPr>
          <w:p>
            <w:pPr>
              <w:ind w:left="2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7800" w:type="dxa"/>
            <w:vAlign w:val="bottom"/>
            <w:tcBorders>
              <w:bottom w:val="single" w:sz="8" w:color="auto"/>
            </w:tcBorders>
            <w:gridSpan w:val="4"/>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13.</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5.46%</w:t>
            </w:r>
            <w:r>
              <w:rPr>
                <w:rFonts w:ascii="Arial" w:cs="Arial" w:eastAsia="Arial" w:hAnsi="Arial"/>
                <w:sz w:val="29"/>
                <w:szCs w:val="29"/>
                <w:b w:val="1"/>
                <w:bCs w:val="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14.</w:t>
            </w:r>
          </w:p>
        </w:tc>
        <w:tc>
          <w:tcPr>
            <w:tcW w:w="780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6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IN</w:t>
            </w:r>
          </w:p>
        </w:tc>
        <w:tc>
          <w:tcPr>
            <w:tcW w:w="5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6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464,285 Shares held and acquirable in respect of (i) 314,285 Shares and (ii) 150,000 Warrants.</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(i) 8,359,918 Shares outstanding calculated from the 83,599,187 Shares outstanding as of November 1, 2022 as reported on the Issuer’s Form 10-Q, filed on November 10, 2022 and giving effect to the Reverse Stock Split and (ii) 150,000 Shares in respect of 150,000 Warrants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p>
      <w:pPr>
        <w:spacing w:after="0"/>
        <w:tabs>
          <w:tab w:leader="none" w:pos="55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7 of 8 Pages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in response to each separate Item below shall be deemed to be a response to all Items where such information is relevant.</w:t>
      </w:r>
    </w:p>
    <w:p>
      <w:pPr>
        <w:spacing w:after="0" w:line="2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This Amendment No. 1 (“Amendment No. 1”) amends the Schedule 13D filed with the SEC on October 19, 2018, (the “Schedule 13D”) relating to the Issuer, with respect to the Common Stock, par value $0.001 per share (the “Shares”) of Marker Therapeutics, Inc., a Delaware corporation (the “Issuer” or the “Company”). Except as set forth herein, the Schedule 13D is unmodified and remains in full force and effect. Capitalized terms used herein and not otherwise defined in this Amendment No. 1 have the meanings set forth in the Schedule 13D.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the Schedule 13D is amended to incorporate the following at the end theretof:</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the date hereof, each of the Reporting Persons may be deemed to beneficially own 464,285 Shares, consisting of (i) 314,285 Shares and (ii) 150,000 warrants to purchase Shares at an exercise price of $5.00 per share with a five-year term (the “Warrants”). The reported securities include 1,142,857 Shares acquired in a private transaction on March 16, 2021, for a purchase price of $1.75 per share. This transaction was reported on a Form 4 timely filed by Steve Elms on March 18, 2021. The source of the purchase price for the Shares acquired on March 16, 2021 was capital contributions from the partners of Aisling. No borrowed funds were used in the purchase of the Shares.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of the Schedule 13D is amended and restated as follows:</w:t>
      </w:r>
    </w:p>
    <w:p>
      <w:pPr>
        <w:spacing w:after="0" w:line="229" w:lineRule="exact"/>
        <w:rPr>
          <w:sz w:val="20"/>
          <w:szCs w:val="20"/>
          <w:color w:val="auto"/>
        </w:rPr>
      </w:pPr>
    </w:p>
    <w:p>
      <w:pPr>
        <w:ind w:right="300" w:firstLine="8"/>
        <w:spacing w:after="0" w:line="259" w:lineRule="auto"/>
        <w:tabs>
          <w:tab w:leader="none" w:pos="2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percentage of Shares reported as owned by each Reporting Person is based on 8,359,918 Shares outstanding calculated from the 83,599,187 Shares outstanding as of November 1, 2022 as reported on the Issuer’s Form 10-Q, filed on November 10, 2022 and giving effect to the Reverse Stock Split. Based on calculations made in accordance with Rule 13d-3(d), each Reporting Person may be deemed to beneficially own 464,285 Shares, constituting approximately 5.46% of the outstanding Shares.</w:t>
      </w:r>
    </w:p>
    <w:p>
      <w:pPr>
        <w:spacing w:after="0" w:line="186" w:lineRule="exact"/>
        <w:rPr>
          <w:rFonts w:ascii="Arial" w:cs="Arial" w:eastAsia="Arial" w:hAnsi="Arial"/>
          <w:sz w:val="18"/>
          <w:szCs w:val="18"/>
          <w:color w:val="auto"/>
        </w:rPr>
      </w:pPr>
    </w:p>
    <w:p>
      <w:pPr>
        <w:ind w:right="38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 Each of Aisling, Aisling Partners and Aisling Partners GP may be deemed to have sole power to direct the voting and disposition of the 464,285 Shares of Common Stock that may be deemed to be beneficially owned by the Reporting Persons.</w:t>
      </w:r>
    </w:p>
    <w:p>
      <w:pPr>
        <w:spacing w:after="0" w:line="170" w:lineRule="exact"/>
        <w:rPr>
          <w:sz w:val="20"/>
          <w:szCs w:val="20"/>
          <w:color w:val="auto"/>
        </w:rPr>
      </w:pPr>
    </w:p>
    <w:p>
      <w:pPr>
        <w:ind w:right="80" w:firstLine="8"/>
        <w:spacing w:after="0" w:line="308"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virtue of the relationships between and among the Reporting Persons described in Item 2 of this Schedule 13D, each of the Messrs. Elms and Schiff may be deemed to share the power to direct the voting and disposition of the 464,285 Shares beneficially owned by the Reporting Persons.</w:t>
      </w:r>
    </w:p>
    <w:p>
      <w:pPr>
        <w:spacing w:after="0" w:line="14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January 26, 2023, Marked Therapeutics, Inc. filed a Certificate of Amendment to its Amended and Restated Certificate of Incorporation with the</w:t>
      </w:r>
    </w:p>
    <w:p>
      <w:pPr>
        <w:spacing w:after="0" w:line="46"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Secretary of State of the State of Delaware to effect a one-for-ten reverse stock split of its outstanding common stock and a reduction in the total number of authorized shares of its common stock. All securities owned by the Reporting Persons, including the aforementioned purchased Shares, were subject to this Reverse Stock Split. Except as set forth in this Amendment No. 1, none of the Reporting Persons has effected any transaction in Shares within 60 days of the date of this filing.</w:t>
      </w:r>
    </w:p>
    <w:p>
      <w:pPr>
        <w:spacing w:after="0" w:line="192" w:lineRule="exact"/>
        <w:rPr>
          <w:rFonts w:ascii="Arial" w:cs="Arial" w:eastAsia="Arial" w:hAnsi="Arial"/>
          <w:sz w:val="16"/>
          <w:szCs w:val="16"/>
          <w:color w:val="auto"/>
        </w:rPr>
      </w:pPr>
    </w:p>
    <w:p>
      <w:pPr>
        <w:ind w:right="360" w:firstLine="8"/>
        <w:spacing w:after="0" w:line="277" w:lineRule="auto"/>
        <w:tabs>
          <w:tab w:leader="none" w:pos="2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partners of Aisling have the right to participate in the receipt of dividends from, or proceeds from the sale of, the Shares held for the account of Aisling in accordance with their ownership interests in Aisling.</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1140" w:right="700" w:hanging="113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3:</w:t>
      </w:r>
      <w:r>
        <w:rPr>
          <w:sz w:val="20"/>
          <w:szCs w:val="20"/>
          <w:color w:val="auto"/>
        </w:rPr>
        <w:tab/>
      </w:r>
      <w:hyperlink r:id="rId24">
        <w:r>
          <w:rPr>
            <w:rFonts w:ascii="Arial" w:cs="Arial" w:eastAsia="Arial" w:hAnsi="Arial"/>
            <w:sz w:val="18"/>
            <w:szCs w:val="18"/>
            <w:u w:val="single" w:color="auto"/>
            <w:color w:val="0000EE"/>
          </w:rPr>
          <w:t>Joint Filing Agreement, dated as of October 19, 2018, as required by Rule 13d-1(k)(1) under the Securities Exchange Act of 1934,</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incorporated by reference to the Reporting Persons’ 13D filed with the SEC on October 19,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tabs>
          <w:tab w:leader="none" w:pos="5500" w:val="left"/>
          <w:tab w:leader="none" w:pos="9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8 of 8 Pages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AISLING CAPITAL IV, LP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Aisling Capital Partners IV, LP,</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its General Partner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its General Partner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AISLING CAPITAL PARTNERS IV, LP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Aisling Capital Partners IV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its General Partner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AISLING CAPITAL PARTNERS IV LLC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Andrew Schiff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STEVE ELMS</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Steve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2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ANDREW SCHIFF</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Andrew Schiff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554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24" Type="http://schemas.openxmlformats.org/officeDocument/2006/relationships/hyperlink" Target="http://www.sec.gov/Archives/edgar/data/1094038/000119312518303199/d638188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2023-03-03T17:24:40Z</dcterms:created>
  <dcterms:modified xsi:type="dcterms:W3CDTF">2023-03-03T17:24:40Z</dcterms:modified>
</cp:coreProperties>
</file>