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auto"/>
        <w:framePr w:w="1640" w:h="122" w:wrap="auto" w:vAnchor="page" w:hAnchor="page" w:x="2660" w:y="12605"/>
        <w:rPr>
          <w:rFonts w:ascii="Arial" w:cs="Arial" w:eastAsia="Arial" w:hAnsi="Arial"/>
          <w:sz w:val="12"/>
          <w:szCs w:val="12"/>
          <w:color w:val="auto"/>
        </w:rPr>
      </w:pPr>
      <w:r>
        <w:rPr>
          <w:rFonts w:ascii="Arial" w:cs="Arial" w:eastAsia="Arial" w:hAnsi="Arial"/>
          <w:sz w:val="12"/>
          <w:szCs w:val="12"/>
          <w:color w:val="auto"/>
        </w:rPr>
        <w:t>(Check box if appropriate)</w:t>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2"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316" w:lineRule="exact"/>
        <w:rPr>
          <w:rFonts w:ascii="Arial" w:cs="Arial" w:eastAsia="Arial" w:hAnsi="Arial"/>
          <w:sz w:val="12"/>
          <w:szCs w:val="12"/>
          <w:color w:val="auto"/>
        </w:rPr>
      </w:pPr>
    </w:p>
    <w:p>
      <w:pPr>
        <w:ind w:left="9860"/>
        <w:spacing w:after="0"/>
        <w:rPr>
          <w:sz w:val="20"/>
          <w:szCs w:val="20"/>
          <w:color w:val="auto"/>
        </w:rPr>
      </w:pPr>
      <w:r>
        <w:rPr>
          <w:rFonts w:ascii="Arial" w:cs="Arial" w:eastAsia="Arial" w:hAnsi="Arial"/>
          <w:sz w:val="14"/>
          <w:szCs w:val="14"/>
          <w:color w:val="auto"/>
        </w:rPr>
        <w:t>OMB APPROVAL</w:t>
      </w:r>
    </w:p>
    <w:p>
      <w:pPr>
        <w:spacing w:after="0" w:line="178" w:lineRule="exact"/>
        <w:rPr>
          <w:rFonts w:ascii="Arial" w:cs="Arial" w:eastAsia="Arial" w:hAnsi="Arial"/>
          <w:sz w:val="12"/>
          <w:szCs w:val="12"/>
          <w:color w:val="auto"/>
        </w:rPr>
      </w:pPr>
    </w:p>
    <w:p>
      <w:pPr>
        <w:ind w:left="9480"/>
        <w:spacing w:after="0"/>
        <w:tabs>
          <w:tab w:leader="none" w:pos="10520" w:val="left"/>
        </w:tabs>
        <w:rPr>
          <w:sz w:val="20"/>
          <w:szCs w:val="20"/>
          <w:color w:val="auto"/>
        </w:rPr>
      </w:pPr>
      <w:r>
        <w:rPr>
          <w:rFonts w:ascii="Arial" w:cs="Arial" w:eastAsia="Arial" w:hAnsi="Arial"/>
          <w:sz w:val="14"/>
          <w:szCs w:val="14"/>
          <w:color w:val="auto"/>
        </w:rPr>
        <w:t>OMB Number:</w:t>
      </w:r>
      <w:r>
        <w:rPr>
          <w:sz w:val="20"/>
          <w:szCs w:val="20"/>
          <w:color w:val="auto"/>
        </w:rPr>
        <w:tab/>
      </w:r>
      <w:r>
        <w:rPr>
          <w:rFonts w:ascii="Arial" w:cs="Arial" w:eastAsia="Arial" w:hAnsi="Arial"/>
          <w:sz w:val="12"/>
          <w:szCs w:val="12"/>
          <w:color w:val="auto"/>
        </w:rPr>
        <w:t>3235-0058</w:t>
      </w:r>
    </w:p>
    <w:p>
      <w:pPr>
        <w:ind w:left="9480"/>
        <w:spacing w:after="0" w:line="221" w:lineRule="auto"/>
        <w:tabs>
          <w:tab w:leader="none" w:pos="10240" w:val="left"/>
        </w:tabs>
        <w:rPr>
          <w:sz w:val="20"/>
          <w:szCs w:val="20"/>
          <w:color w:val="auto"/>
        </w:rPr>
      </w:pPr>
      <w:r>
        <w:rPr>
          <w:rFonts w:ascii="Arial" w:cs="Arial" w:eastAsia="Arial" w:hAnsi="Arial"/>
          <w:sz w:val="14"/>
          <w:szCs w:val="14"/>
          <w:color w:val="auto"/>
        </w:rPr>
        <w:t>Expires:</w:t>
      </w:r>
      <w:r>
        <w:rPr>
          <w:sz w:val="20"/>
          <w:szCs w:val="20"/>
          <w:color w:val="auto"/>
        </w:rPr>
        <w:tab/>
      </w:r>
      <w:r>
        <w:rPr>
          <w:rFonts w:ascii="Arial" w:cs="Arial" w:eastAsia="Arial" w:hAnsi="Arial"/>
          <w:sz w:val="14"/>
          <w:szCs w:val="14"/>
          <w:color w:val="auto"/>
        </w:rPr>
        <w:t>April 30, 2009</w:t>
      </w:r>
    </w:p>
    <w:p>
      <w:pPr>
        <w:ind w:left="9480"/>
        <w:spacing w:after="0" w:line="221" w:lineRule="auto"/>
        <w:rPr>
          <w:sz w:val="20"/>
          <w:szCs w:val="20"/>
          <w:color w:val="auto"/>
        </w:rPr>
      </w:pPr>
      <w:r>
        <w:rPr>
          <w:rFonts w:ascii="Arial" w:cs="Arial" w:eastAsia="Arial" w:hAnsi="Arial"/>
          <w:sz w:val="14"/>
          <w:szCs w:val="14"/>
          <w:color w:val="auto"/>
        </w:rPr>
        <w:t>Estimated average burden</w:t>
      </w:r>
    </w:p>
    <w:p>
      <w:pPr>
        <w:spacing w:after="0" w:line="1" w:lineRule="exact"/>
        <w:rPr>
          <w:rFonts w:ascii="Arial" w:cs="Arial" w:eastAsia="Arial" w:hAnsi="Arial"/>
          <w:sz w:val="12"/>
          <w:szCs w:val="12"/>
          <w:color w:val="auto"/>
        </w:rPr>
      </w:pPr>
    </w:p>
    <w:p>
      <w:pPr>
        <w:ind w:left="9480"/>
        <w:spacing w:after="0"/>
        <w:rPr>
          <w:sz w:val="20"/>
          <w:szCs w:val="20"/>
          <w:color w:val="auto"/>
        </w:rPr>
      </w:pPr>
      <w:r>
        <w:rPr>
          <w:rFonts w:ascii="Arial" w:cs="Arial" w:eastAsia="Arial" w:hAnsi="Arial"/>
          <w:sz w:val="14"/>
          <w:szCs w:val="14"/>
          <w:color w:val="auto"/>
        </w:rPr>
        <w:t>hours per response . . . 2.50</w:t>
      </w:r>
    </w:p>
    <w:p>
      <w:pPr>
        <w:spacing w:after="0" w:line="200" w:lineRule="exact"/>
        <w:rPr>
          <w:rFonts w:ascii="Arial" w:cs="Arial" w:eastAsia="Arial" w:hAnsi="Arial"/>
          <w:sz w:val="12"/>
          <w:szCs w:val="12"/>
          <w:color w:val="auto"/>
        </w:rPr>
      </w:pPr>
    </w:p>
    <w:p>
      <w:pPr>
        <w:spacing w:after="0" w:line="207" w:lineRule="exact"/>
        <w:rPr>
          <w:rFonts w:ascii="Arial" w:cs="Arial" w:eastAsia="Arial" w:hAnsi="Arial"/>
          <w:sz w:val="12"/>
          <w:szCs w:val="12"/>
          <w:color w:val="auto"/>
        </w:rPr>
      </w:pPr>
    </w:p>
    <w:p>
      <w:pPr>
        <w:jc w:val="center"/>
        <w:ind w:left="9380"/>
        <w:spacing w:after="0"/>
        <w:rPr>
          <w:sz w:val="20"/>
          <w:szCs w:val="20"/>
          <w:color w:val="auto"/>
        </w:rPr>
      </w:pPr>
      <w:r>
        <w:rPr>
          <w:rFonts w:ascii="Arial" w:cs="Arial" w:eastAsia="Arial" w:hAnsi="Arial"/>
          <w:sz w:val="14"/>
          <w:szCs w:val="14"/>
          <w:color w:val="auto"/>
        </w:rPr>
        <w:t>SEC FILE NUMBER</w:t>
      </w:r>
    </w:p>
    <w:p>
      <w:pPr>
        <w:jc w:val="center"/>
        <w:ind w:left="9380"/>
        <w:spacing w:after="0"/>
        <w:rPr>
          <w:sz w:val="20"/>
          <w:szCs w:val="20"/>
          <w:color w:val="auto"/>
        </w:rPr>
      </w:pPr>
      <w:r>
        <w:rPr>
          <w:rFonts w:ascii="Arial" w:cs="Arial" w:eastAsia="Arial" w:hAnsi="Arial"/>
          <w:sz w:val="14"/>
          <w:szCs w:val="14"/>
          <w:color w:val="auto"/>
        </w:rPr>
        <w:t>000-27239</w:t>
      </w:r>
    </w:p>
    <w:p>
      <w:pPr>
        <w:spacing w:after="0" w:line="305"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24"/>
          <w:szCs w:val="24"/>
          <w:b w:val="1"/>
          <w:bCs w:val="1"/>
          <w:u w:val="single" w:color="auto"/>
          <w:color w:val="auto"/>
        </w:rPr>
        <w:t>FORM 12b-25</w:t>
      </w:r>
    </w:p>
    <w:p>
      <w:pPr>
        <w:spacing w:after="0" w:line="252"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NOTIFICATION OF LATE FILING</w:t>
      </w:r>
    </w:p>
    <w:p>
      <w:pPr>
        <w:spacing w:after="0" w:line="198" w:lineRule="exact"/>
        <w:rPr>
          <w:rFonts w:ascii="Arial" w:cs="Arial" w:eastAsia="Arial" w:hAnsi="Arial"/>
          <w:sz w:val="12"/>
          <w:szCs w:val="12"/>
          <w:color w:val="auto"/>
        </w:rPr>
      </w:pPr>
    </w:p>
    <w:p>
      <w:pPr>
        <w:spacing w:after="0" w:line="207" w:lineRule="exact"/>
        <w:tabs>
          <w:tab w:leader="none" w:pos="1320" w:val="left"/>
          <w:tab w:leader="none" w:pos="2660" w:val="left"/>
          <w:tab w:leader="none" w:pos="3980" w:val="left"/>
          <w:tab w:leader="none" w:pos="5320" w:val="left"/>
          <w:tab w:leader="none" w:pos="6900" w:val="left"/>
          <w:tab w:leader="none" w:pos="8400" w:val="left"/>
        </w:tabs>
        <w:rPr>
          <w:sz w:val="20"/>
          <w:szCs w:val="20"/>
          <w:color w:val="auto"/>
        </w:rPr>
      </w:pPr>
      <w:r>
        <w:rPr>
          <w:rFonts w:ascii="Arial" w:cs="Arial" w:eastAsia="Arial" w:hAnsi="Arial"/>
          <w:sz w:val="18"/>
          <w:szCs w:val="18"/>
          <w:color w:val="auto"/>
        </w:rPr>
        <w:t>(Check One):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20-F</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11-K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10-QSB</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N-SAR</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N-CSR</w:t>
      </w:r>
    </w:p>
    <w:p>
      <w:pPr>
        <w:spacing w:after="0" w:line="198" w:lineRule="exact"/>
        <w:rPr>
          <w:rFonts w:ascii="Arial" w:cs="Arial" w:eastAsia="Arial" w:hAnsi="Arial"/>
          <w:sz w:val="12"/>
          <w:szCs w:val="12"/>
          <w:color w:val="auto"/>
        </w:rPr>
      </w:pPr>
    </w:p>
    <w:p>
      <w:pPr>
        <w:ind w:left="2160"/>
        <w:spacing w:after="0"/>
        <w:tabs>
          <w:tab w:leader="none" w:pos="382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6"/>
          <w:szCs w:val="16"/>
          <w:b w:val="1"/>
          <w:bCs w:val="1"/>
          <w:u w:val="single" w:color="auto"/>
          <w:color w:val="auto"/>
        </w:rPr>
        <w:t>June 30, 2006</w:t>
      </w:r>
      <w:r>
        <w:rPr>
          <w:rFonts w:ascii="Arial" w:cs="Arial" w:eastAsia="Arial" w:hAnsi="Arial"/>
          <w:sz w:val="16"/>
          <w:szCs w:val="16"/>
          <w:color w:val="auto"/>
        </w:rPr>
        <w:t>.</w:t>
      </w:r>
    </w:p>
    <w:p>
      <w:pPr>
        <w:spacing w:after="0" w:line="26" w:lineRule="exact"/>
        <w:rPr>
          <w:rFonts w:ascii="Arial" w:cs="Arial" w:eastAsia="Arial" w:hAnsi="Arial"/>
          <w:sz w:val="12"/>
          <w:szCs w:val="12"/>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9" w:lineRule="exact"/>
        <w:rPr>
          <w:rFonts w:ascii="MS PGothic" w:cs="MS PGothic" w:eastAsia="MS PGothic" w:hAnsi="MS PGothic"/>
          <w:sz w:val="18"/>
          <w:szCs w:val="18"/>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190" w:lineRule="exact"/>
        <w:rPr>
          <w:rFonts w:ascii="Arial" w:cs="Arial" w:eastAsia="Arial" w:hAnsi="Arial"/>
          <w:sz w:val="12"/>
          <w:szCs w:val="12"/>
          <w:color w:val="auto"/>
        </w:rPr>
      </w:pPr>
    </w:p>
    <w:p>
      <w:pPr>
        <w:ind w:left="2160"/>
        <w:spacing w:after="0"/>
        <w:rPr>
          <w:sz w:val="20"/>
          <w:szCs w:val="20"/>
          <w:color w:val="auto"/>
        </w:rPr>
      </w:pPr>
      <w:r>
        <w:rPr>
          <w:rFonts w:ascii="Arial" w:cs="Arial" w:eastAsia="Arial" w:hAnsi="Arial"/>
          <w:sz w:val="18"/>
          <w:szCs w:val="18"/>
          <w:color w:val="auto"/>
        </w:rPr>
        <w:t xml:space="preserve">For the Transition Period Ended: </w:t>
      </w:r>
      <w:r>
        <w:rPr>
          <w:rFonts w:ascii="Arial" w:cs="Arial" w:eastAsia="Arial" w:hAnsi="Arial"/>
          <w:sz w:val="18"/>
          <w:szCs w:val="18"/>
          <w:b w:val="1"/>
          <w:bCs w:val="1"/>
          <w:u w:val="single" w:color="auto"/>
          <w:color w:val="auto"/>
        </w:rPr>
        <w:t>Not applicable.</w:t>
      </w:r>
    </w:p>
    <w:p>
      <w:pPr>
        <w:spacing w:after="0" w:line="171"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193"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0" w:lineRule="exact"/>
        <w:rPr>
          <w:rFonts w:ascii="Arial" w:cs="Arial" w:eastAsia="Arial" w:hAnsi="Arial"/>
          <w:sz w:val="12"/>
          <w:szCs w:val="12"/>
          <w:color w:val="auto"/>
        </w:rPr>
      </w:pPr>
    </w:p>
    <w:p>
      <w:pPr>
        <w:spacing w:after="0" w:line="368"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REGISTRANT INFORMATION</w:t>
      </w:r>
    </w:p>
    <w:p>
      <w:pPr>
        <w:spacing w:after="0" w:line="386"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24"/>
          <w:szCs w:val="24"/>
          <w:b w:val="1"/>
          <w:bCs w:val="1"/>
          <w:u w:val="single" w:color="auto"/>
          <w:color w:val="auto"/>
        </w:rPr>
        <w:t>GENEMAX CORP.</w:t>
      </w:r>
    </w:p>
    <w:p>
      <w:pPr>
        <w:spacing w:after="0" w:line="45"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Full Name of Registrant</w:t>
      </w:r>
    </w:p>
    <w:p>
      <w:pPr>
        <w:spacing w:after="0" w:line="176"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18"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Former Name if Applicable</w:t>
      </w:r>
    </w:p>
    <w:p>
      <w:pPr>
        <w:spacing w:after="0" w:line="176"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Suite 400, 1681 Chestnut Street</w:t>
      </w:r>
    </w:p>
    <w:p>
      <w:pPr>
        <w:spacing w:after="0" w:line="18"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 (Street and Number)</w:t>
      </w:r>
    </w:p>
    <w:p>
      <w:pPr>
        <w:spacing w:after="0" w:line="176"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Vancouver, British Columbia, Canada, V6J 4M6</w:t>
      </w:r>
    </w:p>
    <w:p>
      <w:pPr>
        <w:spacing w:after="0" w:line="18"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City, State and Zip Code</w:t>
      </w:r>
    </w:p>
    <w:p>
      <w:pPr>
        <w:spacing w:after="0" w:line="212" w:lineRule="exact"/>
        <w:rPr>
          <w:rFonts w:ascii="Arial" w:cs="Arial" w:eastAsia="Arial" w:hAnsi="Arial"/>
          <w:sz w:val="12"/>
          <w:szCs w:val="12"/>
          <w:color w:val="auto"/>
        </w:rPr>
      </w:pPr>
    </w:p>
    <w:p>
      <w:pPr>
        <w:ind w:left="5220"/>
        <w:spacing w:after="0"/>
        <w:rPr>
          <w:sz w:val="20"/>
          <w:szCs w:val="20"/>
          <w:color w:val="auto"/>
        </w:rPr>
      </w:pPr>
      <w:r>
        <w:rPr>
          <w:rFonts w:ascii="Arial" w:cs="Arial" w:eastAsia="Arial" w:hAnsi="Arial"/>
          <w:sz w:val="18"/>
          <w:szCs w:val="18"/>
          <w:color w:val="auto"/>
        </w:rPr>
        <w:t>__________</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45"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 - RULES 12b-25(b) AND (c)</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12"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5"/>
          <w:szCs w:val="15"/>
          <w:color w:val="auto"/>
        </w:rPr>
        <w:t>If the subject report could not be filed without unreasonable effort or expense and the registrant seeks relief pursuant to Rule 12b-25(b), the following should be completed.</w:t>
      </w:r>
    </w:p>
    <w:p>
      <w:pPr>
        <w:spacing w:after="0" w:line="200" w:lineRule="exact"/>
        <w:rPr>
          <w:rFonts w:ascii="Arial" w:cs="Arial" w:eastAsia="Arial" w:hAnsi="Arial"/>
          <w:sz w:val="12"/>
          <w:szCs w:val="12"/>
          <w:color w:val="auto"/>
        </w:rPr>
      </w:pPr>
    </w:p>
    <w:p>
      <w:pPr>
        <w:spacing w:after="0" w:line="357" w:lineRule="exact"/>
        <w:rPr>
          <w:rFonts w:ascii="Arial" w:cs="Arial" w:eastAsia="Arial" w:hAnsi="Arial"/>
          <w:sz w:val="12"/>
          <w:szCs w:val="12"/>
          <w:color w:val="auto"/>
        </w:rPr>
      </w:pPr>
    </w:p>
    <w:p>
      <w:pPr>
        <w:ind w:left="3380" w:right="1840" w:hanging="2"/>
        <w:spacing w:after="0" w:line="239" w:lineRule="auto"/>
        <w:tabs>
          <w:tab w:leader="none" w:pos="3654"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jc w:val="both"/>
        <w:ind w:left="3380" w:right="1840" w:hanging="2"/>
        <w:spacing w:after="0" w:line="234" w:lineRule="auto"/>
        <w:tabs>
          <w:tab w:leader="none" w:pos="3648"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10-KSB, Form 20-F, 11-K or Form N- SAR, or portion thereof will be filed on or before the fifteenth calendar day following the prescribed due date; or the</w:t>
      </w:r>
    </w:p>
    <w:p>
      <w:pPr>
        <w:spacing w:after="0" w:line="2" w:lineRule="exact"/>
        <w:rPr>
          <w:rFonts w:ascii="Arial" w:cs="Arial" w:eastAsia="Arial" w:hAnsi="Arial"/>
          <w:sz w:val="18"/>
          <w:szCs w:val="18"/>
          <w:color w:val="auto"/>
        </w:rPr>
      </w:pPr>
    </w:p>
    <w:p>
      <w:pPr>
        <w:jc w:val="both"/>
        <w:ind w:left="3380" w:right="1860" w:hanging="1414"/>
        <w:spacing w:after="0" w:line="201" w:lineRule="auto"/>
        <w:tabs>
          <w:tab w:leader="none" w:pos="3380" w:val="left"/>
        </w:tabs>
        <w:numPr>
          <w:ilvl w:val="0"/>
          <w:numId w:val="2"/>
        </w:numPr>
        <w:rPr>
          <w:rFonts w:ascii="MS PGothic" w:cs="MS PGothic" w:eastAsia="MS PGothic" w:hAnsi="MS PGothic"/>
          <w:sz w:val="32"/>
          <w:szCs w:val="32"/>
          <w:color w:val="auto"/>
        </w:rPr>
      </w:pPr>
      <w:r>
        <w:rPr>
          <w:rFonts w:ascii="Arial" w:cs="Arial" w:eastAsia="Arial" w:hAnsi="Arial"/>
          <w:sz w:val="18"/>
          <w:szCs w:val="18"/>
          <w:color w:val="auto"/>
        </w:rPr>
        <w:t>subject quarterly report or transition report on Form 10-QSB, or portion thereof will be filed on or before the fifth calendar day following the prescribed due date; and</w:t>
      </w:r>
    </w:p>
    <w:p>
      <w:pPr>
        <w:spacing w:after="0" w:line="200" w:lineRule="exact"/>
        <w:rPr>
          <w:rFonts w:ascii="MS PGothic" w:cs="MS PGothic" w:eastAsia="MS PGothic" w:hAnsi="MS PGothic"/>
          <w:sz w:val="32"/>
          <w:szCs w:val="32"/>
          <w:color w:val="auto"/>
        </w:rPr>
      </w:pPr>
    </w:p>
    <w:p>
      <w:pPr>
        <w:spacing w:after="0" w:line="211" w:lineRule="exact"/>
        <w:rPr>
          <w:rFonts w:ascii="MS PGothic" w:cs="MS PGothic" w:eastAsia="MS PGothic" w:hAnsi="MS PGothic"/>
          <w:sz w:val="32"/>
          <w:szCs w:val="32"/>
          <w:color w:val="auto"/>
        </w:rPr>
      </w:pPr>
    </w:p>
    <w:p>
      <w:pPr>
        <w:ind w:left="3380" w:right="1860" w:hanging="2"/>
        <w:spacing w:after="0" w:line="239" w:lineRule="auto"/>
        <w:tabs>
          <w:tab w:leader="none" w:pos="364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ectPr>
          <w:pgSz w:w="11900" w:h="16838" w:orient="portrait"/>
          <w:cols w:equalWidth="0" w:num="1">
            <w:col w:w="11420"/>
          </w:cols>
          <w:pgMar w:left="240" w:top="229" w:right="239" w:bottom="30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III - NARRATIVE</w:t>
      </w:r>
    </w:p>
    <w:p>
      <w:pPr>
        <w:spacing w:after="0" w:line="200" w:lineRule="exact"/>
        <w:rPr>
          <w:sz w:val="20"/>
          <w:szCs w:val="20"/>
          <w:color w:val="auto"/>
        </w:rPr>
      </w:pPr>
    </w:p>
    <w:p>
      <w:pPr>
        <w:spacing w:after="0" w:line="3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State below in reasonable detail the reasons why Form 10-K, 20-F, 11-K, 10-QSB, 10-D, N-SAR, N-CSR, or the transition report or portion thereof could not be file within the prescribed time period.</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Management was unable to obtain the business information necessary to complete the preparation of the Company's financial statements for the period ended June 30, 2006 and the review of these financial statements by the Company's auditors in time for filing. Such information is required in order to prepare a complete filing. As a result of this delay the Company is unable to file its interim report on Form 10-QSB within the prescribed time period without unreasonable effort or expense. The Company expects to file within the extension period.</w:t>
      </w:r>
    </w:p>
    <w:p>
      <w:pPr>
        <w:spacing w:after="0" w:line="2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IV - OTHER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contract in regard to this notification.</w:t>
      </w:r>
    </w:p>
    <w:p>
      <w:pPr>
        <w:spacing w:after="0" w:line="285" w:lineRule="exact"/>
        <w:rPr>
          <w:sz w:val="20"/>
          <w:szCs w:val="20"/>
          <w:color w:val="auto"/>
        </w:rPr>
      </w:pPr>
    </w:p>
    <w:tbl>
      <w:tblPr>
        <w:tblLayout w:type="fixed"/>
        <w:tblInd w:w="2740" w:type="dxa"/>
        <w:tblCellMar>
          <w:top w:w="0" w:type="dxa"/>
          <w:left w:w="0" w:type="dxa"/>
          <w:bottom w:w="0" w:type="dxa"/>
          <w:right w:w="0" w:type="dxa"/>
        </w:tblCellMar>
      </w:tblPr>
      <w:tr>
        <w:trPr>
          <w:trHeight w:val="207"/>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Patrick A. McGowan</w:t>
            </w:r>
          </w:p>
        </w:tc>
        <w:tc>
          <w:tcPr>
            <w:tcW w:w="560" w:type="dxa"/>
            <w:vAlign w:val="bottom"/>
          </w:tcPr>
          <w:p>
            <w:pPr>
              <w:spacing w:after="0"/>
              <w:rPr>
                <w:sz w:val="17"/>
                <w:szCs w:val="17"/>
                <w:color w:val="auto"/>
              </w:rPr>
            </w:pPr>
          </w:p>
        </w:tc>
        <w:tc>
          <w:tcPr>
            <w:tcW w:w="14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604</w:t>
            </w:r>
          </w:p>
        </w:tc>
        <w:tc>
          <w:tcPr>
            <w:tcW w:w="460" w:type="dxa"/>
            <w:vAlign w:val="bottom"/>
          </w:tcPr>
          <w:p>
            <w:pPr>
              <w:spacing w:after="0"/>
              <w:rPr>
                <w:sz w:val="17"/>
                <w:szCs w:val="17"/>
                <w:color w:val="auto"/>
              </w:rPr>
            </w:pPr>
          </w:p>
        </w:tc>
        <w:tc>
          <w:tcPr>
            <w:tcW w:w="19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301-9545</w:t>
            </w:r>
          </w:p>
        </w:tc>
      </w:tr>
      <w:tr>
        <w:trPr>
          <w:trHeight w:val="235"/>
        </w:trPr>
        <w:tc>
          <w:tcPr>
            <w:tcW w:w="226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(Name)</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(Area Code)</w:t>
            </w:r>
          </w:p>
        </w:tc>
        <w:tc>
          <w:tcPr>
            <w:tcW w:w="460" w:type="dxa"/>
            <w:vAlign w:val="bottom"/>
          </w:tcPr>
          <w:p>
            <w:pPr>
              <w:spacing w:after="0"/>
              <w:rPr>
                <w:sz w:val="20"/>
                <w:szCs w:val="20"/>
                <w:color w:val="auto"/>
              </w:rPr>
            </w:pP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(Telephone Number)</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8"/>
        <w:spacing w:after="0" w:line="270" w:lineRule="auto"/>
        <w:tabs>
          <w:tab w:leader="none" w:pos="557"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w:t>
      </w:r>
    </w:p>
    <w:p>
      <w:pPr>
        <w:spacing w:after="0" w:line="1" w:lineRule="exact"/>
        <w:rPr>
          <w:sz w:val="20"/>
          <w:szCs w:val="20"/>
          <w:color w:val="auto"/>
        </w:rPr>
      </w:pPr>
    </w:p>
    <w:p>
      <w:pPr>
        <w:spacing w:after="0" w:line="207" w:lineRule="exact"/>
        <w:tabs>
          <w:tab w:leader="none" w:pos="3880" w:val="left"/>
          <w:tab w:leader="none" w:pos="4980" w:val="left"/>
        </w:tabs>
        <w:rPr>
          <w:sz w:val="20"/>
          <w:szCs w:val="20"/>
          <w:color w:val="auto"/>
        </w:rPr>
      </w:pPr>
      <w:r>
        <w:rPr>
          <w:rFonts w:ascii="Arial" w:cs="Arial" w:eastAsia="Arial" w:hAnsi="Arial"/>
          <w:sz w:val="18"/>
          <w:szCs w:val="18"/>
          <w:color w:val="auto"/>
        </w:rPr>
        <w:t>the answer is 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w:t>
      </w:r>
    </w:p>
    <w:p>
      <w:pPr>
        <w:spacing w:after="0" w:line="27" w:lineRule="exact"/>
        <w:rPr>
          <w:sz w:val="20"/>
          <w:szCs w:val="20"/>
          <w:color w:val="auto"/>
        </w:rPr>
      </w:pPr>
    </w:p>
    <w:p>
      <w:pPr>
        <w:spacing w:after="0" w:line="207" w:lineRule="exact"/>
        <w:tabs>
          <w:tab w:leader="none" w:pos="7340" w:val="left"/>
          <w:tab w:leader="none" w:pos="8420" w:val="left"/>
        </w:tabs>
        <w:rPr>
          <w:sz w:val="20"/>
          <w:szCs w:val="20"/>
          <w:color w:val="auto"/>
        </w:rPr>
      </w:pPr>
      <w:r>
        <w:rPr>
          <w:rFonts w:ascii="Arial" w:cs="Arial" w:eastAsia="Arial" w:hAnsi="Arial"/>
          <w:sz w:val="18"/>
          <w:szCs w:val="18"/>
          <w:color w:val="auto"/>
        </w:rPr>
        <w:t>the 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GENEMAX CORP.</w:t>
      </w:r>
    </w:p>
    <w:p>
      <w:pPr>
        <w:spacing w:after="0" w:line="24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of Registrant as Specified in Charter)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4060" w:val="left"/>
          <w:tab w:leader="none" w:pos="4900" w:val="left"/>
        </w:tabs>
        <w:rPr>
          <w:sz w:val="20"/>
          <w:szCs w:val="20"/>
          <w:color w:val="auto"/>
        </w:rPr>
      </w:pPr>
      <w:r>
        <w:rPr>
          <w:rFonts w:ascii="Arial" w:cs="Arial" w:eastAsia="Arial" w:hAnsi="Arial"/>
          <w:sz w:val="18"/>
          <w:szCs w:val="18"/>
          <w:color w:val="auto"/>
        </w:rPr>
        <w:t>Date: August 14,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A. McGowan</w:t>
      </w:r>
    </w:p>
    <w:p>
      <w:pPr>
        <w:spacing w:after="0" w:line="200" w:lineRule="exact"/>
        <w:rPr>
          <w:sz w:val="20"/>
          <w:szCs w:val="20"/>
          <w:color w:val="auto"/>
        </w:rPr>
      </w:pPr>
    </w:p>
    <w:p>
      <w:pPr>
        <w:spacing w:after="0" w:line="21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_________________________</w:t>
      </w:r>
    </w:p>
    <w:p>
      <w:pPr>
        <w:ind w:left="4080"/>
        <w:spacing w:after="0" w:line="234" w:lineRule="auto"/>
        <w:rPr>
          <w:sz w:val="20"/>
          <w:szCs w:val="20"/>
          <w:color w:val="auto"/>
        </w:rPr>
      </w:pPr>
      <w:r>
        <w:rPr>
          <w:rFonts w:ascii="Arial" w:cs="Arial" w:eastAsia="Arial" w:hAnsi="Arial"/>
          <w:sz w:val="18"/>
          <w:szCs w:val="18"/>
          <w:b w:val="1"/>
          <w:bCs w:val="1"/>
          <w:color w:val="auto"/>
        </w:rPr>
        <w:t>PATRICK A. McGOWAN</w:t>
      </w:r>
    </w:p>
    <w:p>
      <w:pPr>
        <w:ind w:left="4080"/>
        <w:spacing w:after="0" w:line="235" w:lineRule="auto"/>
        <w:rPr>
          <w:sz w:val="20"/>
          <w:szCs w:val="20"/>
          <w:color w:val="auto"/>
        </w:rPr>
      </w:pPr>
      <w:r>
        <w:rPr>
          <w:rFonts w:ascii="Arial" w:cs="Arial" w:eastAsia="Arial" w:hAnsi="Arial"/>
          <w:sz w:val="18"/>
          <w:szCs w:val="18"/>
          <w:color w:val="auto"/>
        </w:rPr>
        <w:t>Secretary, Chief Financial Officer, Principal</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Accounting Officer and a director</w:t>
      </w:r>
    </w:p>
    <w:p>
      <w:pPr>
        <w:spacing w:after="0" w:line="26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__________</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2020-02-12T17:36:04Z</dcterms:created>
  <dcterms:modified xsi:type="dcterms:W3CDTF">2020-02-12T17:36:04Z</dcterms:modified>
</cp:coreProperties>
</file>