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May 19, 2016</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19, 2016 TapImmune Inc. (the “Company”) exercised its option agreement with Mayo Foundation for Medical Education and Research (“Mayo Foundation”) and entered into a license and assignment agreement (the “Agreement”) with Mayo Foundation. Mayo Foundation has granted the Company an exclusive worldwide license to a proprietary HER2Neu vaccine technology.</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Mayo Foundation granted this license in exchange for an initial upfront payment of $300,000, which will be made by June 3, 2016</w:t>
      </w:r>
      <w:r>
        <w:rPr>
          <w:rFonts w:ascii="Arial" w:cs="Arial" w:eastAsia="Arial" w:hAnsi="Arial"/>
          <w:sz w:val="18"/>
          <w:szCs w:val="18"/>
          <w:b w:val="1"/>
          <w:bCs w:val="1"/>
          <w:color w:val="auto"/>
        </w:rPr>
        <w:t>.</w:t>
      </w:r>
      <w:r>
        <w:rPr>
          <w:rFonts w:ascii="Arial" w:cs="Arial" w:eastAsia="Arial" w:hAnsi="Arial"/>
          <w:sz w:val="18"/>
          <w:szCs w:val="18"/>
          <w:color w:val="auto"/>
        </w:rPr>
        <w:t xml:space="preserve"> Upon the payment of the initial upfront payment, the Mayo Foundation assigned to us IND # 14749, and we assumed all responsibility and liability for this investigative new drug application. In addition to the initial upfront payment, we are to pay an annual license maintenance fee, milestone fees and royalty fees (which will be subject to a minimum annual royalty fee once royalty fees are due).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 (i) U.S. Provisional Patent Application Number 60/984,646; (ii) PCT/US2008/081799; and (iii) U.S. Non-Provisional Patent Application Numbers 12/740,562 and 14/480,365, divisionals, continuations and continuations in part.</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Under the Agreement, and subject to certain exceptions, the Company is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has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 of this Agreement runs from May 4, 2016 until the date of our last obligation to make payments under the Agreement, provided that the Mayo Foundation may terminate the Agreement if, among other matters, (i) 30 days after providing us with notice of a material breach of this agreement, the Company fails to cure such breach, (ii) 90 days after providing the Company with written notice, the Company fails to meet either of the following diligence events (a) initiate a Phase II clinical trial for a Licensed Product prior to the 2nd anniversary of the Agreement and, once initiated, keep current on all of our Phase II funding obligations and (b) initiate a Phase IIB or III clinical trial for a Licensed Product prior to the 5th anniversary of the Agreement, (iii) the Company fails to make a sale of a Licensed Product by May 4, 2026, and (iv) the Company ceases to conduct business in the normal event of operations or become insolvent or bankrupt. The Company may voluntarily terminate the Agreement at any time upon written notice to Mayo Foundation.</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foregoing is a summary of the material terms of the Agreement and does not purport to be complete. You should read the complete Agreement, which shall be attached as an exhibit to our Quarterly Report on Form 10-Q for the quarter ended June 30, 2016. We will seek confidential treatment for certain terms of the Agreement at the time of filing such Quarterly Report.</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4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Date: May 25 2016</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600" w:type="dxa"/>
            <w:vAlign w:val="bottom"/>
          </w:tcPr>
          <w:p>
            <w:pPr>
              <w:spacing w:after="0"/>
              <w:rPr>
                <w:sz w:val="18"/>
                <w:szCs w:val="18"/>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60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2020-01-20T14:22:30Z</dcterms:created>
  <dcterms:modified xsi:type="dcterms:W3CDTF">2020-01-20T14:22:30Z</dcterms:modified>
</cp:coreProperties>
</file>