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jc w:val="center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20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80" w:type="dxa"/>
            <w:vAlign w:val="bottom"/>
            <w:gridSpan w:val="18"/>
            <w:vMerge w:val="restart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Eansor Norman David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Marker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MARKER THERAPEUTICS,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4551 KENNEDY COMMERCE DRIVE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3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2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9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20" w:type="dxa"/>
            <w:vAlign w:val="bottom"/>
            <w:gridSpan w:val="1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14,285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17.5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16,713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14,285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2,428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7,142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jc w:val="center"/>
              <w:spacing w:after="0" w:line="3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6"/>
                <w:vertAlign w:val="subscript"/>
              </w:rPr>
              <w:t>7,142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Eansor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7,142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jc w:val="center"/>
              <w:spacing w:after="0" w:line="3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6"/>
                <w:vertAlign w:val="subscript"/>
              </w:rPr>
              <w:t>7,142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Eansor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-7988935</wp:posOffset>
            </wp:positionV>
            <wp:extent cx="7045325" cy="8143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814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 10-1 reverse stock split which became effective on January 16, 2023.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transferred these shares to a trust of which the Reporting Person is the trustee. The Reporting Person's immediate family is the sole beneficiary of the trust.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on June 6, 2024, subject to the Reporting Person's continued service as a director through the vesting date.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70905" TargetMode="External"/><Relationship Id="rId9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2023-06-08T20:50:01Z</dcterms:created>
  <dcterms:modified xsi:type="dcterms:W3CDTF">2023-06-08T20:50:01Z</dcterms:modified>
</cp:coreProperties>
</file>