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57055L206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1,069,659.00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1,069,659.00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1,069,659.00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1,069,659.00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1,069,659.00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1,069,659.00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1,069,659.00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1,069,659.00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1,069,659.00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MARKER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839"/>
        <w:spacing w:after="0"/>
        <w:rPr>
          <w:sz w:val="20"/>
          <w:szCs w:val="20"/>
          <w:color w:val="auto"/>
        </w:rPr>
      </w:pPr>
      <w:r>
        <w:rPr>
          <w:rFonts w:ascii="Times New Roman" w:cs="Times New Roman" w:eastAsia="Times New Roman" w:hAnsi="Times New Roman"/>
          <w:sz w:val="22"/>
          <w:szCs w:val="22"/>
          <w:color w:val="auto"/>
        </w:rPr>
        <w:t>2450 Holcombe Blvd, Suite BCM-A, MS: BCM251, Houston, TX 77021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3080"/>
        <w:spacing w:after="0" w:line="309"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31"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Alyeska Investment Group, L.P. - Delaware (ii) Alyeska Fund GP, LLC - Delaware (iii) Anand Parekh - United States of America</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57055L206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1069659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1069659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1069659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00"/>
          </w:cols>
          <w:pgMar w:left="360" w:top="355" w:right="439" w:bottom="0" w:gutter="0" w:footer="0" w:header="0"/>
        </w:sectPr>
      </w:pPr>
    </w:p>
    <w:bookmarkStart w:id="4" w:name="page5"/>
    <w:bookmarkEnd w:id="4"/>
    <w:p>
      <w:pPr>
        <w:ind w:left="920" w:right="460" w:hanging="917"/>
        <w:spacing w:after="0" w:line="256" w:lineRule="auto"/>
        <w:tabs>
          <w:tab w:leader="none" w:pos="90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2"/>
          <w:szCs w:val="22"/>
          <w:color w:val="auto"/>
        </w:rPr>
        <w:t>Item 4. Ownership: The reporting persons are the beneficial owners of 332,550 shares of Common Stock, par value $0.001 per share of the Issuer and hold warrants to purchase 1,542,450 shares of the Issuer's Common Stock, par value $0.001 per share (the "Warrants"). However, per their terms, the Warrants can only be exercised into such number of shares that would constitute 9.99% of the total number of Common Stock, par value $0.001 per share of the Issuer outstanding immediately after giving effect to the issuance of shares of Common Stock, par value $0.001 per share upon exercise of this Warrant by the Holder. Accordingly, as of December 31, 2024 the reporting persons may only exercise up to 737,109 shares of Common Stock, par value $0.001 per share under the Warrant Agreement, and as such, is reporting beneficial ownership of only such number of shares. The percentage calculation assumes that there are currently 10,707,295 outstanding shares of Common Stock of the Issuer, based on the Issuer's Form 10-Q filed with the Securities and Exchange Commission on November 14, 2024.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2025-02-14T15:48:38Z</dcterms:created>
  <dcterms:modified xsi:type="dcterms:W3CDTF">2025-02-14T15:48:38Z</dcterms:modified>
</cp:coreProperties>
</file>