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333-205757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ind w:left="4180"/>
        <w:spacing w:after="0" w:line="231" w:lineRule="auto"/>
        <w:rPr>
          <w:sz w:val="20"/>
          <w:szCs w:val="20"/>
          <w:color w:val="auto"/>
        </w:rPr>
      </w:pPr>
      <w:r>
        <w:rPr>
          <w:rFonts w:ascii="Arial" w:cs="Arial" w:eastAsia="Arial" w:hAnsi="Arial"/>
          <w:sz w:val="22"/>
          <w:szCs w:val="22"/>
          <w:b w:val="1"/>
          <w:bCs w:val="1"/>
          <w:i w:val="1"/>
          <w:iCs w:val="1"/>
          <w:color w:val="auto"/>
        </w:rPr>
        <w:t>THE SECURITIES ACT OF 1933</w:t>
      </w:r>
    </w:p>
    <w:p>
      <w:pPr>
        <w:ind w:left="4160"/>
        <w:spacing w:after="0"/>
        <w:rPr>
          <w:sz w:val="20"/>
          <w:szCs w:val="20"/>
          <w:color w:val="auto"/>
        </w:rPr>
      </w:pPr>
      <w:r>
        <w:rPr>
          <w:rFonts w:ascii="Arial" w:cs="Arial" w:eastAsia="Arial" w:hAnsi="Arial"/>
          <w:sz w:val="22"/>
          <w:szCs w:val="22"/>
          <w:b w:val="1"/>
          <w:bCs w:val="1"/>
          <w:color w:val="auto"/>
        </w:rPr>
        <w:t>(Post-Effective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9" w:lineRule="exact"/>
        <w:rPr>
          <w:sz w:val="24"/>
          <w:szCs w:val="24"/>
          <w:color w:val="auto"/>
        </w:rPr>
      </w:pPr>
    </w:p>
    <w:tbl>
      <w:tblPr>
        <w:tblLayout w:type="fixed"/>
        <w:tblInd w:w="1980" w:type="dxa"/>
        <w:tblCellMar>
          <w:top w:w="0" w:type="dxa"/>
          <w:left w:w="0" w:type="dxa"/>
          <w:bottom w:w="0" w:type="dxa"/>
          <w:right w:w="0" w:type="dxa"/>
        </w:tblCellMar>
      </w:tblPr>
      <w:tr>
        <w:trPr>
          <w:trHeight w:val="212"/>
        </w:trPr>
        <w:tc>
          <w:tcPr>
            <w:tcW w:w="3960" w:type="dxa"/>
            <w:vAlign w:val="bottom"/>
          </w:tcPr>
          <w:p>
            <w:pPr>
              <w:jc w:val="center"/>
              <w:ind w:right="2042"/>
              <w:spacing w:after="0"/>
              <w:rPr>
                <w:sz w:val="20"/>
                <w:szCs w:val="20"/>
                <w:color w:val="auto"/>
              </w:rPr>
            </w:pPr>
            <w:r>
              <w:rPr>
                <w:rFonts w:ascii="Arial" w:cs="Arial" w:eastAsia="Arial" w:hAnsi="Arial"/>
                <w:sz w:val="18"/>
                <w:szCs w:val="18"/>
                <w:b w:val="1"/>
                <w:bCs w:val="1"/>
                <w:color w:val="auto"/>
                <w:w w:val="89"/>
              </w:rPr>
              <w:t>2836</w:t>
            </w:r>
          </w:p>
        </w:tc>
        <w:tc>
          <w:tcPr>
            <w:tcW w:w="3280" w:type="dxa"/>
            <w:vAlign w:val="bottom"/>
          </w:tcPr>
          <w:p>
            <w:pPr>
              <w:jc w:val="center"/>
              <w:ind w:left="2062"/>
              <w:spacing w:after="0"/>
              <w:rPr>
                <w:sz w:val="20"/>
                <w:szCs w:val="20"/>
                <w:color w:val="auto"/>
              </w:rPr>
            </w:pPr>
            <w:r>
              <w:rPr>
                <w:rFonts w:ascii="Arial" w:cs="Arial" w:eastAsia="Arial" w:hAnsi="Arial"/>
                <w:sz w:val="18"/>
                <w:szCs w:val="18"/>
                <w:b w:val="1"/>
                <w:bCs w:val="1"/>
                <w:color w:val="auto"/>
                <w:w w:val="89"/>
              </w:rPr>
              <w:t>88-0277072</w:t>
            </w:r>
          </w:p>
        </w:tc>
      </w:tr>
      <w:tr>
        <w:trPr>
          <w:trHeight w:val="149"/>
        </w:trPr>
        <w:tc>
          <w:tcPr>
            <w:tcW w:w="3960" w:type="dxa"/>
            <w:vAlign w:val="bottom"/>
          </w:tcPr>
          <w:p>
            <w:pPr>
              <w:jc w:val="center"/>
              <w:ind w:right="206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328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960" w:type="dxa"/>
            <w:vAlign w:val="bottom"/>
          </w:tcPr>
          <w:p>
            <w:pPr>
              <w:jc w:val="center"/>
              <w:ind w:right="2062"/>
              <w:spacing w:after="0"/>
              <w:rPr>
                <w:sz w:val="20"/>
                <w:szCs w:val="20"/>
                <w:color w:val="auto"/>
              </w:rPr>
            </w:pPr>
            <w:r>
              <w:rPr>
                <w:rFonts w:ascii="Arial" w:cs="Arial" w:eastAsia="Arial" w:hAnsi="Arial"/>
                <w:sz w:val="14"/>
                <w:szCs w:val="14"/>
                <w:b w:val="1"/>
                <w:bCs w:val="1"/>
                <w:color w:val="auto"/>
                <w:w w:val="92"/>
              </w:rPr>
              <w:t>Classification Code Number)</w:t>
            </w:r>
          </w:p>
        </w:tc>
        <w:tc>
          <w:tcPr>
            <w:tcW w:w="328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 N. Laura Street, Suite 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Jacksonville, FL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904-516-5436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Sierra Corporate Services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West Liberty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788-2000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A. Catchur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Shumaker, Loop &amp; Kendrick,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E. Kennedy Blvd., Suite 2800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Tampa, FL 33602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813-229-7600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813-229-1660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soon as practicable after this registration statement becomes effective.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Approximate date of commencement of proposed sale to the public</w:t>
      </w:r>
    </w:p>
    <w:p>
      <w:pPr>
        <w:spacing w:after="0" w:line="21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420"/>
            <w:col w:w="6100" w:space="720"/>
            <w:col w:w="1680" w:space="7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500"/>
            <w:col w:w="160" w:space="80"/>
            <w:col w:w="5860" w:space="720"/>
            <w:col w:w="1980" w:space="420"/>
            <w:col w:w="160"/>
          </w:cols>
          <w:pgMar w:left="240" w:top="336" w:right="239" w:bottom="1440" w:gutter="0" w:footer="0" w:header="0"/>
          <w:type w:val="continuous"/>
        </w:sectPr>
      </w:pPr>
    </w:p>
    <w:p>
      <w:pPr>
        <w:spacing w:after="0" w:line="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Registration Statement contains a combined prospectus under Rule 429 promulgated under the Securities Act of 1933 which also relates to the Form S-3 registration statement (File No. 333-196115), initially filed May 20, 2014 and originally declared effective by the SEC on July 23, 2014, as amended by Post-Effective Amendment No. 2 to Form S-3/A on Form S-1, initially filed on July 8, 2015, and declared effective by the SEC on July 16, 2015. Upon effectiveness, this Post-Effective Amendment No. 1 to Registration Statement will also act as a post-effective amendment to such earlier Registration Statement.</w:t>
      </w:r>
    </w:p>
    <w:p>
      <w:pPr>
        <w:spacing w:after="0" w:line="18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Post-Effective Amendment No. 2 to: (i) the Registration Statement on Form S-1 (File No. 333-205757) of TapImmune, Inc. (the “Company”), as originally declared effective by the Securities and Exchange Commission (the “SEC”) on August 7, 2015 (the “2015 Registration Statement”); and (ii) the Registration Statement on Form S-3 (File No. 333-196115) of the Company, as originally declared effective by the SEC on July 23, 2014, as amended by Post-Effective Amendment No. 2 to Form S-3/A on Form S-1, declared effective by the SEC on July 16, 2015 (the “2014 Registration Statement” and, together with the 2015 Registration Statement, the “Registration Statements”) is being filed pursuant to the undertakings in the 2015 Registration Statement to include the information contained in the Company’s Annual Report on Form 10-K for the fiscal year ended December 31, 2015, which was filed with the SEC on April 14, 2016, the information contained in the Company’s Quarterly Report on Form 10-Q for the fiscal quarter ended March 31, 2016, which was filed with the SEC on May 16, 2016, and the information contained in the Company’s Current Report on Form 8-K, dated May 19, 2016, which was filed with the SEC on May 25, 2016.</w:t>
      </w:r>
    </w:p>
    <w:p>
      <w:pPr>
        <w:spacing w:after="0" w:line="18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included in this filing amends the original Registration Statements and the prospectuses contained therein. No additional securities are being registered under this Post-Effective Amendment No. 2. All applicable registration fees were paid at the time of the original filing of the Registration Statements.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Rule 429 of the Securities Act of 1933, as amended, the prospectus contained in this Post-Effective Amendment No. 2 to the 2015 Registration Statement is a combined prospectus, and this Post-Effective Amendment No. 2 constitutes a post-effective amendment to the 2014 Registration Statement and such post-effective amendment shall hereafter become effective concurrently with the effectiveness of this Post-Effective Amendment No. 2 to the 2015 Registration Statement in accordance with Section 8(c) of the Securities Act of 1933.</w:t>
      </w:r>
    </w:p>
    <w:p>
      <w:pPr>
        <w:sectPr>
          <w:pgSz w:w="11900" w:h="16838" w:orient="portrait"/>
          <w:cols w:equalWidth="0" w:num="1">
            <w:col w:w="11420"/>
          </w:cols>
          <w:pgMar w:left="240" w:top="459" w:right="239" w:bottom="1440" w:gutter="0" w:footer="0" w:header="0"/>
        </w:sectPr>
      </w:pPr>
    </w:p>
    <w:bookmarkStart w:id="3" w:name="page4"/>
    <w:bookmarkEnd w:id="3"/>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4338"/>
        </w:rPr>
        <w:t>Subject to Completion—Dated June 2,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172085</wp:posOffset>
            </wp:positionV>
            <wp:extent cx="1895475" cy="960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71,046,767 Shares of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are registering 51,046,767 shares of our common stock issuable upon the exercise of the following warrants:</w:t>
      </w:r>
    </w:p>
    <w:p>
      <w:pPr>
        <w:spacing w:after="0" w:line="131" w:lineRule="exact"/>
        <w:rPr>
          <w:sz w:val="20"/>
          <w:szCs w:val="20"/>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1,886,792 shares of common stock issuable upon exercise of warrants issued on August 13, 2014,</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2,500,000 shares of common stock issuable upon exercise of the Series A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A-1 Warrants issued on March 9,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4,700,000 shares of common stock issuable upon exercise of the Series C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Series C Warrants issued on May 28,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C-1 Warrants issued on March 9,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Series D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D-1 Warrants issued on March 9,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Series E Warrants issued on January 12, 2015,</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Series E-1 Warrants issued on March 9, 2015,</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order for the holders of such warrants to exercise the warrants, in their discretion, as well as for the resale of such shares of common stock by the selling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also registering for resale 20,000,000 shares of common stock owned by Eastern Capital Limited, our largest stockholder.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Series A and Series A-1 Warrants have an initial exercise price equal to $0.10 per share, subject to adjustments.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outstanding Series C and Series C-1 Warrants have an initial exercise price equal to $0.50 per share, subject to adjustments. Our outstanding Series D and Series D-1 Warrants have an initial exercise price equal to $0.75 per share, subject to adjustments. Our outstanding Series E and Series E-1 Warrants have an initial exercise price equal to $1.25 per share, subject to adjustments.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warrants issued in August 2014 have an initial exercise price equal to $1.17 per share, subject to adjustments.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Series C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C-1, Series D-1 and Series E-1 Warrants provide that in no event shall shares of common stock be issued to any holder of those Warrants to the extent such issuances of shares of common stock would result in such holder having ownership in excess of 49.9% of our outstanding shares of common stock.</w:t>
      </w:r>
    </w:p>
    <w:p>
      <w:pPr>
        <w:spacing w:after="0" w:line="1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prices at which the selling stockholders may sell the shares of common stock underlying the securities held by them will be determined by the prevailing market price for the shares or in negotiated transactions. We provide more information on how the selling stockholders may resell their respective shares of our common stock in the Section titled “Plan of Distribution” beginning on page 30. We are not selling any securities under this prospectus and we will not receive proceeds from the sale of the shares by the selling stockholders, except pursuant to the exercise of the Warrants.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obligated to pay the expenses of registering these shares, but all selling and other expenses incurred by the selling stockholders will be paid by the selling stockholder.</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common stock is quoted on the OTCQB under the symbol “TPIV.” On May 10, 2016, the last reported sale price of our common stock on the OTCQB was $0.64 per share, and we had 71,030,762 shares of common stock outstanding.</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ectPr>
          <w:pgSz w:w="11900" w:h="16896" w:orient="portrait"/>
          <w:cols w:equalWidth="0" w:num="1">
            <w:col w:w="11400"/>
          </w:cols>
          <w:pgMar w:left="240" w:top="459" w:right="259" w:bottom="0" w:gutter="0" w:footer="0" w:header="0"/>
        </w:sectPr>
      </w:pPr>
    </w:p>
    <w:p>
      <w:pPr>
        <w:spacing w:after="0" w:line="157" w:lineRule="exact"/>
        <w:rPr>
          <w:sz w:val="20"/>
          <w:szCs w:val="20"/>
          <w:color w:val="auto"/>
        </w:rPr>
      </w:pPr>
    </w:p>
    <w:p>
      <w:pPr>
        <w:ind w:right="6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You should review carefully the risks and uncertainties described under the heading “</w:t>
      </w:r>
      <w:hyperlink w:anchor="page1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7.</w:t>
      </w:r>
    </w:p>
    <w:p>
      <w:pPr>
        <w:sectPr>
          <w:pgSz w:w="11900" w:h="16896" w:orient="portrait"/>
          <w:cols w:equalWidth="0" w:num="1">
            <w:col w:w="11400"/>
          </w:cols>
          <w:pgMar w:left="240" w:top="459" w:right="259" w:bottom="0" w:gutter="0" w:footer="0" w:header="0"/>
          <w:type w:val="continuous"/>
        </w:sectPr>
      </w:pPr>
    </w:p>
    <w:bookmarkStart w:id="4" w:name="page5"/>
    <w:bookmarkEnd w:id="4"/>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40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w w:val="96"/>
              </w:rPr>
              <w:t>The date of this prospectus is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2016</w:t>
            </w:r>
          </w:p>
        </w:tc>
      </w:tr>
    </w:tbl>
    <w:p>
      <w:pPr>
        <w:sectPr>
          <w:pgSz w:w="11900" w:h="16838" w:orient="portrait"/>
          <w:cols w:equalWidth="0" w:num="1">
            <w:col w:w="11360"/>
          </w:cols>
          <w:pgMar w:left="240" w:top="121"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60" w:type="dxa"/>
            <w:vAlign w:val="bottom"/>
            <w:gridSpan w:val="5"/>
          </w:tcPr>
          <w:p>
            <w:pPr>
              <w:ind w:left="17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20" w:type="dxa"/>
            <w:vAlign w:val="bottom"/>
            <w:gridSpan w:val="22"/>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2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Prospectus Summary</w:t>
              </w:r>
            </w:hyperlink>
          </w:p>
        </w:tc>
        <w:tc>
          <w:tcPr>
            <w:tcW w:w="580" w:type="dxa"/>
            <w:vAlign w:val="bottom"/>
            <w:tcBorders>
              <w:top w:val="single" w:sz="8" w:color="0000EE"/>
            </w:tcBorders>
            <w:gridSpan w:val="4"/>
          </w:tcPr>
          <w:p>
            <w:pPr>
              <w:spacing w:after="0"/>
              <w:rPr>
                <w:sz w:val="17"/>
                <w:szCs w:val="17"/>
                <w:color w:val="auto"/>
              </w:rPr>
            </w:pPr>
          </w:p>
        </w:tc>
        <w:tc>
          <w:tcPr>
            <w:tcW w:w="89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1010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Use of Proceeds</w:t>
              </w:r>
            </w:hyperlink>
          </w:p>
        </w:tc>
        <w:tc>
          <w:tcPr>
            <w:tcW w:w="984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Determination of Offering Price</w:t>
              </w:r>
            </w:hyperlink>
          </w:p>
        </w:tc>
        <w:tc>
          <w:tcPr>
            <w:tcW w:w="87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Selling Stockholders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Plan of Distribution</w:t>
              </w:r>
            </w:hyperlink>
          </w:p>
        </w:tc>
        <w:tc>
          <w:tcPr>
            <w:tcW w:w="60" w:type="dxa"/>
            <w:vAlign w:val="bottom"/>
            <w:tcBorders>
              <w:top w:val="single" w:sz="8" w:color="0000EE"/>
            </w:tcBorders>
          </w:tcPr>
          <w:p>
            <w:pPr>
              <w:spacing w:after="0"/>
              <w:rPr>
                <w:sz w:val="17"/>
                <w:szCs w:val="17"/>
                <w:color w:val="auto"/>
              </w:rPr>
            </w:pPr>
          </w:p>
        </w:tc>
        <w:tc>
          <w:tcPr>
            <w:tcW w:w="95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Description of Securities</w:t>
              </w:r>
            </w:hyperlink>
          </w:p>
        </w:tc>
        <w:tc>
          <w:tcPr>
            <w:tcW w:w="92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Business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Market For Registrant’s Common Equity and Related Stockholder Matters</w:t>
              </w:r>
            </w:hyperlink>
          </w:p>
        </w:tc>
        <w:tc>
          <w:tcPr>
            <w:tcW w:w="56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Management’s Discussion and Analysis of Financial Condition and Results of Operations</w:t>
              </w:r>
            </w:hyperlink>
          </w:p>
        </w:tc>
        <w:tc>
          <w:tcPr>
            <w:tcW w:w="45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Management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Transactions with Related Persons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Executive Compensation</w:t>
              </w:r>
            </w:hyperlink>
          </w:p>
        </w:tc>
        <w:tc>
          <w:tcPr>
            <w:tcW w:w="660" w:type="dxa"/>
            <w:vAlign w:val="bottom"/>
            <w:tcBorders>
              <w:top w:val="single" w:sz="8" w:color="0000EE"/>
            </w:tcBorders>
            <w:gridSpan w:val="4"/>
          </w:tcPr>
          <w:p>
            <w:pPr>
              <w:spacing w:after="0"/>
              <w:rPr>
                <w:sz w:val="17"/>
                <w:szCs w:val="17"/>
                <w:color w:val="auto"/>
              </w:rPr>
            </w:pPr>
          </w:p>
        </w:tc>
        <w:tc>
          <w:tcPr>
            <w:tcW w:w="85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Beneficial Ownership of Principal Stockholders, Officers and Directors</w:t>
              </w:r>
            </w:hyperlink>
          </w:p>
        </w:tc>
        <w:tc>
          <w:tcPr>
            <w:tcW w:w="58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Experts</w:t>
              </w:r>
            </w:hyperlink>
          </w:p>
        </w:tc>
        <w:tc>
          <w:tcPr>
            <w:tcW w:w="1046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Legal Matters</w:t>
              </w:r>
            </w:hyperlink>
          </w:p>
        </w:tc>
        <w:tc>
          <w:tcPr>
            <w:tcW w:w="100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Disclosure of Commission Position of Indemnification For Securities Act Liabilities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Where You Can Find Additional Information</w:t>
              </w:r>
            </w:hyperlink>
          </w:p>
        </w:tc>
        <w:tc>
          <w:tcPr>
            <w:tcW w:w="2820" w:type="dxa"/>
            <w:vAlign w:val="bottom"/>
            <w:tcBorders>
              <w:top w:val="single" w:sz="8" w:color="0000EE"/>
            </w:tcBorders>
            <w:gridSpan w:val="3"/>
          </w:tcPr>
          <w:p>
            <w:pPr>
              <w:spacing w:after="0"/>
              <w:rPr>
                <w:sz w:val="17"/>
                <w:szCs w:val="17"/>
                <w:color w:val="auto"/>
              </w:rPr>
            </w:pPr>
          </w:p>
        </w:tc>
        <w:tc>
          <w:tcPr>
            <w:tcW w:w="49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Index to Financial Statements</w:t>
              </w:r>
            </w:hyperlink>
          </w:p>
        </w:tc>
        <w:tc>
          <w:tcPr>
            <w:tcW w:w="88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this prospectus, all references to (i) “TapImmune” “we,” “us,” “our” or the “Company” mean TapImmune Inc.;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You should rely only on the information contained in this prospectus or incorporated by reference in this prospectus and in any applicable prospectus supplement. Neither we nor the selling stockholders have authorized anyone to provide you with any different information. Neither we nor the selling stockholders take any responsibility for, and can provide no assurance as to the reliability of, any other information that others may give you. The information contained in this prospectus, any applicable prospectus supplement and the documents incorporated by reference herein or therein are accurate only as of the date such information is presented. Our business, financial condition, results of operations and prospects may have changed since that date.</w:t>
      </w:r>
    </w:p>
    <w:p>
      <w:pPr>
        <w:spacing w:after="0" w:line="15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You should also read this prospectus together with the additional information described under the heading “Where You Can Find More Information.” This prospectus may be supplemented from time to time to add, update or change information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selling stockholders are offering the common stock and warrants only in jurisdictions where such issuances are permitted.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the offering and the distribution of this prospectus applicable to those jurisdictions. This prospectus is not an offer to sell, nor a solicitation of an offer to buy, these securities in any jurisdiction where the offer or sale is not permitted.</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registration statement containing this prospectus, including the exhibits to the registration statement, provides additional information about us and the securities offered under this prospectus. The registration statement, including the exhibits, can be read on the Securities and Exchange Commission’s website or at the Securities and Exchange Commission’s offices mentioned under the heading “Where You Can Find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Regarding Reverse Stock Split</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February 18, 2014, we filed a Certificate of Change pursuant to NRS 78.209 with the Secretary of State of the State of Nevada to effect a reverse split of our common stock at a ratio of one for one hundred. All historical share and per share amounts reflected in this prospectus have been adjusted to reflect the resulting reverse stock split.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prospectus. Any of these items may cause our actual results to differ materially from any forward-looking statement made in this prospectus. Forward-looking statements in this prospectus include, statements as to:</w:t>
      </w:r>
    </w:p>
    <w:p>
      <w:pPr>
        <w:spacing w:after="0" w:line="99"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 expected revenues and sources of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8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130" w:lineRule="exact"/>
        <w:rPr>
          <w:rFonts w:ascii="Arial" w:cs="Arial" w:eastAsia="Arial" w:hAnsi="Arial"/>
          <w:sz w:val="18"/>
          <w:szCs w:val="18"/>
          <w:color w:val="auto"/>
        </w:rPr>
      </w:pPr>
    </w:p>
    <w:p>
      <w:pPr>
        <w:ind w:left="5660" w:right="4000" w:hanging="5206"/>
        <w:spacing w:after="0" w:line="449"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 ii</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liability and other insurance coverage;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945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7945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These immunotherapy platforms also have application in infectious disease. We combine a set of proprietary and exclusively licensed technologies including peptide antigen technologies and DNA expression technologies that improve the ability of the cellular immune system to recognize and destroy diseased cells.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left="200" w:right="540" w:hanging="3"/>
        <w:spacing w:after="0" w:line="277" w:lineRule="auto"/>
        <w:tabs>
          <w:tab w:leader="none" w:pos="4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w:t>
      </w:r>
    </w:p>
    <w:p>
      <w:pPr>
        <w:spacing w:after="0" w:line="170" w:lineRule="exact"/>
        <w:rPr>
          <w:rFonts w:ascii="Arial" w:cs="Arial" w:eastAsia="Arial" w:hAnsi="Arial"/>
          <w:sz w:val="18"/>
          <w:szCs w:val="18"/>
          <w:color w:val="auto"/>
        </w:rPr>
      </w:pPr>
    </w:p>
    <w:p>
      <w:pPr>
        <w:ind w:left="460" w:hanging="26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and</w:t>
      </w:r>
    </w:p>
    <w:p>
      <w:pPr>
        <w:spacing w:after="0" w:line="225" w:lineRule="exact"/>
        <w:rPr>
          <w:rFonts w:ascii="Arial" w:cs="Arial" w:eastAsia="Arial" w:hAnsi="Arial"/>
          <w:sz w:val="18"/>
          <w:szCs w:val="18"/>
          <w:color w:val="auto"/>
        </w:rPr>
      </w:pPr>
    </w:p>
    <w:p>
      <w:pPr>
        <w:ind w:left="460" w:hanging="263"/>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wholly owned DNA expression vaccine technology (Polystart) for further treating various cancers or infectious disease.</w:t>
      </w:r>
    </w:p>
    <w:p>
      <w:pPr>
        <w:spacing w:after="0" w:line="225" w:lineRule="exact"/>
        <w:rPr>
          <w:sz w:val="20"/>
          <w:szCs w:val="20"/>
          <w:color w:val="auto"/>
        </w:rPr>
      </w:pPr>
    </w:p>
    <w:p>
      <w:pPr>
        <w:jc w:val="both"/>
        <w:ind w:left="200" w:right="14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Product/ Candidate</w:t>
            </w:r>
          </w:p>
        </w:tc>
        <w:tc>
          <w:tcPr>
            <w:tcW w:w="1780" w:type="dxa"/>
            <w:vAlign w:val="bottom"/>
          </w:tcPr>
          <w:p>
            <w:pPr>
              <w:spacing w:after="0"/>
              <w:rPr>
                <w:sz w:val="16"/>
                <w:szCs w:val="16"/>
                <w:color w:val="auto"/>
              </w:rPr>
            </w:pPr>
          </w:p>
        </w:tc>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6"/>
                <w:szCs w:val="16"/>
                <w:color w:val="auto"/>
              </w:rPr>
            </w:pPr>
          </w:p>
        </w:tc>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Application</w:t>
            </w:r>
          </w:p>
        </w:tc>
        <w:tc>
          <w:tcPr>
            <w:tcW w:w="100" w:type="dxa"/>
            <w:vAlign w:val="bottom"/>
          </w:tcPr>
          <w:p>
            <w:pPr>
              <w:spacing w:after="0"/>
              <w:rPr>
                <w:sz w:val="16"/>
                <w:szCs w:val="16"/>
                <w:color w:val="auto"/>
              </w:rPr>
            </w:pPr>
          </w:p>
        </w:tc>
        <w:tc>
          <w:tcPr>
            <w:tcW w:w="25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5"/>
        </w:trPr>
        <w:tc>
          <w:tcPr>
            <w:tcW w:w="3000" w:type="dxa"/>
            <w:vAlign w:val="bottom"/>
            <w:gridSpan w:val="2"/>
          </w:tcPr>
          <w:p>
            <w:pPr>
              <w:spacing w:after="0" w:line="195" w:lineRule="exact"/>
              <w:rPr>
                <w:sz w:val="20"/>
                <w:szCs w:val="20"/>
                <w:color w:val="auto"/>
              </w:rPr>
            </w:pPr>
            <w:r>
              <w:rPr>
                <w:rFonts w:ascii="Arial" w:cs="Arial" w:eastAsia="Arial" w:hAnsi="Arial"/>
                <w:sz w:val="18"/>
                <w:szCs w:val="18"/>
                <w:color w:val="auto"/>
              </w:rPr>
              <w:t>HER2/neu+ Breast Cancer Vaccine</w:t>
            </w:r>
          </w:p>
        </w:tc>
        <w:tc>
          <w:tcPr>
            <w:tcW w:w="2660" w:type="dxa"/>
            <w:vAlign w:val="bottom"/>
          </w:tcPr>
          <w:p>
            <w:pPr>
              <w:spacing w:after="0" w:line="195" w:lineRule="exact"/>
              <w:rPr>
                <w:sz w:val="20"/>
                <w:szCs w:val="20"/>
                <w:color w:val="auto"/>
              </w:rPr>
            </w:pPr>
            <w:r>
              <w:rPr>
                <w:rFonts w:ascii="Arial" w:cs="Arial" w:eastAsia="Arial" w:hAnsi="Arial"/>
                <w:sz w:val="18"/>
                <w:szCs w:val="18"/>
                <w:color w:val="auto"/>
              </w:rPr>
              <w:t>Peptide Vaccine</w:t>
            </w:r>
          </w:p>
        </w:tc>
        <w:tc>
          <w:tcPr>
            <w:tcW w:w="100" w:type="dxa"/>
            <w:vAlign w:val="bottom"/>
          </w:tcPr>
          <w:p>
            <w:pPr>
              <w:spacing w:after="0"/>
              <w:rPr>
                <w:sz w:val="16"/>
                <w:szCs w:val="16"/>
                <w:color w:val="auto"/>
              </w:rPr>
            </w:pPr>
          </w:p>
        </w:tc>
        <w:tc>
          <w:tcPr>
            <w:tcW w:w="2660" w:type="dxa"/>
            <w:vAlign w:val="bottom"/>
          </w:tcPr>
          <w:p>
            <w:pPr>
              <w:spacing w:after="0" w:line="195" w:lineRule="exact"/>
              <w:rPr>
                <w:sz w:val="20"/>
                <w:szCs w:val="20"/>
                <w:color w:val="auto"/>
              </w:rPr>
            </w:pPr>
            <w:r>
              <w:rPr>
                <w:rFonts w:ascii="Arial" w:cs="Arial" w:eastAsia="Arial" w:hAnsi="Arial"/>
                <w:sz w:val="18"/>
                <w:szCs w:val="18"/>
                <w:color w:val="auto"/>
              </w:rPr>
              <w:t>Treatment of HER2/neu+ Breast</w:t>
            </w:r>
          </w:p>
        </w:tc>
        <w:tc>
          <w:tcPr>
            <w:tcW w:w="100" w:type="dxa"/>
            <w:vAlign w:val="bottom"/>
          </w:tcPr>
          <w:p>
            <w:pPr>
              <w:spacing w:after="0"/>
              <w:rPr>
                <w:sz w:val="16"/>
                <w:szCs w:val="16"/>
                <w:color w:val="auto"/>
              </w:rPr>
            </w:pPr>
          </w:p>
        </w:tc>
        <w:tc>
          <w:tcPr>
            <w:tcW w:w="2540" w:type="dxa"/>
            <w:vAlign w:val="bottom"/>
          </w:tcPr>
          <w:p>
            <w:pPr>
              <w:spacing w:after="0" w:line="195" w:lineRule="exact"/>
              <w:rPr>
                <w:sz w:val="20"/>
                <w:szCs w:val="20"/>
                <w:color w:val="auto"/>
              </w:rPr>
            </w:pPr>
            <w:r>
              <w:rPr>
                <w:rFonts w:ascii="Arial" w:cs="Arial" w:eastAsia="Arial" w:hAnsi="Arial"/>
                <w:sz w:val="18"/>
                <w:szCs w:val="18"/>
                <w:color w:val="auto"/>
              </w:rPr>
              <w:t>Phase I trial completed</w:t>
            </w:r>
          </w:p>
        </w:tc>
        <w:tc>
          <w:tcPr>
            <w:tcW w:w="0" w:type="dxa"/>
            <w:vAlign w:val="bottom"/>
          </w:tcPr>
          <w:p>
            <w:pPr>
              <w:spacing w:after="0"/>
              <w:rPr>
                <w:sz w:val="1"/>
                <w:szCs w:val="1"/>
                <w:color w:val="auto"/>
              </w:rPr>
            </w:pPr>
          </w:p>
        </w:tc>
      </w:tr>
      <w:tr>
        <w:trPr>
          <w:trHeight w:val="230"/>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TPIV 100/110</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Cancer</w:t>
            </w:r>
          </w:p>
        </w:tc>
        <w:tc>
          <w:tcPr>
            <w:tcW w:w="2540" w:type="dxa"/>
            <w:vAlign w:val="bottom"/>
          </w:tcPr>
          <w:p>
            <w:pPr>
              <w:spacing w:after="0"/>
              <w:rPr>
                <w:sz w:val="20"/>
                <w:szCs w:val="20"/>
                <w:color w:val="auto"/>
              </w:rPr>
            </w:pPr>
            <w:r>
              <w:rPr>
                <w:rFonts w:ascii="Arial" w:cs="Arial" w:eastAsia="Arial" w:hAnsi="Arial"/>
                <w:sz w:val="18"/>
                <w:szCs w:val="18"/>
                <w:color w:val="auto"/>
              </w:rPr>
              <w:t>Phase II to start in 2016</w:t>
            </w:r>
          </w:p>
        </w:tc>
        <w:tc>
          <w:tcPr>
            <w:tcW w:w="0" w:type="dxa"/>
            <w:vAlign w:val="bottom"/>
          </w:tcPr>
          <w:p>
            <w:pPr>
              <w:spacing w:after="0"/>
              <w:rPr>
                <w:sz w:val="1"/>
                <w:szCs w:val="1"/>
                <w:color w:val="auto"/>
              </w:rPr>
            </w:pPr>
          </w:p>
        </w:tc>
      </w:tr>
      <w:tr>
        <w:trPr>
          <w:trHeight w:val="108"/>
        </w:trPr>
        <w:tc>
          <w:tcPr>
            <w:tcW w:w="3000" w:type="dxa"/>
            <w:vAlign w:val="bottom"/>
            <w:gridSpan w:val="2"/>
            <w:vMerge w:val="continue"/>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000" w:type="dxa"/>
            <w:vAlign w:val="bottom"/>
            <w:gridSpan w:val="2"/>
          </w:tcPr>
          <w:p>
            <w:pPr>
              <w:spacing w:after="0"/>
              <w:rPr>
                <w:sz w:val="20"/>
                <w:szCs w:val="20"/>
                <w:color w:val="auto"/>
              </w:rPr>
            </w:pPr>
            <w:r>
              <w:rPr>
                <w:rFonts w:ascii="Arial" w:cs="Arial" w:eastAsia="Arial" w:hAnsi="Arial"/>
                <w:sz w:val="18"/>
                <w:szCs w:val="18"/>
                <w:color w:val="auto"/>
              </w:rPr>
              <w:t>Folate Receptor Alpha Vaccine</w:t>
            </w:r>
          </w:p>
        </w:tc>
        <w:tc>
          <w:tcPr>
            <w:tcW w:w="2760" w:type="dxa"/>
            <w:vAlign w:val="bottom"/>
            <w:gridSpan w:val="2"/>
          </w:tcPr>
          <w:p>
            <w:pPr>
              <w:spacing w:after="0"/>
              <w:rPr>
                <w:sz w:val="20"/>
                <w:szCs w:val="20"/>
                <w:color w:val="auto"/>
              </w:rPr>
            </w:pPr>
            <w:r>
              <w:rPr>
                <w:rFonts w:ascii="Arial" w:cs="Arial" w:eastAsia="Arial" w:hAnsi="Arial"/>
                <w:sz w:val="18"/>
                <w:szCs w:val="18"/>
                <w:color w:val="auto"/>
              </w:rPr>
              <w:t>Peptide Vaccine</w:t>
            </w:r>
          </w:p>
        </w:tc>
        <w:tc>
          <w:tcPr>
            <w:tcW w:w="2760" w:type="dxa"/>
            <w:vAlign w:val="bottom"/>
            <w:gridSpan w:val="2"/>
          </w:tcPr>
          <w:p>
            <w:pPr>
              <w:spacing w:after="0"/>
              <w:rPr>
                <w:sz w:val="20"/>
                <w:szCs w:val="20"/>
                <w:color w:val="auto"/>
              </w:rPr>
            </w:pPr>
            <w:r>
              <w:rPr>
                <w:rFonts w:ascii="Arial" w:cs="Arial" w:eastAsia="Arial" w:hAnsi="Arial"/>
                <w:sz w:val="18"/>
                <w:szCs w:val="18"/>
                <w:color w:val="auto"/>
              </w:rPr>
              <w:t>Treatment of Folate Alpha Breast</w:t>
            </w:r>
          </w:p>
        </w:tc>
        <w:tc>
          <w:tcPr>
            <w:tcW w:w="2540" w:type="dxa"/>
            <w:vAlign w:val="bottom"/>
          </w:tcPr>
          <w:p>
            <w:pPr>
              <w:spacing w:after="0"/>
              <w:rPr>
                <w:sz w:val="20"/>
                <w:szCs w:val="20"/>
                <w:color w:val="auto"/>
              </w:rPr>
            </w:pPr>
            <w:r>
              <w:rPr>
                <w:rFonts w:ascii="Arial" w:cs="Arial" w:eastAsia="Arial" w:hAnsi="Arial"/>
                <w:sz w:val="18"/>
                <w:szCs w:val="18"/>
                <w:color w:val="auto"/>
              </w:rPr>
              <w:t>Phase I trial completed</w:t>
            </w:r>
          </w:p>
        </w:tc>
        <w:tc>
          <w:tcPr>
            <w:tcW w:w="0" w:type="dxa"/>
            <w:vAlign w:val="bottom"/>
          </w:tcPr>
          <w:p>
            <w:pPr>
              <w:spacing w:after="0"/>
              <w:rPr>
                <w:sz w:val="1"/>
                <w:szCs w:val="1"/>
                <w:color w:val="auto"/>
              </w:rPr>
            </w:pPr>
          </w:p>
        </w:tc>
      </w:tr>
      <w:tr>
        <w:trPr>
          <w:trHeight w:val="216"/>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TPIV 200</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and Ovarian Cancer</w:t>
            </w:r>
          </w:p>
        </w:tc>
        <w:tc>
          <w:tcPr>
            <w:tcW w:w="2540" w:type="dxa"/>
            <w:vAlign w:val="bottom"/>
          </w:tcPr>
          <w:p>
            <w:pPr>
              <w:spacing w:after="0"/>
              <w:rPr>
                <w:sz w:val="20"/>
                <w:szCs w:val="20"/>
                <w:color w:val="auto"/>
              </w:rPr>
            </w:pPr>
            <w:r>
              <w:rPr>
                <w:rFonts w:ascii="Arial" w:cs="Arial" w:eastAsia="Arial" w:hAnsi="Arial"/>
                <w:sz w:val="18"/>
                <w:szCs w:val="18"/>
                <w:color w:val="auto"/>
                <w:w w:val="98"/>
              </w:rPr>
              <w:t>Multiple Phase II trials to start in</w:t>
            </w:r>
          </w:p>
        </w:tc>
        <w:tc>
          <w:tcPr>
            <w:tcW w:w="0" w:type="dxa"/>
            <w:vAlign w:val="bottom"/>
          </w:tcPr>
          <w:p>
            <w:pPr>
              <w:spacing w:after="0"/>
              <w:rPr>
                <w:sz w:val="1"/>
                <w:szCs w:val="1"/>
                <w:color w:val="auto"/>
              </w:rPr>
            </w:pPr>
          </w:p>
        </w:tc>
      </w:tr>
      <w:tr>
        <w:trPr>
          <w:trHeight w:val="136"/>
        </w:trPr>
        <w:tc>
          <w:tcPr>
            <w:tcW w:w="3000" w:type="dxa"/>
            <w:vAlign w:val="bottom"/>
            <w:gridSpan w:val="2"/>
            <w:vMerge w:val="continue"/>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vMerge w:val="restart"/>
          </w:tcPr>
          <w:p>
            <w:pPr>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Peptide Vaccine + Checkpoint</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Phase II trial to start in 2016</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inhibitor</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0" w:type="dxa"/>
            <w:vAlign w:val="bottom"/>
            <w:gridSpan w:val="2"/>
          </w:tcPr>
          <w:p>
            <w:pPr>
              <w:spacing w:after="0"/>
              <w:rPr>
                <w:sz w:val="20"/>
                <w:szCs w:val="20"/>
                <w:color w:val="auto"/>
              </w:rPr>
            </w:pPr>
            <w:r>
              <w:rPr>
                <w:rFonts w:ascii="Arial" w:cs="Arial" w:eastAsia="Arial" w:hAnsi="Arial"/>
                <w:sz w:val="18"/>
                <w:szCs w:val="18"/>
                <w:color w:val="auto"/>
              </w:rPr>
              <w:t>Polystart</w:t>
            </w:r>
          </w:p>
        </w:tc>
        <w:tc>
          <w:tcPr>
            <w:tcW w:w="2760" w:type="dxa"/>
            <w:vAlign w:val="bottom"/>
            <w:gridSpan w:val="2"/>
          </w:tcPr>
          <w:p>
            <w:pPr>
              <w:spacing w:after="0"/>
              <w:rPr>
                <w:sz w:val="20"/>
                <w:szCs w:val="20"/>
                <w:color w:val="auto"/>
              </w:rPr>
            </w:pPr>
            <w:r>
              <w:rPr>
                <w:rFonts w:ascii="Arial" w:cs="Arial" w:eastAsia="Arial" w:hAnsi="Arial"/>
                <w:sz w:val="18"/>
                <w:szCs w:val="18"/>
                <w:color w:val="auto"/>
              </w:rPr>
              <w:t>DNA expression technology</w:t>
            </w:r>
          </w:p>
        </w:tc>
        <w:tc>
          <w:tcPr>
            <w:tcW w:w="2760" w:type="dxa"/>
            <w:vAlign w:val="bottom"/>
            <w:gridSpan w:val="2"/>
          </w:tcPr>
          <w:p>
            <w:pPr>
              <w:spacing w:after="0"/>
              <w:rPr>
                <w:sz w:val="20"/>
                <w:szCs w:val="20"/>
                <w:color w:val="auto"/>
              </w:rPr>
            </w:pPr>
            <w:r>
              <w:rPr>
                <w:rFonts w:ascii="Arial" w:cs="Arial" w:eastAsia="Arial" w:hAnsi="Arial"/>
                <w:sz w:val="18"/>
                <w:szCs w:val="18"/>
                <w:color w:val="auto"/>
              </w:rPr>
              <w:t>Broad Application to “Prime” and</w:t>
            </w:r>
          </w:p>
        </w:tc>
        <w:tc>
          <w:tcPr>
            <w:tcW w:w="2540" w:type="dxa"/>
            <w:vAlign w:val="bottom"/>
          </w:tcPr>
          <w:p>
            <w:pPr>
              <w:spacing w:after="0"/>
              <w:rPr>
                <w:sz w:val="20"/>
                <w:szCs w:val="20"/>
                <w:color w:val="auto"/>
              </w:rPr>
            </w:pPr>
            <w:r>
              <w:rPr>
                <w:rFonts w:ascii="Arial" w:cs="Arial" w:eastAsia="Arial" w:hAnsi="Arial"/>
                <w:sz w:val="18"/>
                <w:szCs w:val="18"/>
                <w:color w:val="auto"/>
              </w:rPr>
              <w:t>Preclinical</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“Boost”</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w:t>
      </w:r>
    </w:p>
    <w:p>
      <w:pPr>
        <w:spacing w:after="0" w:line="117"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7"/>
          <w:szCs w:val="17"/>
          <w:i w:val="1"/>
          <w:iCs w:val="1"/>
          <w:color w:val="auto"/>
        </w:rPr>
        <w:t>i. e</w:t>
      </w:r>
      <w:r>
        <w:rPr>
          <w:rFonts w:ascii="Arial" w:cs="Arial" w:eastAsia="Arial" w:hAnsi="Arial"/>
          <w:sz w:val="17"/>
          <w:szCs w:val="17"/>
          <w:color w:val="auto"/>
        </w:rPr>
        <w:t>. ,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59"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8022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8022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Human Clinical Trials – HER2/neu+ Breast Cancer – Mayo Foundation</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On June 1, 2010, we signed an exclusive licensing option agreement with the Mayo Foundation for Medical Education and Research (“Mayo Foundation”), Rochester MN for clinical development of a new HER2/neu+ breast cancer vaccine technology. An IND for Phase I human clinical trial on the HER2/neu+ cancer vaccine in collaboration with the Mayo Foundation was allowed by the FDA in July, 2011 and the Mayo IRB approved the trial on May 4, 2012. 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 19 out of 20 evaluable patients showed robust T-cell immune responses to the antigens in the vaccine composition. These results provide the rationale for advancement into Phase II in 2016</w:t>
      </w:r>
      <w:r>
        <w:rPr>
          <w:rFonts w:ascii="Arial" w:cs="Arial" w:eastAsia="Arial" w:hAnsi="Arial"/>
          <w:sz w:val="16"/>
          <w:szCs w:val="16"/>
          <w:b w:val="1"/>
          <w:bCs w:val="1"/>
          <w:color w:val="auto"/>
        </w:rPr>
        <w:t>.</w:t>
      </w:r>
      <w:r>
        <w:rPr>
          <w:rFonts w:ascii="Arial" w:cs="Arial" w:eastAsia="Arial" w:hAnsi="Arial"/>
          <w:sz w:val="16"/>
          <w:szCs w:val="16"/>
          <w:color w:val="auto"/>
        </w:rPr>
        <w:t xml:space="preserve"> An additional secondary endpoint incorporated into this Phase I Trial will be a two year follow on recording time to disease recurrence in the participating breast cancer patients.</w:t>
      </w:r>
    </w:p>
    <w:p>
      <w:pPr>
        <w:spacing w:after="0" w:line="139"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We have the exclusive option to license this technology from the Mayo Foundation upon the completion of Phase I. 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at the end of 2016.</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Human Clinical Trials – Folate Alpha Breast and Ovarian Cancer – Mayo Foundation</w:t>
      </w:r>
    </w:p>
    <w:p>
      <w:pPr>
        <w:spacing w:after="0" w:line="117" w:lineRule="exact"/>
        <w:rPr>
          <w:sz w:val="20"/>
          <w:szCs w:val="20"/>
          <w:color w:val="auto"/>
        </w:rPr>
      </w:pPr>
    </w:p>
    <w:p>
      <w:pPr>
        <w:ind w:left="200" w:right="540"/>
        <w:spacing w:after="0" w:line="312" w:lineRule="auto"/>
        <w:rPr>
          <w:sz w:val="20"/>
          <w:szCs w:val="20"/>
          <w:color w:val="auto"/>
        </w:rPr>
      </w:pPr>
      <w:r>
        <w:rPr>
          <w:rFonts w:ascii="Arial" w:cs="Arial" w:eastAsia="Arial" w:hAnsi="Arial"/>
          <w:sz w:val="16"/>
          <w:szCs w:val="16"/>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06"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6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We have completed a 22 patient Phase I clinical trial for the Folate Receptor Alpha Vaccine. Twenty-two patients with breast or ovarian cancer who had undergone standard surgery and adjuvant treatment were treated with 1 cycle of cyclophosphamide (given days 1-7 and 15-22 of 28). Following this, patients were vaccinated intradermally at 3 sites with a mixture of the 5 FRA peptides on day 1 of a 28 day cycle for a maximum of 6 vaccination cycles. The vaccine is well tolerated and safe and 20 out of 21 evaluable patients showed positive immune responses providing a strong rationale rational for progressing to Phase II trials. Further, the data showed that 16 out of 16 patients in the observation stage still showed immune responses. We have developed a commercial quality lyophilized formulation of the vaccine in a single vial for reconstitution and injection. GMP manufacturing of initial batch for initial Phase II trials has been completed.</w:t>
      </w:r>
    </w:p>
    <w:p>
      <w:pPr>
        <w:spacing w:after="0" w:line="149"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On September 15, 2015, we announced that our collaborators at the Mayo Foundation had been awarded a grant of $13.3 million from the U.S. Department of Defense. This grant, commencing September 15, 2015, will cover the costs for a 280 patient Phase II 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32"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 including over 90% of ovarian cancer cells.</w:t>
      </w:r>
    </w:p>
    <w:p>
      <w:pPr>
        <w:spacing w:after="0" w:line="127"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Polystart</w:t>
      </w:r>
    </w:p>
    <w:p>
      <w:pPr>
        <w:spacing w:after="0" w:line="117"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In parallel with the above completed Phase I clinical trials and upcoming Phase II trials, we plan to complete preclinical development of the Polystart technology as an integral component of our “Prime” and “Boost” vaccine methodology. Unlike other vaccine technologies that narrowly address the initiation of an immune response, our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59" w:right="3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93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7936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 g. , cancer cells). Moreover, our versatile Polystart technology is designed to express either Class I killer or Class II helper T-cell antigenic epitopes. Our nucleic acid-based systems can also incorporate “TAP” which stands for Transporter associated with Antigen Presentation. The nucleic acid-based platform may also represent a second stand-alone vaccine technology.</w:t>
      </w:r>
    </w:p>
    <w:p>
      <w:pPr>
        <w:spacing w:after="0" w:line="162"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Our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We plan to incorporate the pre-clinical development of Polystart as a boost strategy for HER2/neu+ breast cancer, colorectal cancer, ovarian cancer and triple negative breast cancer. We have converted the previously filed U.S. Provisional Patent Application on Polystart into a full Patent Application, and will extend technology constructs as boost strategies for the current clinical programs in breast and ovarian cancer.</w:t>
      </w:r>
    </w:p>
    <w:p>
      <w:pPr>
        <w:spacing w:after="0" w:line="14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Management believes that the comprehensive scientific underpinnings of the overall approach, to elicit the production of both helper T- cells and killer T-cells, will provide us with highly competitive product candidates for the treatment of HER2/neu positive breast cancer, colorectal cancer, ovarian cancer and triple negative breast cancer.</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Infectious Disease Program</w:t>
      </w:r>
    </w:p>
    <w:p>
      <w:pPr>
        <w:spacing w:after="0" w:line="121"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Regarding our programs for the development of vaccines aimed at viral pandemics/biodefense, our collaborations with the Mayo Foundation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121"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83"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30" w:lineRule="exact"/>
        <w:rPr>
          <w:sz w:val="20"/>
          <w:szCs w:val="20"/>
          <w:color w:val="auto"/>
        </w:rPr>
      </w:pPr>
    </w:p>
    <w:p>
      <w:pPr>
        <w:ind w:left="200" w:right="540"/>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Rochester, MN, for the evaluation of HER2/neu peptide epitopes as antigens for a breast cancer vaccine. The agreement grants us an exclusive worldwide option to become the exclusive licensee of the technology after completion of Phase I clinical trials.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Following approval of the IND by the FDA in July, 2011, we executed a Sponsored Research Agreement with the Mayo Foundation for the clinical trial.</w:t>
      </w:r>
    </w:p>
    <w:p>
      <w:pPr>
        <w:spacing w:after="0" w:line="208"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Rochester, MN, to evaluate novel smallpox peptide antigens. This agreement grants us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Mayo HER2/neu License</w:t>
      </w:r>
    </w:p>
    <w:p>
      <w:pPr>
        <w:spacing w:after="0" w:line="11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On April 13, 2012, we entered into a Patent &amp; Know-How Agreement with the Mayo Foundation, Rochester, MN, to license a proprietary MHC Class I HER2/neu antigen technology. Under the terms of this agreement, we acquired from Mayo Foundation (i) an exclusive option for a worldwide license to use the patent rights related to US patent application numbered 61600480 (titled “Methods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55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0552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had the right to exercise this option after Phase I clinical trials had been reported. We may sublicense the technology with the approval of Mayo Foundation, which approval may not be unreasonably withheld.</w:t>
      </w:r>
    </w:p>
    <w:p>
      <w:pPr>
        <w:spacing w:after="0" w:line="171" w:lineRule="exact"/>
        <w:rPr>
          <w:sz w:val="20"/>
          <w:szCs w:val="20"/>
          <w:color w:val="auto"/>
        </w:rPr>
      </w:pPr>
    </w:p>
    <w:p>
      <w:pPr>
        <w:jc w:val="both"/>
        <w:ind w:left="200" w:right="60"/>
        <w:spacing w:after="0" w:line="257" w:lineRule="auto"/>
        <w:rPr>
          <w:sz w:val="20"/>
          <w:szCs w:val="20"/>
          <w:color w:val="auto"/>
        </w:rPr>
      </w:pPr>
      <w:r>
        <w:rPr>
          <w:rFonts w:ascii="Arial" w:cs="Arial" w:eastAsia="Arial" w:hAnsi="Arial"/>
          <w:sz w:val="18"/>
          <w:szCs w:val="18"/>
          <w:color w:val="auto"/>
        </w:rPr>
        <w:t>On May 19, 2016, we exercised the option and entered into a license and assignment agreement (the “Agreement”) with Mayo Foundation. The Mayo Foundation granted this license in exchange for an initial payment of $300,000, which was required to be paid by June 3, 2016</w:t>
      </w:r>
      <w:r>
        <w:rPr>
          <w:rFonts w:ascii="Arial" w:cs="Arial" w:eastAsia="Arial" w:hAnsi="Arial"/>
          <w:sz w:val="18"/>
          <w:szCs w:val="18"/>
          <w:b w:val="1"/>
          <w:bCs w:val="1"/>
          <w:color w:val="auto"/>
        </w:rPr>
        <w:t>.</w:t>
      </w:r>
      <w:r>
        <w:rPr>
          <w:rFonts w:ascii="Arial" w:cs="Arial" w:eastAsia="Arial" w:hAnsi="Arial"/>
          <w:sz w:val="18"/>
          <w:szCs w:val="18"/>
          <w:color w:val="auto"/>
        </w:rPr>
        <w:t xml:space="preserve"> Upon the payment, the Mayo Foundation assigned to us IND # 14749, and we assumed all responsibility and liability for this investigative new drug application. In addition to the initial payment, we are to pay an annual license maintenance fee, milestone fees and royalty fees (which will be subject to a minimum annual royalty fee once royalty fees are due).</w:t>
      </w:r>
    </w:p>
    <w:p>
      <w:pPr>
        <w:spacing w:after="0" w:line="188"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 (i) U. S. patent application numbers12/740,562 and 14/480,365, divisionals, continuations and continuations in part, and (ii) U.S. provisional application 60/984,646 and PCT/US2008/081799.</w:t>
      </w:r>
    </w:p>
    <w:p>
      <w:pPr>
        <w:spacing w:after="0" w:line="17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Under the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has sole control over the protection, defense, enforcement, maintenance abandonment and other handling of the Know-How (as defined in the Agreement) and Materials (as defined in the Agreement).</w:t>
      </w:r>
    </w:p>
    <w:p>
      <w:pPr>
        <w:spacing w:after="0" w:line="187"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w:t>
      </w:r>
    </w:p>
    <w:p>
      <w:pPr>
        <w:spacing w:after="0" w:line="18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 (b) 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0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260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Mayo Folate Receptor Alpha License</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58"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pacing w:after="0" w:line="173" w:lineRule="exact"/>
        <w:rPr>
          <w:sz w:val="20"/>
          <w:szCs w:val="20"/>
          <w:color w:val="auto"/>
        </w:rPr>
      </w:pPr>
    </w:p>
    <w:p>
      <w:pPr>
        <w:jc w:val="both"/>
        <w:ind w:left="200" w:right="80"/>
        <w:spacing w:after="0" w:line="279" w:lineRule="auto"/>
        <w:rPr>
          <w:sz w:val="20"/>
          <w:szCs w:val="20"/>
          <w:color w:val="auto"/>
        </w:rPr>
      </w:pPr>
      <w:r>
        <w:rPr>
          <w:rFonts w:ascii="Arial" w:cs="Arial" w:eastAsia="Arial" w:hAnsi="Arial"/>
          <w:sz w:val="17"/>
          <w:szCs w:val="17"/>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71"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7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w:t>
      </w:r>
    </w:p>
    <w:p>
      <w:pPr>
        <w:spacing w:after="0" w:line="2" w:lineRule="exact"/>
        <w:rPr>
          <w:sz w:val="20"/>
          <w:szCs w:val="20"/>
          <w:color w:val="auto"/>
        </w:rPr>
      </w:pPr>
    </w:p>
    <w:p>
      <w:pPr>
        <w:ind w:left="200" w:right="320" w:hanging="3"/>
        <w:spacing w:after="0" w:line="323" w:lineRule="auto"/>
        <w:tabs>
          <w:tab w:leader="none" w:pos="51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principal executive offices are located at 50 North Laura Street, Jacksonville, FL 32202 and our telephone number is 904-516-5436.</w:t>
      </w:r>
    </w:p>
    <w:p>
      <w:pPr>
        <w:sectPr>
          <w:pgSz w:w="11900" w:h="16838" w:orient="portrait"/>
          <w:cols w:equalWidth="0" w:num="1">
            <w:col w:w="11200"/>
          </w:cols>
          <w:pgMar w:left="240" w:top="459" w:right="459" w:bottom="1440" w:gutter="0" w:footer="0" w:header="0"/>
        </w:sect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71,030,762 shares as of May 10, 2016</w:t>
      </w:r>
    </w:p>
    <w:p>
      <w:pPr>
        <w:spacing w:after="0" w:line="136"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71,046,767 shares</w:t>
      </w:r>
    </w:p>
    <w:p>
      <w:pPr>
        <w:spacing w:after="0" w:line="148" w:lineRule="exact"/>
        <w:rPr>
          <w:sz w:val="20"/>
          <w:szCs w:val="20"/>
          <w:color w:val="auto"/>
        </w:rPr>
      </w:pPr>
    </w:p>
    <w:p>
      <w:pPr>
        <w:sectPr>
          <w:pgSz w:w="11900" w:h="16838" w:orient="portrait"/>
          <w:cols w:equalWidth="0" w:num="2">
            <w:col w:w="3800" w:space="28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Common stock outstanding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122,077,529 shares(1)</w:t>
      </w:r>
    </w:p>
    <w:p>
      <w:pPr>
        <w:spacing w:after="0" w:line="147" w:lineRule="exact"/>
        <w:rPr>
          <w:sz w:val="20"/>
          <w:szCs w:val="20"/>
          <w:color w:val="auto"/>
        </w:rPr>
      </w:pPr>
    </w:p>
    <w:p>
      <w:pPr>
        <w:sectPr>
          <w:pgSz w:w="11900" w:h="16838" w:orient="portrait"/>
          <w:cols w:equalWidth="0" w:num="2">
            <w:col w:w="3720" w:space="36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will not receive any proceeds from the sale of the common stock by the selling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may receive proceeds if the following warrants are exercised:</w:t>
      </w:r>
    </w:p>
    <w:p>
      <w:pPr>
        <w:spacing w:after="0" w:line="116"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45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(viii)</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$250,000 if the outstanding Series A Warrants are exercised;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$500,000 if the outstanding Series A-1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$6,010,000 if the outstanding Series C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$2,500,000 if the outstanding Series C-1 Warrants are 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$5,490,000 if the outstanding Series D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$3,750,000 if the outstanding Series D-1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$9,150,000 if the outstanding Series E Warrants are exercised;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$6,250,000 if the outstanding Series E-1 Warrants are exercised;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$2,207,547 if the outstanding warrants issued in August 2014 are exercised</w:t>
      </w:r>
    </w:p>
    <w:p>
      <w:pPr>
        <w:spacing w:after="0" w:line="138" w:lineRule="exact"/>
        <w:rPr>
          <w:sz w:val="20"/>
          <w:szCs w:val="20"/>
          <w:color w:val="auto"/>
        </w:rPr>
      </w:pPr>
    </w:p>
    <w:p>
      <w:pPr>
        <w:sectPr>
          <w:pgSz w:w="11900" w:h="16838" w:orient="portrait"/>
          <w:cols w:equalWidth="0" w:num="2">
            <w:col w:w="4880" w:space="120"/>
            <w:col w:w="6200"/>
          </w:cols>
          <w:pgMar w:left="240" w:top="459" w:right="459" w:bottom="1440" w:gutter="0" w:footer="0" w:header="0"/>
          <w:type w:val="continuous"/>
        </w:sectPr>
      </w:pPr>
    </w:p>
    <w:p>
      <w:pPr>
        <w:ind w:left="4080" w:right="20"/>
        <w:spacing w:after="0" w:line="276" w:lineRule="auto"/>
        <w:rPr>
          <w:sz w:val="20"/>
          <w:szCs w:val="20"/>
          <w:color w:val="auto"/>
        </w:rPr>
      </w:pPr>
      <w:r>
        <w:rPr>
          <w:rFonts w:ascii="Arial" w:cs="Arial" w:eastAsia="Arial" w:hAnsi="Arial"/>
          <w:sz w:val="17"/>
          <w:szCs w:val="17"/>
          <w:color w:val="auto"/>
        </w:rPr>
        <w:t>(to the extent the registration statement of which this prospectus is a part is then effective and, if applicable, the “cashless exercise” provision is not utilized by the holder). Any proceeds will be used for general corporate and working capital or for other purposes that the Board of Directors, in their good faith, deems to be in the best interest of the Company. No assurances can be given that any of such warrants will be exercised. See “Use of Proceeds.”</w:t>
      </w:r>
    </w:p>
    <w:p>
      <w:pPr>
        <w:sectPr>
          <w:pgSz w:w="11900" w:h="16838" w:orient="portrait"/>
          <w:cols w:equalWidth="0" w:num="1">
            <w:col w:w="11200"/>
          </w:cols>
          <w:pgMar w:left="240" w:top="459" w:right="459" w:bottom="1440" w:gutter="0" w:footer="0" w:header="0"/>
          <w:type w:val="continuous"/>
        </w:sectPr>
      </w:pPr>
    </w:p>
    <w:p>
      <w:pPr>
        <w:spacing w:after="0" w:line="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Quotation of common stock:</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for quotation on the OTCQB market under the symbol “TPIV.”</w:t>
      </w:r>
    </w:p>
    <w:p>
      <w:pPr>
        <w:spacing w:after="0" w:line="136"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ind w:right="180"/>
        <w:spacing w:after="0" w:line="342" w:lineRule="auto"/>
        <w:rPr>
          <w:sz w:val="20"/>
          <w:szCs w:val="20"/>
          <w:color w:val="auto"/>
        </w:rPr>
      </w:pPr>
      <w:r>
        <w:rPr>
          <w:rFonts w:ascii="Arial" w:cs="Arial" w:eastAsia="Arial" w:hAnsi="Arial"/>
          <w:sz w:val="16"/>
          <w:szCs w:val="16"/>
          <w:color w:val="auto"/>
        </w:rPr>
        <w:t>We currently intend to retain any future earnings to fund the development and growth of our business. Therefore, we do not currently anticipate paying cash dividends on our common stock.</w:t>
      </w:r>
    </w:p>
    <w:p>
      <w:pPr>
        <w:spacing w:after="0" w:line="12"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100"/>
        <w:spacing w:after="0" w:line="312" w:lineRule="auto"/>
        <w:rPr>
          <w:sz w:val="20"/>
          <w:szCs w:val="20"/>
          <w:color w:val="auto"/>
        </w:rPr>
      </w:pPr>
      <w:r>
        <w:rPr>
          <w:rFonts w:ascii="Arial" w:cs="Arial" w:eastAsia="Arial" w:hAnsi="Arial"/>
          <w:sz w:val="16"/>
          <w:szCs w:val="16"/>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120" w:lineRule="exact"/>
        <w:rPr>
          <w:sz w:val="20"/>
          <w:szCs w:val="20"/>
          <w:color w:val="auto"/>
        </w:rPr>
      </w:pPr>
    </w:p>
    <w:p>
      <w:pPr>
        <w:sectPr>
          <w:pgSz w:w="11900" w:h="16838" w:orient="portrait"/>
          <w:cols w:equalWidth="0" w:num="2">
            <w:col w:w="3360" w:space="720"/>
            <w:col w:w="7120"/>
          </w:cols>
          <w:pgMar w:left="240" w:top="459" w:right="459" w:bottom="1440" w:gutter="0" w:footer="0" w:header="0"/>
          <w:type w:val="continuous"/>
        </w:sectPr>
      </w:pPr>
    </w:p>
    <w:p>
      <w:pPr>
        <w:ind w:left="620" w:hanging="423"/>
        <w:spacing w:after="0" w:line="26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the exercise of all of the outstanding warrants issued in August 2014 and all outstanding Series A Warrants, Series A-1 Warrants, Series C Warrants, Series C-1 Warrants, Series D Warrants, Series D-1 Warrants, Series E Warrants and Series E-1 Warrants, and that we do not issue any other shares of common stock.</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Prospectus and shall be deemed to be modified or superseded to the extent that a statement contained in our future filings modifies or replaces such statement. All of these risks may impair our business operations. The forward-looking statements in this Prospectus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in the future to continue to operate our business and this capital might not be available on acceptable terms, if at all.</w:t>
      </w:r>
    </w:p>
    <w:p>
      <w:pPr>
        <w:spacing w:after="0" w:line="170"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Since we have no sources of revenue to provide incoming cash flows to sustain our future operations, our ability to pursue our planned business activities is dependent upon our successful efforts to raise additional capital. As of March 31, 2016, we had cash and cash equivalents of approximately $5,722,000. We do not anticipate that our cash resources will be sufficient to fund our research efforts and operations as presently structured through the end of 2016.</w:t>
      </w:r>
    </w:p>
    <w:p>
      <w:pPr>
        <w:ind w:right="60"/>
        <w:spacing w:after="0" w:line="287" w:lineRule="auto"/>
        <w:rPr>
          <w:sz w:val="20"/>
          <w:szCs w:val="20"/>
          <w:color w:val="auto"/>
        </w:rPr>
      </w:pPr>
      <w:r>
        <w:rPr>
          <w:rFonts w:ascii="Arial" w:cs="Arial" w:eastAsia="Arial" w:hAnsi="Arial"/>
          <w:sz w:val="16"/>
          <w:szCs w:val="16"/>
          <w:color w:val="auto"/>
        </w:rPr>
        <w:t>Accordingly, we will need to seek additional sources of financing and such additional financing may not be available on favorable terms, if at all. Until we can generate a sufficient amount of product revenue, if ever, we expect to finance future cash needs through public or private equity offerings or debt financings or through a business combination or strategic partnership. Additional capital, if needed, may not be available on satisfactory terms, or at all. Furthermore, if we raise additional funds by issuing equity securities, dilution to our existing stockholders could result. Any equity securities issued also may provide for rights, preferences or privileges senior to those of holders of our common stock. If we raise additional funds by issuing debt securities, these debt securities would have rights, preferences and privileges senior to those of holders of our common stock, and the terms of the debt securities issued could impose significant restrictions on our operations. If we are unable to obtain adequate financing or financing on terms acceptable to we may not be able to sustain our future operations and may be required to suspend our research efforts and reduce or cease our operations.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auditor has expressed substantial doubt about our ability to continue as a going concern and absent additional financing we may be unable to remain a going concern.</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light of our recurring losses, accumulated deficit and negative cash flow as described in our notes to our audited financial statements, the report of our independent registered public accounting firm on our financial statements for the year ended December 31, 2015 contains an explanatory paragraph raising substantial doubt about our ability to continue as a going concern. Our financial statements do not include any adjustments that may be necessary in the event we are unable to continue as a going concern. If we are unable to establish to the satisfaction of our independent registered public accounting firm that the net proceeds from our financing efforts will be sufficient to allow for the removal of this going concern qualification, we may need to significantly modify our operational plans for us to continue as a going concern. We do not believe we can continue our current level of operations with the cash we have on hand without additional financing until the end of 2016. Absent sufficient additional financing, we may be unable to remain a going concern.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March 31, 2016, we had an accumulated deficit of $138,258,166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Upon certain fundamental transactions involving the Company, such as a merger or sale of substantially all of our assets, we may be required to make cash payments to our warrant holders which would reduce the amount of the distributions otherwise to be made to the holders of our common stock in connection with such transactions.</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of May 10, 2016, we had outstanding warrants and options to purchase an aggregate of 55,668,529 shares of our common stock with exercise prices ranging between $0.10 and $25.00. The terms of the warrants provide that upon a Fundamental Transaction (as defined in the warrant) the holder shall have the right to have the warrant purchased by the Company for cash at its Black Scholes Value (as defined in the warrant). The term Fundamental Transaction includes a merger, sale of substantially all of our assets, or if any person shall acquire 50% or more of the voting power of our shares. The Black Scholes Value (as defined in the warrants) payable for all of the outstanding warrants as of December 31, 2015 was approximately $26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required to make additional cash payments to warrant holders in the event any registration statement we have filed with the SEC to register the shares issuable upon exercise of the warrants ceases to be effective and we are unable to deliver registered shares.</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Since we are required to deliver unlegended registered shares of common stock to certain of the warrant holders acquiring warrants in our 2015 Financings upon exercise of such outstanding warrants, we have filed a registration statement with the SEC to register such shares. The registration statement permits registered shares of common stock to be issued upon the exercise of such warrants. In some cases, we would be required to make additional cash payments to such warrant holders if we fail to maintain the effectiveness of the relevant registration statement for the issuance of such registered shares upon an exercise by the warrant holder. For each trading day that the shares are not timely delivered we would be required to pay an amount to the holder equal to 1% of the product of (A) the aggregate number of shares not issued to the holder on a timely basis and to which the holder is entitled and (B) the closing sale price of our common stock on the trading day immediately preceding the last possible date on which we could have issued such shares to the holder. Additionally we could be required to pay the holder a “buy-in” if the holder is required to purchase shares on the open market to cover any warrant shares sold. As such, the amount of additional cash payments we would be required to make could be substantial, as a percentage of our cash, if we are unable to deliver registered shares upon the warrant exercise. Currently, the registration statements we have filed are not able to be used until such time as appropriate post-effective amendments to the registration statements can be filed by us and ultimately be declared effective by the Securities and Exchange Commission. While we have filed such amendments to our registration statements, there can be no assurance that we will be able to have the post-effective amendments to our registration statements declared effective in a timely manner. During such time that we are not able to provide an effective registration statement and to the extent we receive any notices of exercises related to the warrants with such rights, we would be unable to deliver registered shares. In such event we could be required to make cash payments to an exercising warrant holder. We may not be able to make the required cash payments and the failure to do so could materially harm our financial condition and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8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51" w:lineRule="exact"/>
        <w:rPr>
          <w:sz w:val="20"/>
          <w:szCs w:val="20"/>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130"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its use outside the approved indications should physicians choose to prescribe for such uses;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statement,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and timing of operating costs and capital expenditures relating to expansion of our business, operations and infrastructure;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license technologies from a third party, the Mayo Clinic, for: (i) the Her2/neu peptide epitopes, (ii) 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52" w:lineRule="exact"/>
        <w:rPr>
          <w:sz w:val="20"/>
          <w:szCs w:val="20"/>
          <w:color w:val="auto"/>
        </w:rPr>
      </w:pPr>
    </w:p>
    <w:p>
      <w:pPr>
        <w:ind w:left="900" w:right="6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Clinic or other for other rights that are necessary to develop the technology that we have already in-licensed.</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have an option to acquire an exclusive in-license technology from a third party, and if that party does not protect its license, we could lose the opportunity to develop that technology.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rely upon patents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8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plan to present Phase II advancement plans in early 2016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We have no manufacturing experience and have no manufacturing facility. We are dependent on third-party manufacturers for the manufacture of our product candidates as well as on third parties for our supply chain, and if we experience problems with any such third parties, the manufacturing of our product candidates could be delayed.</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do not own or operate facilities for the manufacture of our product candidates. We currently have no plans to build our own clinical or commercial scale manufacturing capabilities. We currently rely on third party contract manufacturing organizations, or CMOs. To meet our projected needs for pre-clinical and clinical supplies to support our activities through regulatory approval and commercial manufacturing, the CMOs with whom we currently work may need to increase the scale of production. We may need to identify additional CMOs for continued production of supply for our product candidates. Although alternative third-party suppliers with the necessary manufacturing and regulatory expertise and facilities exist, it could be expensive and take a significant amount of time to arrange for alternative suppliers. If we are unable to arrange for alternative third-party manufacturing sources, or to do so on commercially reasonable terms or in a timely manner, we may not be able to complete development of our product candidates, or market or distribute our product candidates.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our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drugs we may eventually commercialize in accordance with our specifications, and the possibility of termination or nonrenewal of agreement by the third party, based on its own business priorities, at a time that is costly or damaging to us. In addition, the FDA and other regulatory authorities would require that our product candidates and any products that we may eventually commercialize be manufactured according to cGMP and similar foreign standards. Any failure by our third-party manufacturers to comply with cGMP or failure to scale up manufacturing processes, including any failure to deliver sufficient quantities of our product candidates in a timely manner, could lead to a delay in, or failure to obtain, regulatory approval of our product candidates. In addition, such failure could be the basis for the FDA to issue a warning letter, withdraw approvals for such product candidate previously granted to us, or take other regulatory or legal action, including recall or seizure of outside supplies of our product candidates, total or partial suspension of production, suspension of ongoing clinical trials, refusal to approve pending applications or supplemental applications, detention or product, refusal to permit the import or export of products, injunction, or imposing civil and criminal penalties.</w:t>
      </w:r>
    </w:p>
    <w:p>
      <w:pPr>
        <w:spacing w:after="0" w:line="18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Any significant disruption in our supplier relationships could harm our business. Any significant delay in the supply of our product candidates or their respective key materials for an ongoing pre-clinical study or clinical trial could considerably delay completion of such pre-clinical study or clinical trial, product testing and potential regulatory approval of our product candidates. If our manufacturers or we are unable to purchase these key materials after regulatory approval has been obtained for one of our product candidates, the commercial launch of such product candidate would be delayed or there would be a shortage in supply, which would impair our ability to generate revenues from the sale of that product candidate.</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March 1, 2016, we had four full-time employees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depend upon the efforts and abilities of our senior executive, Dr. Glynn Wilson, as well as the services of several key consultants, including Dr. John Bonfiglio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7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early 2016.</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116" w:lineRule="exact"/>
        <w:rPr>
          <w:sz w:val="20"/>
          <w:szCs w:val="20"/>
          <w:color w:val="auto"/>
        </w:rPr>
      </w:pPr>
    </w:p>
    <w:p>
      <w:pPr>
        <w:ind w:left="900" w:right="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 g. , the study failed to meet its primary objectives) or to have harmful or problematic side effects;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 g. , the study failed to meet its primary endpoint) or to have unacceptable side effects;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7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78"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precluded from participating in the manufacture, use or sale of our product candidates or methods of treatment requiring licenses.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9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9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 sector;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common stock to be listed or quoted on the OTCQB, the NASDAQ Capital Market, NYSE Amex Equities or other national market system;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and scientific press and in online investor communities.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DTC “Chill” on the electronic clearing of trades in our securities in the future may affect the liquidity of our stock and our ability to raise capital.</w:t>
      </w: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selling our shares because they may be deemed “penny stocks.”</w:t>
      </w:r>
    </w:p>
    <w:p>
      <w:pPr>
        <w:spacing w:after="0" w:line="22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2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a price of less than $5.00 per share;</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are neither traded on a “recognized” national exchange nor listed on an automated quotation system sponsored by a registered national securities association meeting certain minimum initial listing standards; and</w:t>
      </w:r>
    </w:p>
    <w:p>
      <w:pPr>
        <w:spacing w:after="0" w:line="75"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from the investor information about his or her financial situation, investment experience and investment objectives;</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the investor with a written statement setting forth the basis on which the broker-dealer made his or her determination;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a signed and dated copy of the statement from the investor, confirming that it accurately reflects the investor’s financial situation, investment experience and investment objectives.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per share price of our common stock might not obtain or maintain the necessary levels to prevent our stock being subject to these rules in the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quotation of our common stock on the OTCQB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OTCQB which would limit the ability of broker-dealers to sell our securities and the ability of stockholders to sell their securities in the secondary market.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trading on the OTCQB must be reporting issuers under Section 12 of the Securities Exchange Act, as amended. If we fail to file such reports in a timely manner, the shares of our common stock would eventually cease to be quoted on the OTCQB, and the market liquidity for our securities could be severely adversely affected by limiting the ability of broker-dealers to sell our securities and the ability of stockholders to sell their securities in the secondary market.</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stockholders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currently authorized to issue 500,000,000 shares of our common stock. As of May 10, 2016, we had 71,030,762 shares of our common stock issued and outstanding, excluding shares issuable upon exercise of our outstanding warrants, options and shares of common stock earned but not yet issued under Omnibus Stock Option Plan. Those outstanding shares represent 14% of our authorized shares, meaning that the ownership position of the current stockholders could be diluted significantly were we to issue a large number of additional shares. For example, as of May 10, 2016, we had outstanding warrants and options to purchase an aggregate of 55,668,529 shares of our common stock with exercise prices ranging between $0.10 and $25.00 will result in dilution if and when exercised. Fear of such ownership dilution could reduce the desirability of our shares and reduce the price at which you are able to resell your shares.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March 31, 2016, the fair value of the derivative liability – warrants was $29,489,000. Changes in the valuations of these rights, the valuation methodology or the assumptions on which the valuations are based could cause us to take charges to our earnings, which would adversely impact our results of operations. Moreover, the methodologies, assumptions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stockholders. We are authorized to issue up to 5,000,000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Provisions of Nevada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Nevada law, among other things, provides the Board of Directors with the ability to alter the Bylaws without stockholder approval, and provide that vacancies on the Board of Directors may be filled by a majority of directors in office, although less than a quorum.</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also subject to Section 78.378 and 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1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will not receive any proceeds from the sale of shares by the selling stockholders. We may receive proceeds of up to $36,107,547 if all of the outstanding warrants issued in August 2014 and all outstanding Series A Warrants, Series A-1 Warrants, Series C Warrants, Series C-1 Warrants, Series D Warrants, Series D-1 Warrants, Series E Warrants and Series E-1 Warrants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ectPr>
          <w:pgSz w:w="11900" w:h="16838" w:orient="portrait"/>
          <w:cols w:equalWidth="0" w:num="1">
            <w:col w:w="11420"/>
          </w:cols>
          <w:pgMar w:left="240" w:top="459" w:right="239" w:bottom="1440" w:gutter="0" w:footer="0" w:header="0"/>
        </w:sectPr>
      </w:pPr>
    </w:p>
    <w:bookmarkStart w:id="30" w:name="page31"/>
    <w:bookmarkEnd w:id="30"/>
    <w:p>
      <w:pPr>
        <w:jc w:val="center"/>
        <w:ind w:right="-17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selling stockholders will offer common stock at the prevailing market prices or privately negotiated price.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121"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shares of common stock being offered by the selling stockholders include those issuable to the selling stockholders upon the exercise of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May 10, 2016, assuming exercise of the warrants held by each such selling stockholder on that date and not taking account of any limitations on conversion and exercise set forth therein.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exercise of the warrants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fourth column assumes the sale of all of the shares offered by the selling stockholders pursuant to this Prospectus.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Series C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C-1, Series D-1 and Series E-1 Warrants provide that in no event shall shares of common stock be issued to any holder of those Warrants to the extent such issuances of shares of common stock would result in such holder having ownership in excess of 49.9% of our outstanding shares of common stock. The number of shares in the second column and the third column do not reflect these limitations. The selling stockholders may sell all, some or none of their shares in this offering. See “Plan of Distribution”.</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Maximum</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Stock to be</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Sold</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Pursuant to</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this</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After the</w:t>
            </w:r>
          </w:p>
        </w:tc>
        <w:tc>
          <w:tcPr>
            <w:tcW w:w="0" w:type="dxa"/>
            <w:vAlign w:val="bottom"/>
          </w:tcPr>
          <w:p>
            <w:pPr>
              <w:spacing w:after="0"/>
              <w:rPr>
                <w:sz w:val="1"/>
                <w:szCs w:val="1"/>
                <w:color w:val="auto"/>
              </w:rPr>
            </w:pPr>
          </w:p>
        </w:tc>
      </w:tr>
      <w:tr>
        <w:trPr>
          <w:trHeight w:val="149"/>
        </w:trPr>
        <w:tc>
          <w:tcPr>
            <w:tcW w:w="5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Prior to</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Prospectus</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After</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71"/>
        </w:trPr>
        <w:tc>
          <w:tcPr>
            <w:tcW w:w="5920" w:type="dxa"/>
            <w:vAlign w:val="bottom"/>
            <w:gridSpan w:val="3"/>
            <w:vMerge w:val="continue"/>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Offering</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Offering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(1) (2)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Asset Master, LTD (3)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3,731,516</w:t>
            </w:r>
          </w:p>
        </w:tc>
        <w:tc>
          <w:tcPr>
            <w:tcW w:w="3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3,731,516</w:t>
            </w:r>
          </w:p>
        </w:tc>
        <w:tc>
          <w:tcPr>
            <w:tcW w:w="3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Empery Tax Efficient, LP (4)</w:t>
            </w: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3"/>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811,917</w:t>
            </w:r>
          </w:p>
        </w:tc>
        <w:tc>
          <w:tcPr>
            <w:tcW w:w="38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811,917</w:t>
            </w:r>
          </w:p>
        </w:tc>
        <w:tc>
          <w:tcPr>
            <w:tcW w:w="3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Tax Efficient II, LP (5)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4,303,359</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4,303,359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Iroquois Master Fund Ltd. (6)</w:t>
            </w: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3"/>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8,492,680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6,250,000</w:t>
            </w:r>
          </w:p>
        </w:tc>
        <w:tc>
          <w:tcPr>
            <w:tcW w:w="3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2,242,680</w:t>
            </w:r>
          </w:p>
        </w:tc>
        <w:tc>
          <w:tcPr>
            <w:tcW w:w="360" w:type="dxa"/>
            <w:vAlign w:val="bottom"/>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Capital Management LLC (7)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3,750,000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1,500,000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The Merav Abbe Irrevocable Trust (8)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1,740,000</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490,000</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Samantha Abbe Irrevocable Trust (9)</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580,011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416,675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163,336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The Talia Abbe Irrevocable Trust (10)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579,977</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416,650</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163,327</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Bennett Abbe Irrevocable Trust (11)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579,977</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416,650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163,327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Brio Capital Master Fund, Ltd. (12)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9,709,239</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9,700,000</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 Capital Limited (13)</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40,000,000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40,000,000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9.9% and 49.9% of our outstanding common stock,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spacing w:after="0" w:line="2"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122,077,529 shares of common stock, which includes 71,030,762 shares of common stock issued and outstanding on May 10, 2016 and 51,046,767 shares of common stock being offered in this Prospectus that may be issued upon exercise of the warrants. In determining this amount, we assumed that (i) all 51,046,767 shares of common stock being offered 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76" w:lineRule="exact"/>
        <w:rPr>
          <w:sz w:val="20"/>
          <w:szCs w:val="20"/>
          <w:color w:val="auto"/>
        </w:rPr>
      </w:pPr>
    </w:p>
    <w:p>
      <w:pPr>
        <w:ind w:left="460" w:right="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78" w:lineRule="exact"/>
        <w:rPr>
          <w:rFonts w:ascii="Arial" w:cs="Arial" w:eastAsia="Arial" w:hAnsi="Arial"/>
          <w:sz w:val="18"/>
          <w:szCs w:val="18"/>
          <w:color w:val="auto"/>
        </w:rPr>
      </w:pPr>
    </w:p>
    <w:p>
      <w:pPr>
        <w:ind w:left="460" w:right="10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3,731,516 shares issuable upon the exercise of the warrants set forth below that are held by the stockholder. This amount does not</w:t>
      </w:r>
    </w:p>
    <w:p>
      <w:pPr>
        <w:ind w:left="460" w:right="260" w:firstLine="4"/>
        <w:spacing w:after="0" w:line="261" w:lineRule="auto"/>
        <w:tabs>
          <w:tab w:leader="none" w:pos="6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1,587,536 shares of common stock issuable upon exercise of the warrants sold in August 2014, (ii) 714,660 shares of common stock issuable upon exercise of the Series C Warrants, (iii) 714,660 shares of common stock issuable upon exercise of the Series D Warrants and (iv) 714,660 shares of common stock issuable upon exercise of the Series E Warrants.</w:t>
      </w:r>
    </w:p>
    <w:p>
      <w:pPr>
        <w:spacing w:after="0" w:line="52" w:lineRule="exact"/>
        <w:rPr>
          <w:sz w:val="20"/>
          <w:szCs w:val="20"/>
          <w:color w:val="auto"/>
        </w:rPr>
      </w:pPr>
    </w:p>
    <w:p>
      <w:pPr>
        <w:ind w:left="46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78" w:lineRule="exact"/>
        <w:rPr>
          <w:rFonts w:ascii="Arial" w:cs="Arial" w:eastAsia="Arial" w:hAnsi="Arial"/>
          <w:sz w:val="18"/>
          <w:szCs w:val="18"/>
          <w:color w:val="auto"/>
        </w:rPr>
      </w:pPr>
    </w:p>
    <w:p>
      <w:pPr>
        <w:ind w:left="460" w:right="24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811,917 shares issuable upon the exercise of the warrants set forth below that are held by the stockholder. This amount does not</w:t>
      </w:r>
    </w:p>
    <w:p>
      <w:pPr>
        <w:ind w:left="460" w:right="260" w:firstLine="4"/>
        <w:spacing w:after="0" w:line="261" w:lineRule="auto"/>
        <w:tabs>
          <w:tab w:leader="none" w:pos="675" w:val="left"/>
        </w:tabs>
        <w:numPr>
          <w:ilvl w:val="1"/>
          <w:numId w:val="26"/>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jc w:val="both"/>
        <w:ind w:left="460" w:right="24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299,256 shares of common stock issuable upon exercise of the warrants sold in August 2014, (ii) 170,887 shares of common stock issuable upon exercise of the Series C Warrants, (iii) 170,887 shares of common stock issuable upon exercise of the Series D Warrants and (iv) 170,887 shares of common stock issuable upon exercise of the Series E Warrants.</w:t>
      </w:r>
    </w:p>
    <w:p>
      <w:pPr>
        <w:spacing w:after="0" w:line="52" w:lineRule="exact"/>
        <w:rPr>
          <w:sz w:val="20"/>
          <w:szCs w:val="20"/>
          <w:color w:val="auto"/>
        </w:rPr>
      </w:pPr>
    </w:p>
    <w:p>
      <w:pPr>
        <w:ind w:left="460" w:right="8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78" w:lineRule="exact"/>
        <w:rPr>
          <w:rFonts w:ascii="Arial" w:cs="Arial" w:eastAsia="Arial" w:hAnsi="Arial"/>
          <w:sz w:val="18"/>
          <w:szCs w:val="18"/>
          <w:color w:val="auto"/>
        </w:rPr>
      </w:pPr>
    </w:p>
    <w:p>
      <w:pPr>
        <w:ind w:left="460" w:right="10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4,303,359 shares issuable upon the exercise of the warrants set forth below that are held by the stockholder. This amount does not</w:t>
      </w:r>
    </w:p>
    <w:p>
      <w:pPr>
        <w:ind w:left="460" w:right="260" w:firstLine="4"/>
        <w:spacing w:after="0" w:line="261" w:lineRule="auto"/>
        <w:tabs>
          <w:tab w:leader="none" w:pos="6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1,434,453 shares of common stock issuable upon exercise of the Series C Warrants, (ii) 1,434,453 shares of common stock issuable upon exercise of the Series D Warrants and (iii) 1,434,453 shares of common stock issuable upon exercise of the Series E Warrants.</w:t>
      </w:r>
    </w:p>
    <w:p>
      <w:pPr>
        <w:spacing w:after="0" w:line="87" w:lineRule="exact"/>
        <w:rPr>
          <w:sz w:val="20"/>
          <w:szCs w:val="20"/>
          <w:color w:val="auto"/>
        </w:rPr>
      </w:pPr>
    </w:p>
    <w:p>
      <w:pPr>
        <w:ind w:left="460" w:right="140" w:hanging="452"/>
        <w:spacing w:after="0" w:line="25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80" w:lineRule="exact"/>
        <w:rPr>
          <w:rFonts w:ascii="Arial" w:cs="Arial" w:eastAsia="Arial" w:hAnsi="Arial"/>
          <w:sz w:val="18"/>
          <w:szCs w:val="18"/>
          <w:color w:val="auto"/>
        </w:rPr>
      </w:pPr>
    </w:p>
    <w:p>
      <w:pPr>
        <w:ind w:left="460" w:right="10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6,250,000 shares issuable upon the exercise of the warrants set forth below that are held by the stockholder. This amount does not</w:t>
      </w:r>
    </w:p>
    <w:p>
      <w:pPr>
        <w:ind w:left="460" w:right="260" w:firstLine="4"/>
        <w:spacing w:after="0" w:line="261" w:lineRule="auto"/>
        <w:tabs>
          <w:tab w:leader="none" w:pos="6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1,250,000 shares of common stock issuable upon exercise of the Series A Warrants, (ii) 2,500,000 shares of common stock issuable upon exercise of the Series C Warrants, (ii) 1,250,000 shares of common stock issuable upon exercise of the Series D Warrants and (iii) 1,250,000 shares of common stock issuable upon exercise of the Series E Warrants.</w:t>
      </w:r>
    </w:p>
    <w:p>
      <w:pPr>
        <w:spacing w:after="0" w:line="52" w:lineRule="exact"/>
        <w:rPr>
          <w:sz w:val="20"/>
          <w:szCs w:val="20"/>
          <w:color w:val="auto"/>
        </w:rPr>
      </w:pPr>
    </w:p>
    <w:p>
      <w:pPr>
        <w:ind w:left="460" w:right="70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Kimberly Page has the authority and responsibility for the investments made on behalf of American Capital Management LLC (“ACM”) and accordingly, has voting and dispositive power over the securities held by ACM.</w:t>
      </w:r>
    </w:p>
    <w:p>
      <w:pPr>
        <w:spacing w:after="0" w:line="62" w:lineRule="exact"/>
        <w:rPr>
          <w:rFonts w:ascii="Arial" w:cs="Arial" w:eastAsia="Arial" w:hAnsi="Arial"/>
          <w:sz w:val="18"/>
          <w:szCs w:val="18"/>
          <w:color w:val="auto"/>
        </w:rPr>
      </w:pPr>
    </w:p>
    <w:p>
      <w:pPr>
        <w:ind w:left="460" w:right="40"/>
        <w:spacing w:after="0" w:line="291"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3,750,000 shares issuable upon the exercise of the warrants set forth below that are held by the stockholder. This amount does not</w:t>
      </w:r>
    </w:p>
    <w:p>
      <w:pPr>
        <w:ind w:left="460" w:right="200" w:firstLine="4"/>
        <w:spacing w:after="0" w:line="261" w:lineRule="auto"/>
        <w:tabs>
          <w:tab w:leader="none" w:pos="6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8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750,000 shares of common stock issuable upon exercise of the Series A Warrants, (ii) 1,500,000 shares of common stock issuable upon exercise of the Series C Warrants, (ii) 750,000 shares of common stock issuable upon exercise of the Series D Warrants and (iii) 750,000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By virtue of his position as trustee, Leo Abbe has voting and dispositive power over the securities held by The Merav Abbe Irrevocable Trust.</w:t>
      </w:r>
    </w:p>
    <w:p>
      <w:pPr>
        <w:spacing w:after="0" w:line="129"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1,250,000 shares issuable upon the exercise of the warrants set forth below that are held by the stockholder. This amount does not</w:t>
      </w:r>
    </w:p>
    <w:p>
      <w:pPr>
        <w:ind w:left="460" w:right="200" w:firstLine="4"/>
        <w:spacing w:after="0" w:line="261" w:lineRule="auto"/>
        <w:tabs>
          <w:tab w:leader="none" w:pos="6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250,000 shares of common stock issuable upon exercise of the Series A Warrants, (ii) 500,000 shares of common stock issuable upon exercise of the Series C Warrants, (ii) 250,000 shares of common stock issuable upon exercise of the Series D Warrants and (iii) 250,000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Samantha Abbe Irrevocable Trust.</w:t>
      </w:r>
    </w:p>
    <w:p>
      <w:pPr>
        <w:spacing w:after="0" w:line="140" w:lineRule="exact"/>
        <w:rPr>
          <w:rFonts w:ascii="Arial" w:cs="Arial" w:eastAsia="Arial" w:hAnsi="Arial"/>
          <w:sz w:val="16"/>
          <w:szCs w:val="16"/>
          <w:color w:val="auto"/>
        </w:rPr>
      </w:pPr>
    </w:p>
    <w:p>
      <w:pPr>
        <w:ind w:left="460" w:right="180"/>
        <w:spacing w:after="0" w:line="291" w:lineRule="auto"/>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416,675 shares issuable upon the exercise of the warrants set forth below that are held by the stockholder. This amount does not</w:t>
      </w:r>
    </w:p>
    <w:p>
      <w:pPr>
        <w:ind w:left="460" w:right="200"/>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83,335 shares of common stock issuable upon exercise of the Series A Warrants, (ii) 166,670 shares of common stock issuable upon exercise of the Series C Warrants, (ii) 83,335 shares of common stock issuable upon exercise of the Series D Warrants and (iii) 83,335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By virtue of his position as trustee, Richard Abbe has voting and dispositive power over the securities held by The Talia Abbe Irrevocable Trust.</w:t>
      </w:r>
    </w:p>
    <w:p>
      <w:pPr>
        <w:spacing w:after="0" w:line="128" w:lineRule="exact"/>
        <w:rPr>
          <w:rFonts w:ascii="Arial" w:cs="Arial" w:eastAsia="Arial" w:hAnsi="Arial"/>
          <w:sz w:val="17"/>
          <w:szCs w:val="17"/>
          <w:color w:val="auto"/>
        </w:rPr>
      </w:pPr>
    </w:p>
    <w:p>
      <w:pPr>
        <w:ind w:left="460" w:right="180"/>
        <w:spacing w:after="0" w:line="291" w:lineRule="auto"/>
        <w:rPr>
          <w:rFonts w:ascii="Arial" w:cs="Arial" w:eastAsia="Arial" w:hAnsi="Arial"/>
          <w:sz w:val="17"/>
          <w:szCs w:val="17"/>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416,650 shares issuable upon the exercise of the warrants set forth below that are held by the stockholder. This amount does not</w:t>
      </w:r>
    </w:p>
    <w:p>
      <w:pPr>
        <w:ind w:left="460" w:right="200"/>
        <w:spacing w:after="0" w:line="261" w:lineRule="auto"/>
        <w:rPr>
          <w:rFonts w:ascii="Arial" w:cs="Arial" w:eastAsia="Arial" w:hAnsi="Arial"/>
          <w:sz w:val="17"/>
          <w:szCs w:val="17"/>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76"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83,330 shares of common stock issuable upon exercise of the Series A Warrants, (ii) 166,660 shares of common stock issuable upon exercise of the Series C Warrants, (ii) 83,330 shares of common stock issuable upon exercise of the Series D Warrants and (iii) 83,330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Bennett Abbe Irrevocable Trust.</w:t>
      </w:r>
    </w:p>
    <w:p>
      <w:pPr>
        <w:spacing w:after="0" w:line="140" w:lineRule="exact"/>
        <w:rPr>
          <w:rFonts w:ascii="Arial" w:cs="Arial" w:eastAsia="Arial" w:hAnsi="Arial"/>
          <w:sz w:val="16"/>
          <w:szCs w:val="16"/>
          <w:color w:val="auto"/>
        </w:rPr>
      </w:pPr>
    </w:p>
    <w:p>
      <w:pPr>
        <w:ind w:left="460" w:right="180"/>
        <w:spacing w:after="0" w:line="291" w:lineRule="auto"/>
        <w:rPr>
          <w:rFonts w:ascii="Arial" w:cs="Arial" w:eastAsia="Arial" w:hAnsi="Arial"/>
          <w:sz w:val="16"/>
          <w:szCs w:val="16"/>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416,650 shares issuable upon the exercise of the warrants set forth below that are held by the stockholder. This amount does not</w:t>
      </w:r>
    </w:p>
    <w:p>
      <w:pPr>
        <w:ind w:left="460" w:right="200"/>
        <w:spacing w:after="0" w:line="261" w:lineRule="auto"/>
        <w:rPr>
          <w:rFonts w:ascii="Arial" w:cs="Arial" w:eastAsia="Arial" w:hAnsi="Arial"/>
          <w:sz w:val="16"/>
          <w:szCs w:val="16"/>
          <w:color w:val="auto"/>
        </w:rPr>
      </w:pPr>
      <w:r>
        <w:rPr>
          <w:rFonts w:ascii="Arial" w:cs="Arial" w:eastAsia="Arial" w:hAnsi="Arial"/>
          <w:sz w:val="18"/>
          <w:szCs w:val="18"/>
          <w:color w:val="auto"/>
        </w:rPr>
        <w:t>(i) give effect to limitations on ownership set out in any of the warrants that may be exercised into such shares or (ii) include any shares that may be beneficially owned by an affiliate.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312" w:lineRule="auto"/>
        <w:rPr>
          <w:sz w:val="20"/>
          <w:szCs w:val="20"/>
          <w:color w:val="auto"/>
        </w:rPr>
      </w:pPr>
      <w:r>
        <w:rPr>
          <w:rFonts w:ascii="Arial" w:cs="Arial" w:eastAsia="Arial" w:hAnsi="Arial"/>
          <w:sz w:val="16"/>
          <w:szCs w:val="16"/>
          <w:color w:val="auto"/>
        </w:rPr>
        <w:t>The warrants referred to in the immediately preceding paragraph are comprised of (i) 83,330 shares of common stock issuable upon exercise of the Series A Warrants, (ii) 166,660 shares of common stock issuable upon exercise of the Series C Warrants, (ii) 83,330 shares of common stock issuable upon exercise of the Series D Warrants and (iii) 83,330 shares of common stock issuable upon exercise of the Series E Warrants.</w:t>
      </w:r>
    </w:p>
    <w:p>
      <w:pPr>
        <w:spacing w:after="0" w:line="5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Shaye Hirsch has voting and dispositive power over the securities owned by the selling stockholder.</w:t>
      </w:r>
    </w:p>
    <w:p>
      <w:pPr>
        <w:spacing w:after="0" w:line="117" w:lineRule="exact"/>
        <w:rPr>
          <w:rFonts w:ascii="Arial" w:cs="Arial" w:eastAsia="Arial" w:hAnsi="Arial"/>
          <w:sz w:val="18"/>
          <w:szCs w:val="18"/>
          <w:color w:val="auto"/>
        </w:rPr>
      </w:pPr>
    </w:p>
    <w:p>
      <w:pPr>
        <w:ind w:left="460"/>
        <w:spacing w:after="0" w:line="312" w:lineRule="auto"/>
        <w:rPr>
          <w:rFonts w:ascii="Arial" w:cs="Arial" w:eastAsia="Arial" w:hAnsi="Arial"/>
          <w:sz w:val="18"/>
          <w:szCs w:val="18"/>
          <w:color w:val="auto"/>
        </w:rPr>
      </w:pPr>
      <w:r>
        <w:rPr>
          <w:rFonts w:ascii="Arial" w:cs="Arial" w:eastAsia="Arial" w:hAnsi="Arial"/>
          <w:sz w:val="16"/>
          <w:szCs w:val="16"/>
          <w:color w:val="auto"/>
        </w:rPr>
        <w:t>The shares listed under “Number of Shares of Common Stock Owned Prior to Offering” includes 9,239 shares of common stock held by the selling stockholder and 9,700,000 shares issuable upon the exercise of warrants held by the stockholder. This amount does not (i) give effect to limitations on ownership set out in any of the warrants that may be exercised into such shares or (ii) include any shares that may be beneficially owned by an affiliate.</w:t>
      </w:r>
    </w:p>
    <w:p>
      <w:pPr>
        <w:spacing w:after="0" w:line="38" w:lineRule="exact"/>
        <w:rPr>
          <w:rFonts w:ascii="Arial" w:cs="Arial" w:eastAsia="Arial" w:hAnsi="Arial"/>
          <w:sz w:val="18"/>
          <w:szCs w:val="18"/>
          <w:color w:val="auto"/>
        </w:rPr>
      </w:pPr>
    </w:p>
    <w:p>
      <w:pPr>
        <w:jc w:val="both"/>
        <w:ind w:left="460" w:right="100"/>
        <w:spacing w:after="0" w:line="264" w:lineRule="auto"/>
        <w:rPr>
          <w:rFonts w:ascii="Arial" w:cs="Arial" w:eastAsia="Arial" w:hAnsi="Arial"/>
          <w:sz w:val="18"/>
          <w:szCs w:val="18"/>
          <w:color w:val="auto"/>
        </w:rPr>
      </w:pPr>
      <w:r>
        <w:rPr>
          <w:rFonts w:ascii="Arial" w:cs="Arial" w:eastAsia="Arial" w:hAnsi="Arial"/>
          <w:sz w:val="18"/>
          <w:szCs w:val="18"/>
          <w:color w:val="auto"/>
        </w:rPr>
        <w:t>The warrants referred to in the immediately preceding paragraph are comprised of (i) 4,700,000 shares of common stock issuable upon exercise of the Series C Warrants, (ii) 2,500,000 shares of common stock issuable upon exercise of the Series D Warrants and (iii) 2,500,000 shares of common stock issuable upon exercise of the Series E Warrants.</w:t>
      </w:r>
    </w:p>
    <w:p>
      <w:pPr>
        <w:spacing w:after="0" w:line="73" w:lineRule="exact"/>
        <w:rPr>
          <w:rFonts w:ascii="Arial" w:cs="Arial" w:eastAsia="Arial" w:hAnsi="Arial"/>
          <w:sz w:val="18"/>
          <w:szCs w:val="18"/>
          <w:color w:val="auto"/>
        </w:rPr>
      </w:pPr>
    </w:p>
    <w:p>
      <w:pPr>
        <w:ind w:left="460"/>
        <w:spacing w:after="0" w:line="302" w:lineRule="auto"/>
        <w:rPr>
          <w:rFonts w:ascii="Arial" w:cs="Arial" w:eastAsia="Arial" w:hAnsi="Arial"/>
          <w:sz w:val="18"/>
          <w:szCs w:val="18"/>
          <w:color w:val="auto"/>
        </w:rPr>
      </w:pPr>
      <w:r>
        <w:rPr>
          <w:rFonts w:ascii="Arial" w:cs="Arial" w:eastAsia="Arial" w:hAnsi="Arial"/>
          <w:sz w:val="16"/>
          <w:szCs w:val="16"/>
          <w:color w:val="auto"/>
        </w:rPr>
        <w:t>The shares listed under “Shares of Common Stock to be Sold Pursuant to this Prospectus” includes (i) 4,700,000 shares of common stock issuable upon exercise of the Series C Warrants, (ii) 2,500,000 shares of common stock issuable upon exercise of the Series D Warrants and (iii) 2,500,000 shares of common stock issuable upon exercise of the Series E Warrants. This amount does not (i) give effect to limitations on ownership set out in any of the warrants that may be exercised into such shares or (ii) include any shares that may be beneficially owned by an affiliate.</w:t>
      </w:r>
    </w:p>
    <w:p>
      <w:pPr>
        <w:spacing w:after="0" w:line="46" w:lineRule="exact"/>
        <w:rPr>
          <w:rFonts w:ascii="Arial" w:cs="Arial" w:eastAsia="Arial" w:hAnsi="Arial"/>
          <w:sz w:val="18"/>
          <w:szCs w:val="18"/>
          <w:color w:val="auto"/>
        </w:rPr>
      </w:pPr>
    </w:p>
    <w:p>
      <w:pPr>
        <w:ind w:left="460" w:right="420"/>
        <w:spacing w:after="0" w:line="277" w:lineRule="auto"/>
        <w:rPr>
          <w:rFonts w:ascii="Arial" w:cs="Arial" w:eastAsia="Arial" w:hAnsi="Arial"/>
          <w:sz w:val="18"/>
          <w:szCs w:val="18"/>
          <w:color w:val="auto"/>
        </w:rPr>
      </w:pPr>
      <w:r>
        <w:rPr>
          <w:rFonts w:ascii="Arial" w:cs="Arial" w:eastAsia="Arial" w:hAnsi="Arial"/>
          <w:sz w:val="18"/>
          <w:szCs w:val="18"/>
          <w:color w:val="auto"/>
        </w:rPr>
        <w:t>The shares listed under “Number of Shares Of Common Stock Owned After Offering” includes 9,239 shares of common stock held by the selling stockholder.</w:t>
      </w:r>
    </w:p>
    <w:p>
      <w:pPr>
        <w:spacing w:after="0" w:line="75"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73" w:lineRule="exact"/>
        <w:rPr>
          <w:rFonts w:ascii="Arial" w:cs="Arial" w:eastAsia="Arial" w:hAnsi="Arial"/>
          <w:sz w:val="18"/>
          <w:szCs w:val="18"/>
          <w:color w:val="auto"/>
        </w:rPr>
      </w:pPr>
    </w:p>
    <w:p>
      <w:pPr>
        <w:ind w:left="460" w:right="280"/>
        <w:spacing w:after="0" w:line="264" w:lineRule="auto"/>
        <w:rPr>
          <w:rFonts w:ascii="Arial" w:cs="Arial" w:eastAsia="Arial" w:hAnsi="Arial"/>
          <w:sz w:val="18"/>
          <w:szCs w:val="18"/>
          <w:color w:val="auto"/>
        </w:rPr>
      </w:pPr>
      <w:r>
        <w:rPr>
          <w:rFonts w:ascii="Arial" w:cs="Arial" w:eastAsia="Arial" w:hAnsi="Arial"/>
          <w:sz w:val="18"/>
          <w:szCs w:val="18"/>
          <w:color w:val="auto"/>
        </w:rPr>
        <w:t>“Number of Shares of Common Stock Owned Prior to Offering” includes this shareholder’s “Shares of Common Stock to be Sold Pursuant to this Prospectus” as set forth below. This amount does not (x) give effect to limitations on ownership set out in any of the warrants that may be exercised into such shares or (y) include any shares that may be beneficially owned by an affiliate.</w:t>
      </w:r>
    </w:p>
    <w:p>
      <w:pPr>
        <w:spacing w:after="0" w:line="7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“Shares of Common Stock to be Sold Pursuant to this Prospectus” includes (i) 5,000,000 shares of common stock issued on March 9, 2015,</w:t>
      </w:r>
    </w:p>
    <w:p>
      <w:pPr>
        <w:spacing w:after="0" w:line="34" w:lineRule="exact"/>
        <w:rPr>
          <w:rFonts w:ascii="Arial" w:cs="Arial" w:eastAsia="Arial" w:hAnsi="Arial"/>
          <w:sz w:val="18"/>
          <w:szCs w:val="18"/>
          <w:color w:val="auto"/>
        </w:rPr>
      </w:pPr>
    </w:p>
    <w:p>
      <w:pPr>
        <w:ind w:left="460" w:right="20" w:firstLine="4"/>
        <w:spacing w:after="0" w:line="295" w:lineRule="auto"/>
        <w:tabs>
          <w:tab w:leader="none" w:pos="725" w:val="left"/>
        </w:tabs>
        <w:numPr>
          <w:ilvl w:val="1"/>
          <w:numId w:val="35"/>
        </w:numPr>
        <w:rPr>
          <w:rFonts w:ascii="Arial" w:cs="Arial" w:eastAsia="Arial" w:hAnsi="Arial"/>
          <w:sz w:val="16"/>
          <w:szCs w:val="16"/>
          <w:color w:val="auto"/>
        </w:rPr>
      </w:pPr>
      <w:r>
        <w:rPr>
          <w:rFonts w:ascii="Arial" w:cs="Arial" w:eastAsia="Arial" w:hAnsi="Arial"/>
          <w:sz w:val="16"/>
          <w:szCs w:val="16"/>
          <w:color w:val="auto"/>
        </w:rPr>
        <w:t>10,000,000 shares of common stock issued upon exercise of the Series B-1 Warrants on September 9, 2015, (iii) 5,000,000 shares of common stock issued upon exercise of the Series C-1 Warrants on June 16, 2015, (iv) 5,000,000 shares of common stock issuable upon exercise of the Series A-1 Warrants, (v) 5,000,000 shares of common stock issuable upon exercise of the remaining Series C-1 Warrants, (vi) 5,000,000 shares of common stock issuable upon exercise of the Series D-1 Warrants and (vii) 5,000,000 shares of common stock issuable upon exercise of the Series E-1 Warrants.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94" w:lineRule="exact"/>
        <w:rPr>
          <w:sz w:val="20"/>
          <w:szCs w:val="20"/>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 sales after the registration statement, of which this prospectus forms a part, becomes effective;</w:t>
      </w:r>
    </w:p>
    <w:p>
      <w:pPr>
        <w:spacing w:after="0" w:line="130" w:lineRule="exact"/>
        <w:rPr>
          <w:rFonts w:ascii="Arial" w:cs="Arial" w:eastAsia="Arial" w:hAnsi="Arial"/>
          <w:sz w:val="18"/>
          <w:szCs w:val="18"/>
          <w:color w:val="auto"/>
        </w:rPr>
      </w:pPr>
    </w:p>
    <w:p>
      <w:pPr>
        <w:ind w:left="5620" w:right="360" w:hanging="4140"/>
        <w:spacing w:after="0" w:line="449" w:lineRule="auto"/>
        <w:tabs>
          <w:tab w:leader="none" w:pos="1922"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 24</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 the writing of options on the shares;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Regulation M</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anti-manipulation rules of Regulation M under the Exchange Act of 1934, as amended (the “Exchange Act”) may apply to sales of our common stock and activities of the selling stockholder.</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the date hereof, we are authorized by our certificate of incorporation to issue an aggregate of 500,000,000 shares of common stock, par value $0.001 per share and 5,000,000 shares as blank check preferred shares, no par value.</w:t>
      </w:r>
    </w:p>
    <w:p>
      <w:pPr>
        <w:sectPr>
          <w:pgSz w:w="11900" w:h="16838" w:orient="portrait"/>
          <w:cols w:equalWidth="0" w:num="1">
            <w:col w:w="11380"/>
          </w:cols>
          <w:pgMar w:left="240" w:top="459" w:right="279" w:bottom="1440" w:gutter="0" w:footer="0" w:header="0"/>
        </w:sectPr>
      </w:pP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459" w:right="2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contains only a summary of the common stock the selling stockholders are offering.</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provisions of Nevada law and our bylaws may have the effect of delaying, deferring or preventing another party from acquiring control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discourage and prevent coercive takeover practices and inadequate takeover bids.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Nevada Law</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5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7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At this time, we do not believe we have 100 stockholders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stockholders.</w:t>
      </w:r>
    </w:p>
    <w:p>
      <w:pPr>
        <w:spacing w:after="0" w:line="15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Articles of Incorporation and Bylaws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Clearwater, FL 33760.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shares of our common stock are quoted on the OTCQB under the symbol TPIV.OB. On May 10, 2016, the last reported sale price per share for our common stock on the OTCQB as reported was $0.64.</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These immunotherapy platforms also have application in infectious disease. We combine a set of proprietary and exclusively licensed technologies including peptide antigen technologies and DNA expression technologies that improve the ability of the cellular immune system to recognize and destroy diseased cells.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right="900" w:firstLine="8"/>
        <w:spacing w:after="0" w:line="27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wholly owned DNA expression vaccine technology (Polystart) for further treating various cancers or infectious disease.</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ectPr>
          <w:pgSz w:w="11900" w:h="16838" w:orient="portrait"/>
          <w:cols w:equalWidth="0" w:num="1">
            <w:col w:w="11420"/>
          </w:cols>
          <w:pgMar w:left="240" w:top="459" w:right="2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color w:val="auto"/>
        </w:rPr>
        <w:t>Products and Technology in Development</w:t>
      </w:r>
    </w:p>
    <w:p>
      <w:pPr>
        <w:sectPr>
          <w:pgSz w:w="11900" w:h="16838" w:orient="portrait"/>
          <w:cols w:equalWidth="0" w:num="1">
            <w:col w:w="11420"/>
          </w:cols>
          <w:pgMar w:left="240" w:top="121" w:right="2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Product/ Candidate</w:t>
      </w:r>
    </w:p>
    <w:p>
      <w:pPr>
        <w:spacing w:after="0" w:line="25" w:lineRule="exact"/>
        <w:rPr>
          <w:sz w:val="20"/>
          <w:szCs w:val="20"/>
          <w:color w:val="auto"/>
        </w:rPr>
      </w:pPr>
    </w:p>
    <w:p>
      <w:pPr>
        <w:ind w:right="1060"/>
        <w:spacing w:after="0" w:line="382" w:lineRule="auto"/>
        <w:rPr>
          <w:sz w:val="20"/>
          <w:szCs w:val="20"/>
          <w:color w:val="auto"/>
        </w:rPr>
      </w:pPr>
      <w:r>
        <w:rPr>
          <w:rFonts w:ascii="Arial" w:cs="Arial" w:eastAsia="Arial" w:hAnsi="Arial"/>
          <w:sz w:val="18"/>
          <w:szCs w:val="18"/>
          <w:color w:val="auto"/>
        </w:rPr>
        <w:t>HER2/neu+ Breast Cancer Vaccine TPIV 100/110</w:t>
      </w:r>
    </w:p>
    <w:p>
      <w:pPr>
        <w:spacing w:after="0" w:line="1" w:lineRule="exact"/>
        <w:rPr>
          <w:sz w:val="20"/>
          <w:szCs w:val="20"/>
          <w:color w:val="auto"/>
        </w:rPr>
      </w:pPr>
    </w:p>
    <w:p>
      <w:pPr>
        <w:ind w:right="1340"/>
        <w:spacing w:after="0" w:line="418" w:lineRule="auto"/>
        <w:rPr>
          <w:sz w:val="20"/>
          <w:szCs w:val="20"/>
          <w:color w:val="auto"/>
        </w:rPr>
      </w:pPr>
      <w:r>
        <w:rPr>
          <w:rFonts w:ascii="Arial" w:cs="Arial" w:eastAsia="Arial" w:hAnsi="Arial"/>
          <w:sz w:val="18"/>
          <w:szCs w:val="18"/>
          <w:color w:val="auto"/>
        </w:rPr>
        <w:t>Folate Receptor Alpha Vaccine TPIV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140" w:type="dxa"/>
            <w:vAlign w:val="bottom"/>
            <w:gridSpan w:val="2"/>
          </w:tcPr>
          <w:p>
            <w:pPr>
              <w:ind w:left="1200"/>
              <w:spacing w:after="0"/>
              <w:rPr>
                <w:sz w:val="20"/>
                <w:szCs w:val="20"/>
                <w:color w:val="auto"/>
              </w:rPr>
            </w:pPr>
            <w:r>
              <w:rPr>
                <w:rFonts w:ascii="Arial" w:cs="Arial" w:eastAsia="Arial" w:hAnsi="Arial"/>
                <w:sz w:val="14"/>
                <w:szCs w:val="14"/>
                <w:b w:val="1"/>
                <w:bCs w:val="1"/>
                <w:color w:val="auto"/>
              </w:rPr>
              <w:t>Description</w:t>
            </w:r>
          </w:p>
        </w:tc>
        <w:tc>
          <w:tcPr>
            <w:tcW w:w="1980" w:type="dxa"/>
            <w:vAlign w:val="bottom"/>
            <w:gridSpan w:val="2"/>
          </w:tcPr>
          <w:p>
            <w:pPr>
              <w:ind w:left="600"/>
              <w:spacing w:after="0"/>
              <w:rPr>
                <w:sz w:val="20"/>
                <w:szCs w:val="20"/>
                <w:color w:val="auto"/>
              </w:rPr>
            </w:pPr>
            <w:r>
              <w:rPr>
                <w:rFonts w:ascii="Arial" w:cs="Arial" w:eastAsia="Arial" w:hAnsi="Arial"/>
                <w:sz w:val="14"/>
                <w:szCs w:val="14"/>
                <w:b w:val="1"/>
                <w:bCs w:val="1"/>
                <w:color w:val="auto"/>
              </w:rPr>
              <w:t>Application</w:t>
            </w:r>
          </w:p>
        </w:tc>
        <w:tc>
          <w:tcPr>
            <w:tcW w:w="1980" w:type="dxa"/>
            <w:vAlign w:val="bottom"/>
          </w:tcPr>
          <w:p>
            <w:pPr>
              <w:ind w:left="800"/>
              <w:spacing w:after="0"/>
              <w:rPr>
                <w:sz w:val="20"/>
                <w:szCs w:val="20"/>
                <w:color w:val="auto"/>
              </w:rPr>
            </w:pPr>
            <w:r>
              <w:rPr>
                <w:rFonts w:ascii="Arial" w:cs="Arial" w:eastAsia="Arial" w:hAnsi="Arial"/>
                <w:sz w:val="14"/>
                <w:szCs w:val="14"/>
                <w:b w:val="1"/>
                <w:bCs w:val="1"/>
                <w:color w:val="auto"/>
              </w:rPr>
              <w:t>Status</w:t>
            </w:r>
          </w:p>
        </w:tc>
      </w:tr>
      <w:tr>
        <w:trPr>
          <w:trHeight w:val="195"/>
        </w:trPr>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Peptide Vaccine</w:t>
            </w:r>
          </w:p>
        </w:tc>
        <w:tc>
          <w:tcPr>
            <w:tcW w:w="60" w:type="dxa"/>
            <w:vAlign w:val="bottom"/>
          </w:tcPr>
          <w:p>
            <w:pPr>
              <w:spacing w:after="0"/>
              <w:rPr>
                <w:sz w:val="16"/>
                <w:szCs w:val="16"/>
                <w:color w:val="auto"/>
              </w:rPr>
            </w:pPr>
          </w:p>
        </w:tc>
        <w:tc>
          <w:tcPr>
            <w:tcW w:w="1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Treatment of HER2/neu+</w:t>
            </w:r>
          </w:p>
        </w:tc>
        <w:tc>
          <w:tcPr>
            <w:tcW w:w="4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Phase I trial completed</w:t>
            </w: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Breast Cancer</w:t>
            </w:r>
          </w:p>
        </w:tc>
        <w:tc>
          <w:tcPr>
            <w:tcW w:w="1980" w:type="dxa"/>
            <w:vAlign w:val="bottom"/>
          </w:tcPr>
          <w:p>
            <w:pPr>
              <w:spacing w:after="0"/>
              <w:rPr>
                <w:sz w:val="20"/>
                <w:szCs w:val="20"/>
                <w:color w:val="auto"/>
              </w:rPr>
            </w:pPr>
            <w:r>
              <w:rPr>
                <w:rFonts w:ascii="Arial" w:cs="Arial" w:eastAsia="Arial" w:hAnsi="Arial"/>
                <w:sz w:val="18"/>
                <w:szCs w:val="18"/>
                <w:color w:val="auto"/>
              </w:rPr>
              <w:t>Phase II to start in 2016</w:t>
            </w:r>
          </w:p>
        </w:tc>
      </w:tr>
      <w:tr>
        <w:trPr>
          <w:trHeight w:val="431"/>
        </w:trPr>
        <w:tc>
          <w:tcPr>
            <w:tcW w:w="3140" w:type="dxa"/>
            <w:vAlign w:val="bottom"/>
            <w:gridSpan w:val="2"/>
          </w:tcPr>
          <w:p>
            <w:pPr>
              <w:spacing w:after="0"/>
              <w:rPr>
                <w:sz w:val="20"/>
                <w:szCs w:val="20"/>
                <w:color w:val="auto"/>
              </w:rPr>
            </w:pPr>
            <w:r>
              <w:rPr>
                <w:rFonts w:ascii="Arial" w:cs="Arial" w:eastAsia="Arial" w:hAnsi="Arial"/>
                <w:sz w:val="18"/>
                <w:szCs w:val="18"/>
                <w:color w:val="auto"/>
              </w:rPr>
              <w:t>Peptide Vaccine</w:t>
            </w:r>
          </w:p>
        </w:tc>
        <w:tc>
          <w:tcPr>
            <w:tcW w:w="1980" w:type="dxa"/>
            <w:vAlign w:val="bottom"/>
            <w:gridSpan w:val="2"/>
          </w:tcPr>
          <w:p>
            <w:pPr>
              <w:spacing w:after="0"/>
              <w:rPr>
                <w:sz w:val="20"/>
                <w:szCs w:val="20"/>
                <w:color w:val="auto"/>
              </w:rPr>
            </w:pPr>
            <w:r>
              <w:rPr>
                <w:rFonts w:ascii="Arial" w:cs="Arial" w:eastAsia="Arial" w:hAnsi="Arial"/>
                <w:sz w:val="18"/>
                <w:szCs w:val="18"/>
                <w:color w:val="auto"/>
                <w:w w:val="94"/>
              </w:rPr>
              <w:t>Treatment of Folate Alpha</w:t>
            </w:r>
          </w:p>
        </w:tc>
        <w:tc>
          <w:tcPr>
            <w:tcW w:w="1980" w:type="dxa"/>
            <w:vAlign w:val="bottom"/>
          </w:tcPr>
          <w:p>
            <w:pPr>
              <w:spacing w:after="0"/>
              <w:rPr>
                <w:sz w:val="20"/>
                <w:szCs w:val="20"/>
                <w:color w:val="auto"/>
              </w:rPr>
            </w:pPr>
            <w:r>
              <w:rPr>
                <w:rFonts w:ascii="Arial" w:cs="Arial" w:eastAsia="Arial" w:hAnsi="Arial"/>
                <w:sz w:val="18"/>
                <w:szCs w:val="18"/>
                <w:color w:val="auto"/>
              </w:rPr>
              <w:t>Phase I trial completed</w:t>
            </w:r>
          </w:p>
        </w:tc>
      </w:tr>
      <w:tr>
        <w:trPr>
          <w:trHeight w:val="216"/>
        </w:trPr>
        <w:tc>
          <w:tcPr>
            <w:tcW w:w="3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Breast and Ovarian</w:t>
            </w:r>
          </w:p>
        </w:tc>
        <w:tc>
          <w:tcPr>
            <w:tcW w:w="1980" w:type="dxa"/>
            <w:vAlign w:val="bottom"/>
          </w:tcPr>
          <w:p>
            <w:pPr>
              <w:spacing w:after="0"/>
              <w:rPr>
                <w:sz w:val="20"/>
                <w:szCs w:val="20"/>
                <w:color w:val="auto"/>
              </w:rPr>
            </w:pPr>
            <w:r>
              <w:rPr>
                <w:rFonts w:ascii="Arial" w:cs="Arial" w:eastAsia="Arial" w:hAnsi="Arial"/>
                <w:sz w:val="18"/>
                <w:szCs w:val="18"/>
                <w:color w:val="auto"/>
                <w:w w:val="99"/>
              </w:rPr>
              <w:t>Multiple Phase II trials to</w:t>
            </w:r>
          </w:p>
        </w:tc>
      </w:tr>
      <w:tr>
        <w:trPr>
          <w:trHeight w:val="216"/>
        </w:trPr>
        <w:tc>
          <w:tcPr>
            <w:tcW w:w="3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Cancer</w:t>
            </w:r>
          </w:p>
        </w:tc>
        <w:tc>
          <w:tcPr>
            <w:tcW w:w="1980" w:type="dxa"/>
            <w:vAlign w:val="bottom"/>
          </w:tcPr>
          <w:p>
            <w:pPr>
              <w:spacing w:after="0"/>
              <w:rPr>
                <w:sz w:val="20"/>
                <w:szCs w:val="20"/>
                <w:color w:val="auto"/>
              </w:rPr>
            </w:pPr>
            <w:r>
              <w:rPr>
                <w:rFonts w:ascii="Arial" w:cs="Arial" w:eastAsia="Arial" w:hAnsi="Arial"/>
                <w:sz w:val="18"/>
                <w:szCs w:val="18"/>
                <w:color w:val="auto"/>
              </w:rPr>
              <w:t>start</w:t>
            </w: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in 2016</w:t>
            </w:r>
          </w:p>
        </w:tc>
      </w:tr>
      <w:tr>
        <w:trPr>
          <w:trHeight w:val="323"/>
        </w:trPr>
        <w:tc>
          <w:tcPr>
            <w:tcW w:w="3140" w:type="dxa"/>
            <w:vAlign w:val="bottom"/>
            <w:gridSpan w:val="2"/>
          </w:tcPr>
          <w:p>
            <w:pPr>
              <w:spacing w:after="0"/>
              <w:rPr>
                <w:sz w:val="20"/>
                <w:szCs w:val="20"/>
                <w:color w:val="auto"/>
              </w:rPr>
            </w:pPr>
            <w:r>
              <w:rPr>
                <w:rFonts w:ascii="Arial" w:cs="Arial" w:eastAsia="Arial" w:hAnsi="Arial"/>
                <w:sz w:val="18"/>
                <w:szCs w:val="18"/>
                <w:color w:val="auto"/>
              </w:rPr>
              <w:t>Peptide Vaccine + Checkpoint inhibitor</w:t>
            </w: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Phase II trial to start in</w:t>
            </w: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2016</w:t>
            </w:r>
          </w:p>
        </w:tc>
      </w:tr>
      <w:tr>
        <w:trPr>
          <w:trHeight w:val="310"/>
        </w:trPr>
        <w:tc>
          <w:tcPr>
            <w:tcW w:w="3140" w:type="dxa"/>
            <w:vAlign w:val="bottom"/>
            <w:gridSpan w:val="2"/>
          </w:tcPr>
          <w:p>
            <w:pPr>
              <w:spacing w:after="0"/>
              <w:rPr>
                <w:sz w:val="20"/>
                <w:szCs w:val="20"/>
                <w:color w:val="auto"/>
              </w:rPr>
            </w:pPr>
            <w:r>
              <w:rPr>
                <w:rFonts w:ascii="Arial" w:cs="Arial" w:eastAsia="Arial" w:hAnsi="Arial"/>
                <w:sz w:val="18"/>
                <w:szCs w:val="18"/>
                <w:color w:val="auto"/>
              </w:rPr>
              <w:t>DNA expression technology</w:t>
            </w:r>
          </w:p>
        </w:tc>
        <w:tc>
          <w:tcPr>
            <w:tcW w:w="1980" w:type="dxa"/>
            <w:vAlign w:val="bottom"/>
            <w:gridSpan w:val="2"/>
          </w:tcPr>
          <w:p>
            <w:pPr>
              <w:spacing w:after="0"/>
              <w:rPr>
                <w:sz w:val="20"/>
                <w:szCs w:val="20"/>
                <w:color w:val="auto"/>
              </w:rPr>
            </w:pPr>
            <w:r>
              <w:rPr>
                <w:rFonts w:ascii="Arial" w:cs="Arial" w:eastAsia="Arial" w:hAnsi="Arial"/>
                <w:sz w:val="18"/>
                <w:szCs w:val="18"/>
                <w:color w:val="auto"/>
              </w:rPr>
              <w:t>Broad Application to</w:t>
            </w:r>
          </w:p>
        </w:tc>
        <w:tc>
          <w:tcPr>
            <w:tcW w:w="198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16"/>
        </w:trPr>
        <w:tc>
          <w:tcPr>
            <w:tcW w:w="3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“Prime”</w:t>
            </w:r>
          </w:p>
        </w:tc>
        <w:tc>
          <w:tcPr>
            <w:tcW w:w="198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and “Boost”</w:t>
            </w:r>
          </w:p>
        </w:tc>
        <w:tc>
          <w:tcPr>
            <w:tcW w:w="1980" w:type="dxa"/>
            <w:vAlign w:val="bottom"/>
          </w:tcPr>
          <w:p>
            <w:pPr>
              <w:spacing w:after="0"/>
              <w:rPr>
                <w:sz w:val="20"/>
                <w:szCs w:val="20"/>
                <w:color w:val="auto"/>
              </w:rPr>
            </w:pPr>
          </w:p>
        </w:tc>
      </w:tr>
      <w:tr>
        <w:trPr>
          <w:trHeight w:val="365"/>
        </w:trPr>
        <w:tc>
          <w:tcPr>
            <w:tcW w:w="3080" w:type="dxa"/>
            <w:vAlign w:val="bottom"/>
          </w:tcPr>
          <w:p>
            <w:pPr>
              <w:ind w:left="130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2">
            <w:col w:w="3600" w:space="720"/>
            <w:col w:w="7100"/>
          </w:cols>
          <w:pgMar w:left="240" w:top="121"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 e</w:t>
      </w:r>
      <w:r>
        <w:rPr>
          <w:rFonts w:ascii="Arial" w:cs="Arial" w:eastAsia="Arial" w:hAnsi="Arial"/>
          <w:sz w:val="18"/>
          <w:szCs w:val="18"/>
          <w:color w:val="auto"/>
        </w:rPr>
        <w:t>. ,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 HER2/neu+ Breast Cancer – Mayo Foundation</w:t>
      </w:r>
    </w:p>
    <w:p>
      <w:pPr>
        <w:spacing w:after="0" w:line="117"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On June 1, 2010, we signed an exclusive licensing option agreement with the Mayo Foundation for Medical Education and Research (“Mayo Foundation”), Rochester MN for clinical development of a new HER2/neu+ breast cancer vaccine technology. An IND for Phase I human clinical trial on the HER2/neu+ cancer vaccine in collaboration with the Mayo Foundation was allowed by the FDA in July, 2011 and the Mayo IRB approved the trial on May 4, 2012.</w:t>
      </w:r>
    </w:p>
    <w:p>
      <w:pPr>
        <w:ind w:right="100"/>
        <w:spacing w:after="0" w:line="271" w:lineRule="auto"/>
        <w:rPr>
          <w:sz w:val="20"/>
          <w:szCs w:val="20"/>
          <w:color w:val="auto"/>
        </w:rPr>
      </w:pPr>
      <w:r>
        <w:rPr>
          <w:rFonts w:ascii="Arial" w:cs="Arial" w:eastAsia="Arial" w:hAnsi="Arial"/>
          <w:sz w:val="17"/>
          <w:szCs w:val="17"/>
          <w:color w:val="auto"/>
        </w:rPr>
        <w:t>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 19 out of 20 evaluable patients showed robust T-cell immune responses to the antigens in the vaccine composition. These results provide the rationale for advancement into Phase II in 2016</w:t>
      </w:r>
      <w:r>
        <w:rPr>
          <w:rFonts w:ascii="Arial" w:cs="Arial" w:eastAsia="Arial" w:hAnsi="Arial"/>
          <w:sz w:val="17"/>
          <w:szCs w:val="17"/>
          <w:b w:val="1"/>
          <w:bCs w:val="1"/>
          <w:color w:val="auto"/>
        </w:rPr>
        <w:t>.</w:t>
      </w:r>
      <w:r>
        <w:rPr>
          <w:rFonts w:ascii="Arial" w:cs="Arial" w:eastAsia="Arial" w:hAnsi="Arial"/>
          <w:sz w:val="17"/>
          <w:szCs w:val="17"/>
          <w:color w:val="auto"/>
        </w:rPr>
        <w:t xml:space="preserve"> An additional secondary endpoint incorporated into this Phase I Trial will be a two year follow on recording time to disease recurrence in the participating breast cancer patients.</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the exclusive option to license this technology from the Mayo Foundation upon the completion of Phase I. 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at the end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 Folate Alpha Breast and Ovarian Cancer – Mayo Foundation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8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completed a 22 patient Phase I clinical trial for the Folate Receptor Alpha Vaccine. Twenty-two patients with breast or ovarian cancer who had undergone standard surgery and adjuvant treatment were treated with 1 cycle of cyclophosphamide (given days 1-7 and 15-22 of 28). Following this, patients were vaccinated intradermally at 3 sites with a mixture of the 5 FRA peptides on day 1 of a 28 day cycle for a maximum of 6 vaccination cycles. The vaccine is well tolerated and safe and 20 out of 21 evaluable patients showed positive immune responses providing a strong rationale rational for progressing to Phase</w:t>
      </w:r>
    </w:p>
    <w:p>
      <w:pPr>
        <w:spacing w:after="0" w:line="2" w:lineRule="exact"/>
        <w:rPr>
          <w:sz w:val="20"/>
          <w:szCs w:val="20"/>
          <w:color w:val="auto"/>
        </w:rPr>
      </w:pPr>
    </w:p>
    <w:p>
      <w:pPr>
        <w:ind w:right="80" w:firstLine="8"/>
        <w:spacing w:after="0" w:line="255" w:lineRule="auto"/>
        <w:tabs>
          <w:tab w:leader="none" w:pos="1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trials. Further, the data showed that 16 out of 16 patients in the observation stage still showed immune responses. We have developed a commercial quality lyophilized formulation of the vaccine in a single vial for reconstitution and injection. GMP manufacturing of initial batch for initial Phase II trials has been completed.</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 patient Phase II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6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 including over 90% of ovarian cancer cells.</w:t>
      </w:r>
    </w:p>
    <w:p>
      <w:pPr>
        <w:spacing w:after="0" w:line="15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21, 2016, we announced our plans to participate in a Phase 2 trial in platinum-resistant ovarian cancer at Memorial Sloan Kettering Cancer Center, New York. The aim of this trial is to test TPIV 200, in combination with durvalumab (MEDI4736), an anti-PD-L1 antibody.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Polystart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parallel with the above completed Phase I clinical trials and upcoming Phase II trials, we plan to complete preclinical development of the Polystart technology as an integral component of our “Prime” and “Boost” vaccine methodology. Unlike other vaccine technologies that narrowly address the initiation of an immune response, our (“Prime” 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 g. , cancer cells). Moreover, our versatile Polystart technology is designed to express either Class I killer or Class II helper T-cell antigenic epitopes. Our nucleic acid-based systems can also incorporate “TAP” which stands for Transporter associated with Antigen Presentation. The nucleic acid-based platform may also represent a second stand-alone vaccine technology.</w:t>
      </w:r>
    </w:p>
    <w:p>
      <w:pPr>
        <w:spacing w:after="0" w:line="17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We plan to incorporate the pre-clinical development of Polystart as a boost strategy for HER2/neu+ breast cancer, colorectal cancer, ovarian cancer and triple negative breast cancer. We have converted the previously filed U.S. Provisional Patent Application on Polystart into a full Patent Application, and will extend technology constructs as boost strategies for the current clinical programs in breast and ovarian cancer.</w:t>
      </w:r>
    </w:p>
    <w:p>
      <w:pPr>
        <w:spacing w:after="0" w:line="16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Management believes that the comprehensive scientific underpinnings of the overall approach, to elicit the production of both helper T- cells and killer T-cells, will provide us with highly competitive product candidates for the treatment of HER2/neu positive breast cancer, colorectal cancer, ovarian cancer and triple negative breast cancer.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Regarding our programs for the development of vaccines aimed at viral pandemics/biodefense, our collaborations with the Mayo Foundation progressed to a point where the immunogenicity of novel smallpox antigens in mice treated with both antigens and TAP expression vectors was shown to be encouraging. However, due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41" w:name="page42"/>
    <w:bookmarkEnd w:id="4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12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Rochester, MN,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approval of the IND by the FDA in July, 2011, we executed a Sponsored Research Agreement with the Mayo Foundation for the clinical trial.</w:t>
      </w:r>
    </w:p>
    <w:p>
      <w:pPr>
        <w:spacing w:after="0" w:line="23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Rochester, MN, to evaluate novel smallpox peptide antigens. This agreement grants us an exclusive worldwide option to become the exclusive licensee of the smallpox vaccine technology after research studies have been completed under the terms of the agreement. This project was completed in Q4,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Mayo HER2/neu License</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April 13, 2012, we entered into a Patent &amp; Know-How Agreement with the Mayo Foundation, Rochester, MN, to license a proprietary MHC Class I HER2/neu antigen technology. Under the terms of this agreement, we acquired from Mayo Foundation (i) an exclusive option for a worldwide license to use the patent rights related to US patent application numbered 61600480 (titled “Methods 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had the right to exercise this option after Phase I clinical trials had been reported. We may sublicense the technology with the approval of Mayo Foundation, which approval may not unreasonably withheld.</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19, 2016, we exercised the option and entered into a license and assignment agreement (the “Agreement”) with Mayo Foundation. The Mayo Foundation granted this license in exchange for an initial payment of $300,000, which was required to be paid by June 3, 2016</w:t>
      </w:r>
      <w:r>
        <w:rPr>
          <w:rFonts w:ascii="Arial" w:cs="Arial" w:eastAsia="Arial" w:hAnsi="Arial"/>
          <w:sz w:val="18"/>
          <w:szCs w:val="18"/>
          <w:b w:val="1"/>
          <w:bCs w:val="1"/>
          <w:color w:val="auto"/>
        </w:rPr>
        <w:t>.</w:t>
      </w:r>
      <w:r>
        <w:rPr>
          <w:rFonts w:ascii="Arial" w:cs="Arial" w:eastAsia="Arial" w:hAnsi="Arial"/>
          <w:sz w:val="18"/>
          <w:szCs w:val="18"/>
          <w:color w:val="auto"/>
        </w:rPr>
        <w:t xml:space="preserve"> Upon the payment, the Mayo Foundation assigned to us IND # 14749, and we assumed all responsibility and liability for this investigative new drug application. In addition to the initial payment, we are to pay an annual license maintenance fee, milestone fees and royalty fees (which will be subject to a minimum annual royalty fee once royalty fees are due).</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w:t>
      </w:r>
    </w:p>
    <w:p>
      <w:pPr>
        <w:ind w:right="420" w:firstLine="8"/>
        <w:spacing w:after="0" w:line="261" w:lineRule="auto"/>
        <w:tabs>
          <w:tab w:leader="none" w:pos="2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U. S. patent application numbers12/740,562 and 14/480,365, divisionals, continuations and continuations in part, and (ii) U.S. provisional application 60/984,646 and PCT/US2008/081799.</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has sole control over the protection, defense, enforcement, maintenance abandonment and other handling of the Know-How (as defined in the Agreement) and Materials (as defined in the Agreement).</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 (b) 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Mayo Folate Receptor Alpha License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ectPr>
          <w:pgSz w:w="11900" w:h="16870" w:orient="portrait"/>
          <w:cols w:equalWidth="0" w:num="1">
            <w:col w:w="11420"/>
          </w:cols>
          <w:pgMar w:left="240" w:top="459" w:right="239" w:bottom="0" w:gutter="0" w:footer="0" w:header="0"/>
        </w:sectPr>
      </w:pPr>
    </w:p>
    <w:bookmarkStart w:id="42" w:name="page43"/>
    <w:bookmarkEnd w:id="42"/>
    <w:p>
      <w:pPr>
        <w:spacing w:after="0" w:line="279" w:lineRule="auto"/>
        <w:rPr>
          <w:sz w:val="20"/>
          <w:szCs w:val="20"/>
          <w:color w:val="auto"/>
        </w:rPr>
      </w:pPr>
      <w:r>
        <w:rPr>
          <w:rFonts w:ascii="Arial" w:cs="Arial" w:eastAsia="Arial" w:hAnsi="Arial"/>
          <w:sz w:val="17"/>
          <w:szCs w:val="17"/>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125"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 (iii) 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were incorporated under the laws of the State of Nevada in 1991. We have one wholly owned subsidiary named GeneMax Pharmaceuticals Inc. (“GeneMax Pharmaceuticals”). We currently trade on the OTC Bulletin Board (“OTCQX”) under the symbol “TPIV” and on the Frankfurt and Berlin Stock Exchanges under the symbol “GX1A”. The listing on the Berlin Stock Exchange was done without our knowledge and consent.</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operated offices and laboratories at 1551 Eastlake Avenue, Seattle until July 1, 2015. This enabled us to effectively leverage world-class resources made available to us and manage our cash flow. Our small core team has allowed us to establish in-house technical expertise in molecular biology (expression vector development)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the core TAP IP and antigen specific IP from the Mayo Foundation for which we have either licensed outright or have exclusive options to license.</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July 2015 we moved our Corporate Headquarters to 50 North Laura Street, Jacksonville, FL 32202 to be in closer proximity to our collaborators at Mayo Clinic, Jacksonville, FL and our Strategic and Medical Advisors who live in Florida. We lease a single office at Eastlake Avenue, Seattle, for the purposes of continuing to develop and patent our Polystart technology.</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Over the past year, we have, in a challenging financing climate, raised sufficient working capital to fund and progress our operations and significantly restructured our balance sheet and capital structure. We believe that we continue to make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Management believes that there is a critical need for more effective cancer therapies. Given the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73" w:lineRule="exact"/>
        <w:rPr>
          <w:sz w:val="20"/>
          <w:szCs w:val="20"/>
          <w:color w:val="auto"/>
        </w:rPr>
      </w:pPr>
    </w:p>
    <w:p>
      <w:pPr>
        <w:jc w:val="both"/>
        <w:ind w:right="360"/>
        <w:spacing w:after="0" w:line="297" w:lineRule="auto"/>
        <w:rPr>
          <w:sz w:val="20"/>
          <w:szCs w:val="20"/>
          <w:color w:val="auto"/>
        </w:rPr>
      </w:pPr>
      <w:r>
        <w:rPr>
          <w:rFonts w:ascii="Arial" w:cs="Arial" w:eastAsia="Arial" w:hAnsi="Arial"/>
          <w:sz w:val="16"/>
          <w:szCs w:val="16"/>
          <w:color w:val="auto"/>
        </w:rPr>
        <w:t>In addition, we continue to pursue the development of an approach which can allow the cellular immune system to make tumor cells more visible to the immune system. Many cancers are not very “immunogenic”,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many solid tumors and in metastatic cells, antigen presentation is often impaired thus presenting a weakened signal to which the cellular immune system can respond. Management believes that although a number of cancer therapies have been developed that stimulate the immune system, these approaches have often proven ineffective because the cancers remain invisible to the immune system due to this problem. One of our strategic visions is to broadly stimulate the cellular immune system while additionally improving antigen presentation. We believe that the use of our Polystart expression vector for improved expression of antigens and TAP can improve the immune system’s response to a variety of cancers.</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and Strategy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Foundation for HER2/neu+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our management is to ultimately have the FDA approve our cancer vaccines so that we can secure a portion of this market.</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global markets for cancer immunotherapy is estimated to grow to more than $80 billion by 2020 according to ResearchandMarkets.com. The market for infectious disease vaccines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have the potential to develop more effective new vaccines, thereby allowing us to participate in this large market through novel new products and in combination with existing vaccines.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using our combined proprietary technologies, relevant killer plus helper T-cell peptide antigens, and Polystart nucleic acid-based expression system(s) expressing antigens and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Item 1A, “Risk Factors”.</w:t>
      </w:r>
    </w:p>
    <w:p>
      <w:pPr>
        <w:spacing w:after="0" w:line="15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currently own a number of issued and pending patents covering composition of matter of Polystart and TAP. In addition, a number of issued and pending patents cover the HER2/neu and Folate Receptor Alpha peptides in our Option to License or License Agreements from the Mayo Foundation.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information as of March 4, 2016 regarding each pending United States patent application or enforceable issued United States patent currently held or licensed: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Patent No. /</w:t>
            </w: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Pending</w:t>
            </w: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Jurisdiction</w:t>
            </w:r>
          </w:p>
        </w:tc>
      </w:tr>
      <w:tr>
        <w:trPr>
          <w:trHeight w:val="128"/>
        </w:trPr>
        <w:tc>
          <w:tcPr>
            <w:tcW w:w="32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Application</w:t>
            </w:r>
          </w:p>
        </w:tc>
        <w:tc>
          <w:tcPr>
            <w:tcW w:w="2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Where</w:t>
            </w:r>
          </w:p>
        </w:tc>
      </w:tr>
      <w:tr>
        <w:trPr>
          <w:trHeight w:val="169"/>
        </w:trPr>
        <w:tc>
          <w:tcPr>
            <w:tcW w:w="9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2"/>
              </w:rPr>
              <w:t>Publication No.</w:t>
            </w:r>
          </w:p>
        </w:tc>
        <w:tc>
          <w:tcPr>
            <w:tcW w:w="2260" w:type="dxa"/>
            <w:vAlign w:val="bottom"/>
          </w:tcPr>
          <w:p>
            <w:pPr>
              <w:spacing w:after="0"/>
              <w:rPr>
                <w:sz w:val="14"/>
                <w:szCs w:val="14"/>
                <w:color w:val="auto"/>
              </w:rPr>
            </w:pPr>
          </w:p>
        </w:tc>
        <w:tc>
          <w:tcPr>
            <w:tcW w:w="2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Patent Expiration</w:t>
            </w:r>
          </w:p>
        </w:tc>
        <w:tc>
          <w:tcPr>
            <w:tcW w:w="2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Title</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Ownership</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Granted/Filed</w:t>
            </w:r>
          </w:p>
        </w:tc>
      </w:tr>
      <w:tr>
        <w:trPr>
          <w:trHeight w:val="20"/>
        </w:trPr>
        <w:tc>
          <w:tcPr>
            <w:tcW w:w="3220" w:type="dxa"/>
            <w:vAlign w:val="bottom"/>
            <w:gridSpan w:val="2"/>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5"/>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Peptide Based Vaccine (Folate Alpha Breast and Ovarian Cancer)</w:t>
            </w: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8"/>
        </w:trPr>
        <w:tc>
          <w:tcPr>
            <w:tcW w:w="960" w:type="dxa"/>
            <w:vAlign w:val="bottom"/>
          </w:tcPr>
          <w:p>
            <w:pPr>
              <w:spacing w:after="0"/>
              <w:rPr>
                <w:sz w:val="20"/>
                <w:szCs w:val="20"/>
                <w:color w:val="auto"/>
              </w:rPr>
            </w:pPr>
            <w:r>
              <w:rPr>
                <w:rFonts w:ascii="Arial" w:cs="Arial" w:eastAsia="Arial" w:hAnsi="Arial"/>
                <w:sz w:val="18"/>
                <w:szCs w:val="18"/>
                <w:color w:val="auto"/>
              </w:rPr>
              <w:t>8,486,412</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Immunity To Folate Receptors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License</w:t>
            </w:r>
          </w:p>
        </w:tc>
        <w:tc>
          <w:tcPr>
            <w:tcW w:w="88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9,243,033</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Immunity To Folate Receptors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License</w:t>
            </w:r>
          </w:p>
        </w:tc>
        <w:tc>
          <w:tcPr>
            <w:tcW w:w="880" w:type="dxa"/>
            <w:vAlign w:val="bottom"/>
          </w:tcPr>
          <w:p>
            <w:pPr>
              <w:spacing w:after="0"/>
              <w:rPr>
                <w:sz w:val="20"/>
                <w:szCs w:val="20"/>
                <w:color w:val="auto"/>
              </w:rPr>
            </w:pPr>
          </w:p>
        </w:tc>
      </w:tr>
      <w:tr>
        <w:trPr>
          <w:trHeight w:val="324"/>
        </w:trPr>
        <w:tc>
          <w:tcPr>
            <w:tcW w:w="6140" w:type="dxa"/>
            <w:vAlign w:val="bottom"/>
            <w:gridSpan w:val="4"/>
          </w:tcPr>
          <w:p>
            <w:pPr>
              <w:spacing w:after="0"/>
              <w:rPr>
                <w:sz w:val="20"/>
                <w:szCs w:val="20"/>
                <w:color w:val="auto"/>
              </w:rPr>
            </w:pPr>
            <w:r>
              <w:rPr>
                <w:rFonts w:ascii="Arial" w:cs="Arial" w:eastAsia="Arial" w:hAnsi="Arial"/>
                <w:sz w:val="18"/>
                <w:szCs w:val="18"/>
                <w:b w:val="1"/>
                <w:bCs w:val="1"/>
                <w:color w:val="auto"/>
              </w:rPr>
              <w:t>Peptide Based Vaccine (HER2/neu+ Breast Cancer)</w:t>
            </w: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2015/0231218</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N/A; not yet granted</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Methods And Materials For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Generating CD8+ T Cells Having</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The Ability To Recognize Cancer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Cells Expressing A HER2/Neu</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Polypeptide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w w:val="95"/>
              </w:rPr>
              <w:t>Nucleic Acid Based Vaccine (Polystart)</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2015/0258186</w:t>
            </w: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Notice of Allowance Issued; Will</w:t>
            </w: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Nucleic Acid Molecule Vaccine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Owned</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Issue As Patent Upon Paying Issue</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Compositions And Uses Thereof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Fee; Expected Patent Term Is</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Through 2035</w:t>
            </w: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Additional Intellectual Property</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2014/0377340</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N/A; not yet granted</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HLA-DR Binding Peptides And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Their Uses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8,858,952</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Methods And Materials For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Generating T Cells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20"/>
                <w:szCs w:val="20"/>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7,994,146</w:t>
            </w:r>
          </w:p>
        </w:tc>
        <w:tc>
          <w:tcPr>
            <w:tcW w:w="226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4"/>
                <w:szCs w:val="24"/>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Methods Of Enhancing An Immune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Exclusive</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230"/>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Response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License Option</w:t>
            </w:r>
          </w:p>
        </w:tc>
        <w:tc>
          <w:tcPr>
            <w:tcW w:w="88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our drug candidates. Management believes that a number of companies, which are developing various types of similar in vivo T-cell immunotherapies and therapeutic cancer vaccines to treat cancer, could be our major competitors including: Advaxis, Genzyme Molecular Oncology, Immune Design, Oncothyreon, Celldex, BN Immunotherapeutics, Immunocellular, Galena, Antigen Express, Transgene S. A., and Bavarian Nordic. Other immunotherapy approaches including adoptive T-cell therapies, monoclonal antibodies and checkpoint inhibitors also provide competition in the oncology space. In these areas competitors include, Lion Biotechnology, Juno Therapeutics, Kite Pharma, Roche Pharmaceuticals, Merck &amp; Co, Bristol Myers Squibb, AstraZeneca plc, Medimmune, LLC. We believe that our in vivo T-cell therapy approaches will be synergistic with these approaches and might even improve them.</w:t>
      </w:r>
    </w:p>
    <w:p>
      <w:pPr>
        <w:spacing w:after="0" w:line="16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76" w:lineRule="exact"/>
        <w:rPr>
          <w:sz w:val="20"/>
          <w:szCs w:val="20"/>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drug candidate that we successfully develop may compete with existing therapies that have long histories of safe and effective 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Competition may also arise from:</w:t>
      </w:r>
    </w:p>
    <w:p>
      <w:pPr>
        <w:spacing w:after="0" w:line="116" w:lineRule="exact"/>
        <w:rPr>
          <w:sz w:val="20"/>
          <w:szCs w:val="20"/>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131" w:lineRule="exact"/>
        <w:rPr>
          <w:sz w:val="20"/>
          <w:szCs w:val="20"/>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130" w:lineRule="exact"/>
        <w:rPr>
          <w:rFonts w:ascii="Arial" w:cs="Arial" w:eastAsia="Arial" w:hAnsi="Arial"/>
          <w:sz w:val="18"/>
          <w:szCs w:val="18"/>
          <w:color w:val="auto"/>
        </w:rPr>
      </w:pPr>
    </w:p>
    <w:p>
      <w:pPr>
        <w:ind w:left="1920" w:right="540" w:hanging="440"/>
        <w:spacing w:after="0" w:line="277" w:lineRule="auto"/>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ongoing research and development activities and any manufacturing and marketing of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Review and Approval Process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76" w:lineRule="exact"/>
        <w:rPr>
          <w:sz w:val="20"/>
          <w:szCs w:val="20"/>
          <w:color w:val="auto"/>
        </w:rPr>
      </w:pPr>
    </w:p>
    <w:p>
      <w:pPr>
        <w:ind w:left="1920" w:right="260" w:hanging="440"/>
        <w:spacing w:after="0" w:line="277"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and Good Manufacturing Practice regulations;</w:t>
      </w:r>
    </w:p>
    <w:p>
      <w:pPr>
        <w:spacing w:after="0" w:line="75" w:lineRule="exact"/>
        <w:rPr>
          <w:rFonts w:ascii="Arial" w:cs="Arial" w:eastAsia="Arial" w:hAnsi="Arial"/>
          <w:sz w:val="18"/>
          <w:szCs w:val="18"/>
          <w:color w:val="auto"/>
        </w:rPr>
      </w:pPr>
    </w:p>
    <w:p>
      <w:pPr>
        <w:ind w:left="1920" w:right="40" w:hanging="440"/>
        <w:spacing w:after="0" w:line="277"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75" w:lineRule="exact"/>
        <w:rPr>
          <w:rFonts w:ascii="Arial" w:cs="Arial" w:eastAsia="Arial" w:hAnsi="Arial"/>
          <w:sz w:val="18"/>
          <w:szCs w:val="18"/>
          <w:color w:val="auto"/>
        </w:rPr>
      </w:pPr>
    </w:p>
    <w:p>
      <w:pPr>
        <w:ind w:left="1920" w:right="100" w:hanging="440"/>
        <w:spacing w:after="0" w:line="277" w:lineRule="auto"/>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ectPr>
          <w:pgSz w:w="11900" w:h="16838" w:orient="portrait"/>
          <w:cols w:equalWidth="0" w:num="1">
            <w:col w:w="11380"/>
          </w:cols>
          <w:pgMar w:left="240" w:top="459" w:right="279" w:bottom="1440" w:gutter="0" w:footer="0" w:header="0"/>
        </w:sect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80"/>
          </w:cols>
          <w:pgMar w:left="240" w:top="459" w:right="27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40"/>
        <w:spacing w:after="0"/>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submission of an NDA or Biologics License Application (BLA) to the FDA for review;</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130" w:lineRule="exact"/>
        <w:rPr>
          <w:rFonts w:ascii="Arial" w:cs="Arial" w:eastAsia="Arial" w:hAnsi="Arial"/>
          <w:sz w:val="18"/>
          <w:szCs w:val="18"/>
          <w:color w:val="auto"/>
        </w:rPr>
      </w:pPr>
    </w:p>
    <w:p>
      <w:pPr>
        <w:ind w:left="1920" w:right="400" w:hanging="440"/>
        <w:spacing w:after="0" w:line="277" w:lineRule="auto"/>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Additional factors that can cause delay or termination of our clinical trials, or cause the costs of these clinical trials to increase, include:</w:t>
      </w:r>
    </w:p>
    <w:p>
      <w:pPr>
        <w:spacing w:after="0" w:line="131" w:lineRule="exact"/>
        <w:rPr>
          <w:sz w:val="20"/>
          <w:szCs w:val="20"/>
          <w:color w:val="auto"/>
        </w:rPr>
      </w:pPr>
    </w:p>
    <w:p>
      <w:pPr>
        <w:ind w:left="1920" w:right="260" w:hanging="440"/>
        <w:spacing w:after="0" w:line="277"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longer than anticipated treatment time required to demonstrate effectiveness or determine the appropriate product dose;</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FDA’s fast track and breakthrough therapy designation programs are intended to facilitate the development and expedite the review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cannot guarantee that the FDA will grant any of our requests for fast track or breakthrough therapy designations, that any such designations would affect the time of review or that the FDA will approve the NDA or BLA submitted for any of our drug candidates, whether or not these designations are granted. Additionally, FDA approval of a fast track/breakthrough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8"/>
          <w:szCs w:val="18"/>
          <w:u w:val="single" w:color="auto"/>
          <w:color w:val="auto"/>
        </w:rPr>
        <w:t>www.hc-sc.gc.ca</w:t>
      </w:r>
      <w:r>
        <w:rPr>
          <w:rFonts w:ascii="Arial" w:cs="Arial" w:eastAsia="Arial" w:hAnsi="Arial"/>
          <w:sz w:val="18"/>
          <w:szCs w:val="18"/>
          <w:color w:val="auto"/>
        </w:rPr>
        <w:t>.</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Outside the United States and Canada,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Under the FDA Modernization Act of 1997, designation as a Fast Track product for a new drug or biological product means that the FDA will take such actions as are appropriate to expedite the development and review of the application for approval of such product.</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Manufacturing Process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Even when NDA or BLA approval is obtained, a marketed product,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8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and our third-party manufacturers are subject to current Good Manufacturing Practices, which are extensive regulations governing manufacturing processes, including but not limited to stability testing, record keeping and quality standards as defined by the FDA and the European Medicines Agency. Similar regulations are in effect in other countries. Manufacturing facilities are subject to inspection by the applicable regulatory authorities. These facilities, whether our own or our contract manufacturers, must be inspected before we can use them in commercial manufacturing of our related products. We or our contract manufacturers may not be able to comply with applicable Good Manufacturing Practices and FDA or other regulatory requirements. If we or our contract manufacturers fail to comply, we or our contract manufacturers may be subject to legal or regulatory action, such as suspension of manufacturing,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or PDMA, which, among other things, imposes various requirements in connection with the distribution of product samples to physicians.</w:t>
      </w:r>
    </w:p>
    <w:p>
      <w:pPr>
        <w:spacing w:after="0" w:line="1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inspections related to manufacturing, we may be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There are a variety of state laws and regulations that apply in the states or localities where our drug candidates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Exclusivity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Law Compliance</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to FDA laws and regulations, we must also comply with various federal and state laws and regulations pertaining to healthcare “fraud and abuse” laws which govern, among other things, our relationships with healthcare providers, and organizations such as specialty pharmacies, wholesalers and group purchasing organizations relating to the marketing and pricing of prescription drug products. Such laws include, without limitation, state and federal anti-kickback, fraud and abuse, false claims, privacy and security, and physician payment sunshine laws.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implementing regulations, require certain types of individuals and entities to protect the privacy, security, and electronic exchange of certain patient data.</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the physicians and their immediate family members.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 party payors, including private insurers. Additionally, we may be subject to state laws that require pharmaceutical companies to comply with the pharmaceutical industry’s voluntary compliance guidelines and the relevant compliance guidance promulgated by the federal government. Further, we may be subject to state laws that require drug manufacturers to report information related to payments and other transfers of value to physicians and other healthcare providers or marketing expenditures, as well as state and foreign laws governing the privacy and security of health information in some circumstances, many of which differ from each other in significant ways and often are not preempted by HIPAA, thus complicating compliance efforts. If our operations are found to be in violation of any of these federal, state or foreign laws or regulations, we may be subject to penalties, including without limitation, administrative or civil penalties, imprisonment, damages, fines, disgorgement, exclusion from participation in government healthcare programs, contractual damages, reputational harm, diminished profits and future earnings, or the curtailment or restructuring of our operations.</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There are also an increasing number of state laws that require manufacturers to make reports to those states on certain pricing and marketing information. Many of these laws contain ambiguities as to what is required to comply with the laws. Given the lack of clarity in laws and their implementation, our reporting actions could be subject to the penalty provisions of the state authorities.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 and Reimbursement and Pricing Controls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has been an increased focus on drug pricing in recent years in the United States. Although there are no direct government price controls over private sector purchases in the United States, there are rebates and other financial requirements for federal and state health care programs. The Medicare Modernization Act, enacted in December 2003, established the Medicare Part D outpatient prescription drug benefit, which is provided primarily through private entities that attempt to negotiate price concessions from pharmaceutical manufacturers. The health care reform legislation enacted in 2010, known as the Affordable Care Act, requires drug manufacturers to pay 50% of the Medicare Part D coverage gap, also known as the “donut hole,” on prescriptions for branded products filled when the beneficiary reaches this coverage. The Deficit Reduction Act of 2005 resulted in changes to the way drug prices are reported to the government and the formula using such information to calculate the required Medicaid rebates. The Affordable Care Act increased the minimum basic Medicaid rebate for branded prescription drugs from 15.1% to 23.1% and requires pharmaceutical manufacturers to pay states rebates on prescription drugs dispensed to Medicaid managed care enrollees. In addition, the Affordable Care Act increased the additional Medicaid rebate on “line extensions” (such as extended release formulations) of solid oral dosage forms of branded products, revised the definition of average manufacturer price by changing the classes of purchasers included in the calculation, and expanded the entities eligible for discounted pricing under the federal 340B drug pricing program. Current orphan drugs are excluded from the expanded 340B hospitals eligible for discounts.</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Affordable Care Act imposes a significant annual fee on companies that manufacture or import branded prescription drug products. The fee (which is not deductible for federal income tax purposes) is based on the manufacturer’s market share of sales of branded drugs and biologics (excluding orphan drugs) to, or pursuant to coverage under, specified U.S. government programs.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Affordable Care Act also contains a number of provisions, including provisions governing the way that health care is financed by both governmental and private insurers, enrollment in federal health care programs, reimbursement changes, the increased use of comparative effectiveness research in health care decision-making, and enhancements to fraud and abuse requirements and enforcement, that are affecting existing government health care programs and will result in the development of new programs. The Affordable Care Act also contains requirements for manufacturers to publicly report certain payments or other transfers of value made to physicians and teaching hospitals. We are unable to predict the future course of federal or state health care legislation and regulations, including regulations that will be issued to implement provisions of the Affordable Care Act. The Affordable Care Act and further changes in the law or regulatory framework that reduce our revenues or increase our costs could also have a material adverse effect on our business, financial condition and results of operations and cash flows.</w:t>
      </w:r>
    </w:p>
    <w:p>
      <w:pPr>
        <w:spacing w:after="0" w:line="17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Public and private health care payers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Payers also set other criteria to govern the uses of a drug that will be deemed medically appropriate and therefore reimbursed or otherwise covered. Payers may require physicians to seek approval from them before a product will be reimbursed or covered, commonly referred to as prior authorization. In particular, many public and private health care payers limit reimbursement and coverage to the uses of a drug that are either approved by the FDA or appear in a recognized drug compendium. Drug compendia are publications that summarize the available medical evidence for particular drug products and identify which uses of a drug are supported or not supported by the available evidence, whether or not such uses have been approved by the FDA. For example, in the case of Medicare Part D coverage for oncology drugs, the Medicare Modernization Act, with certain exceptions, provides for Medicare coverage of unapproved uses of an FDA-approved drug if the unapproved use is reasonable and necessary and is supported by one or more citations in CMS-approved compendia, such as the National Comprehensive Cancer Network Drugs and Biologics Compendium. Different pricing and reimbursement schemes exist in other countries. For example, in the European Union, governments influence the price of pharmaceutical products through their pricing and reimbursement rules and control of national health care systems that fund a large part of the cost of such products to consumers. The approach taken varies from member state to member state. Some jurisdictions operate positive or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 care costs in general, and prescription drugs in particular, has become very intense. As a result, increasingly high barriers are being erected to the entry of new products, as exemplified by the actions of the National Institute for Clinical Excellence in the United Kingdom, which evaluates the data supporting new medicines and passes reimbursement recommendations to the government. In addition, in some countries cross-border imports from low-priced markets (parallel imports) exert a commercial pressure on pricing within a country.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manufacturing strategy is to contract with third parties to manufacture the raw materials, our active pharmaceutical ingredients, or API, and finished solid dose products for clinical and ultimately commercial uses. We currently do not operate manufacturing facilities for clinical or commercial production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expect to continue to build and maintain our supply chain and quality assurance resources.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of our Products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contract with third parties to manufacture our drug candidates for clinical purposes. Third-party manufacturers supply us with raw materials, and other third-party manufacturers convert these raw materials into API or convert the API into final dosage form. For most of our drug candidates, once our raw materials are produced, we rely on one third party to manufacture the API, another to make finished drug product and a third to lyophilize, package and label the finished product. While we currently have focused on single vendors for manufacturing of peptide, formulation development, and lyophilization and vialing, there are a number of vendors we are in contact with and can also use if required.</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not be able to obtain sufficient quantities of any of our raw materials or drug candidates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which could have a material adverse effect on our business.</w:t>
      </w:r>
    </w:p>
    <w:p>
      <w:pPr>
        <w:spacing w:after="0" w:line="1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have established a quality assurance program intended to ensure that our third-party manufacturers and service providers produce materials and provide services, when applicable, in accordance with the FDA’s current Good Manufacturing Practices and other applicable regulations.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ultimately meet customer demand for commercial products will be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Manufacturers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18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While we believe there are multiple third parties capable of providing most of the materials and services we need in order to manufacture our product candidates, and that supply of materials that cannot be second-sourced can be managed with inventory planning, there is always a risk that we may underestimate demand, and that our manufacturing capacity through third-party manufacturers may not be sufficient.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Supplies and Materials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third-party manufacturers need access to certain supplies and products to manufacture our drug candidates. If delivery of material from their suppliers were interrupted for any reason or if they are unable to purchase sufficient quantities of raw materials used to manufacture our drug candidates, they may be unable to supply our drug candidates in development for clinical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Since our inception, we have made substantial investments in research and technology development. During the years ended December 31, 2015 and 2014, we incurred research and development expenses of $1,711,000, and $189,000,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We currently have four full-time employees. The management team is comprised of Dr. Glynn Wilson (Chief Executive Officer,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Acting Principal Accounting Officer), a Director of Administration and a VP &amp; Chief Medical Officer (Patrick Yeramian, MD), a Senior Clinical Associate, and a Project Management Director.</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Consultants</w:t>
      </w:r>
      <w:r>
        <w:rPr>
          <w:rFonts w:ascii="Arial" w:cs="Arial" w:eastAsia="Arial" w:hAnsi="Arial"/>
          <w:sz w:val="18"/>
          <w:szCs w:val="18"/>
          <w:color w:val="auto"/>
        </w:rPr>
        <w:t>. We have consulting agreements with a number of leading academic scientists, clinicians and regulatory experts. These individuals serve as key</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or expert witnesses with respect to the imetelstat program or in legal proceedings. They also serve as important contacts for us throughout the broader scientific and clinical communities. They are distinguished individuals with expertise in numerous fields, including cellular biology, molecular biology, oncology, clinical, manufacturing and regulatory. Dr. Robert Florkiewicz, formerly an employee serving as Senior Director of Molecular Biology and Virology, is now a consultant to the Company and also serves as a strategic advisor. Dr. John Bonfiglio serves as a consultant to us and provides strategic advice as part of his services.</w:t>
      </w:r>
    </w:p>
    <w:p>
      <w:pPr>
        <w:spacing w:after="0" w:line="19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own any real estate or other properties. We lease approximately 306 square feet of space at 50 N. Laura Street, Suite 2500, Jacksonville, Florida 32202, for our principal business office on a one-year agreement due to expire on July 24, 2016. The rent is $2,500 per month. We also rent a single office at 2815 Eastlake Avenue East in Seattle, WA on a month by month agreement which expires on May 30, 2016. The monthly rent is $1,072. We expect to continue to renew this month to month arrangement for the forseeable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are not aware of any legal proceedings contemplated by any government authority or any other party involving the Company. As of the date of this prospectus, no director, officer or affiliate is (i) a party adverse to us in any legal proceeding, or (ii) has an adverse interest to us in any legal proceeding.</w:t>
      </w:r>
    </w:p>
    <w:p>
      <w:pPr>
        <w:sectPr>
          <w:pgSz w:w="11900" w:h="16838" w:orient="portrait"/>
          <w:cols w:equalWidth="0" w:num="1">
            <w:col w:w="11420"/>
          </w:cols>
          <w:pgMar w:left="240" w:top="459" w:right="239" w:bottom="1135"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135"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www.tapimmune.com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well as our proxy statements, as soon as reasonably practicable after we electronically file or furnish such materials to the Securities and Exchange Commission. Our website and the information contained therein or connected thereto are not intended to be incorporated into this prospectus.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240" w:top="459" w:right="6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FOR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traded on the Over the Counter Bulletin Board (“OTCQB”) under the symbol “TPIV” and on the Berlin and Munich Stock Exchanges under the symbol “GX1A.” The Berlin and Munich Stock Exchange listings were done without the Company’s knowledge and consent and appear to still be active.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market for our common stock is limited, volatile and sporadic. The following table sets forth, for the periods indicated, the high and low sales prices for the Company’s common stock for the quarters within 2014 and 2015, as reported on Nasdaq.com.</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52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2016</w:t>
            </w:r>
          </w:p>
        </w:tc>
        <w:tc>
          <w:tcPr>
            <w:tcW w:w="28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center"/>
              <w:ind w:left="2770"/>
              <w:spacing w:after="0"/>
              <w:rPr>
                <w:sz w:val="20"/>
                <w:szCs w:val="20"/>
                <w:color w:val="auto"/>
              </w:rPr>
            </w:pPr>
            <w:r>
              <w:rPr>
                <w:rFonts w:ascii="Arial" w:cs="Arial" w:eastAsia="Arial" w:hAnsi="Arial"/>
                <w:sz w:val="18"/>
                <w:szCs w:val="18"/>
                <w:color w:val="auto"/>
                <w:w w:val="93"/>
              </w:rPr>
              <w:t>$0.68</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2015</w:t>
            </w:r>
          </w:p>
        </w:tc>
        <w:tc>
          <w:tcPr>
            <w:tcW w:w="2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3280" w:type="dxa"/>
            <w:vAlign w:val="bottom"/>
            <w:gridSpan w:val="2"/>
          </w:tcPr>
          <w:p>
            <w:pPr>
              <w:jc w:val="center"/>
              <w:ind w:left="2770"/>
              <w:spacing w:after="0"/>
              <w:rPr>
                <w:sz w:val="20"/>
                <w:szCs w:val="20"/>
                <w:color w:val="auto"/>
              </w:rPr>
            </w:pPr>
            <w:r>
              <w:rPr>
                <w:rFonts w:ascii="Arial" w:cs="Arial" w:eastAsia="Arial" w:hAnsi="Arial"/>
                <w:sz w:val="18"/>
                <w:szCs w:val="18"/>
                <w:color w:val="auto"/>
                <w:w w:val="93"/>
              </w:rPr>
              <w:t>$0.97</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w:t>
            </w:r>
          </w:p>
        </w:tc>
        <w:tc>
          <w:tcPr>
            <w:tcW w:w="328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color w:val="auto"/>
                <w:w w:val="93"/>
              </w:rPr>
              <w:t>$1.17</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3280" w:type="dxa"/>
            <w:vAlign w:val="bottom"/>
            <w:gridSpan w:val="2"/>
          </w:tcPr>
          <w:p>
            <w:pPr>
              <w:jc w:val="center"/>
              <w:ind w:left="2770"/>
              <w:spacing w:after="0"/>
              <w:rPr>
                <w:sz w:val="20"/>
                <w:szCs w:val="20"/>
                <w:color w:val="auto"/>
              </w:rPr>
            </w:pPr>
            <w:r>
              <w:rPr>
                <w:rFonts w:ascii="Arial" w:cs="Arial" w:eastAsia="Arial" w:hAnsi="Arial"/>
                <w:sz w:val="18"/>
                <w:szCs w:val="18"/>
                <w:color w:val="auto"/>
                <w:w w:val="93"/>
              </w:rPr>
              <w:t>$1.71</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w:t>
            </w:r>
          </w:p>
        </w:tc>
        <w:tc>
          <w:tcPr>
            <w:tcW w:w="328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color w:val="auto"/>
                <w:w w:val="93"/>
              </w:rPr>
              <w:t>$0.36</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Fiscal Year 2014</w:t>
            </w: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Fourth Quarter</w:t>
            </w:r>
          </w:p>
        </w:tc>
        <w:tc>
          <w:tcPr>
            <w:tcW w:w="328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color w:val="auto"/>
                <w:w w:val="93"/>
              </w:rPr>
              <w:t>$0.32</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3280" w:type="dxa"/>
            <w:vAlign w:val="bottom"/>
            <w:gridSpan w:val="2"/>
          </w:tcPr>
          <w:p>
            <w:pPr>
              <w:jc w:val="center"/>
              <w:ind w:left="2770"/>
              <w:spacing w:after="0"/>
              <w:rPr>
                <w:sz w:val="20"/>
                <w:szCs w:val="20"/>
                <w:color w:val="auto"/>
              </w:rPr>
            </w:pPr>
            <w:r>
              <w:rPr>
                <w:rFonts w:ascii="Arial" w:cs="Arial" w:eastAsia="Arial" w:hAnsi="Arial"/>
                <w:sz w:val="18"/>
                <w:szCs w:val="18"/>
                <w:color w:val="auto"/>
                <w:w w:val="93"/>
              </w:rPr>
              <w:t>$0.66</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 Quarter</w:t>
            </w:r>
          </w:p>
        </w:tc>
        <w:tc>
          <w:tcPr>
            <w:tcW w:w="328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color w:val="auto"/>
                <w:w w:val="93"/>
              </w:rPr>
              <w:t>$1.93</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center"/>
              <w:ind w:left="2770"/>
              <w:spacing w:after="0"/>
              <w:rPr>
                <w:sz w:val="20"/>
                <w:szCs w:val="20"/>
                <w:color w:val="auto"/>
              </w:rPr>
            </w:pPr>
            <w:r>
              <w:rPr>
                <w:rFonts w:ascii="Arial" w:cs="Arial" w:eastAsia="Arial" w:hAnsi="Arial"/>
                <w:sz w:val="18"/>
                <w:szCs w:val="18"/>
                <w:color w:val="auto"/>
                <w:w w:val="93"/>
              </w:rPr>
              <w:t>$4.09</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May 10, 2016, we had 617 stockholders of record.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May 10, 2016, there were an aggregate of 55,668,529 common stock purchase warrants and stock options issued and outstanding, with exercise prices ranging between $0.10 and $25.00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equity compensation plans under which the equity securities of the Company may be issued as of December 31, 2015:</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rPr>
              <w:t>(b)</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Equity Compensation</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9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40" w:type="dxa"/>
            <w:vAlign w:val="bottom"/>
          </w:tcPr>
          <w:p>
            <w:pPr>
              <w:spacing w:after="0"/>
              <w:rPr>
                <w:sz w:val="12"/>
                <w:szCs w:val="12"/>
                <w:color w:val="auto"/>
              </w:rPr>
            </w:pPr>
          </w:p>
        </w:tc>
        <w:tc>
          <w:tcPr>
            <w:tcW w:w="17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7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4"/>
                <w:szCs w:val="14"/>
                <w:color w:val="auto"/>
              </w:rPr>
            </w:pPr>
          </w:p>
        </w:tc>
        <w:tc>
          <w:tcPr>
            <w:tcW w:w="1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Options</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82"/>
        </w:trPr>
        <w:tc>
          <w:tcPr>
            <w:tcW w:w="4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9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r>
              <w:rPr>
                <w:rFonts w:ascii="Arial" w:cs="Arial" w:eastAsia="Arial" w:hAnsi="Arial"/>
                <w:sz w:val="15"/>
                <w:szCs w:val="15"/>
                <w:color w:val="auto"/>
              </w:rPr>
              <w:t>(1)</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44,150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17.94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55,850</w:t>
            </w:r>
          </w:p>
        </w:tc>
        <w:tc>
          <w:tcPr>
            <w:tcW w:w="0" w:type="dxa"/>
            <w:vAlign w:val="bottom"/>
          </w:tcPr>
          <w:p>
            <w:pPr>
              <w:spacing w:after="0"/>
              <w:rPr>
                <w:sz w:val="1"/>
                <w:szCs w:val="1"/>
                <w:color w:val="auto"/>
              </w:rPr>
            </w:pPr>
          </w:p>
        </w:tc>
      </w:tr>
      <w:tr>
        <w:trPr>
          <w:trHeight w:val="310"/>
        </w:trPr>
        <w:tc>
          <w:tcPr>
            <w:tcW w:w="436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stockholders</w:t>
            </w:r>
            <w:r>
              <w:rPr>
                <w:rFonts w:ascii="Arial" w:cs="Arial" w:eastAsia="Arial" w:hAnsi="Arial"/>
                <w:sz w:val="15"/>
                <w:szCs w:val="15"/>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3,540,000</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0.55</w:t>
            </w:r>
          </w:p>
        </w:tc>
        <w:tc>
          <w:tcPr>
            <w:tcW w:w="1500" w:type="dxa"/>
            <w:vAlign w:val="bottom"/>
          </w:tcPr>
          <w:p>
            <w:pPr>
              <w:jc w:val="right"/>
              <w:spacing w:after="0"/>
              <w:rPr>
                <w:sz w:val="20"/>
                <w:szCs w:val="20"/>
                <w:color w:val="auto"/>
              </w:rPr>
            </w:pPr>
            <w:r>
              <w:rPr>
                <w:rFonts w:ascii="Arial" w:cs="Arial" w:eastAsia="Arial" w:hAnsi="Arial"/>
                <w:sz w:val="18"/>
                <w:szCs w:val="18"/>
                <w:color w:val="auto"/>
              </w:rPr>
              <w:t>3,460,000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3,584,150</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0.77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5"/>
          <w:szCs w:val="15"/>
          <w:i w:val="1"/>
          <w:iCs w:val="1"/>
          <w:color w:val="auto"/>
        </w:rPr>
      </w:pPr>
      <w:r>
        <w:rPr>
          <w:rFonts w:ascii="Arial" w:cs="Arial" w:eastAsia="Arial" w:hAnsi="Arial"/>
          <w:sz w:val="18"/>
          <w:szCs w:val="18"/>
          <w:i w:val="1"/>
          <w:iCs w:val="1"/>
          <w:color w:val="auto"/>
        </w:rPr>
        <w:t>Includes shares of common stock authorized for awards under the 2009 Stock Incentive Plan.</w:t>
      </w:r>
    </w:p>
    <w:p>
      <w:pPr>
        <w:spacing w:after="0" w:line="23" w:lineRule="exact"/>
        <w:rPr>
          <w:rFonts w:ascii="Arial" w:cs="Arial" w:eastAsia="Arial" w:hAnsi="Arial"/>
          <w:sz w:val="15"/>
          <w:szCs w:val="15"/>
          <w:i w:val="1"/>
          <w:iCs w:val="1"/>
          <w:color w:val="auto"/>
        </w:rPr>
      </w:pPr>
    </w:p>
    <w:p>
      <w:pPr>
        <w:ind w:left="460" w:hanging="452"/>
        <w:spacing w:after="0"/>
        <w:tabs>
          <w:tab w:leader="none" w:pos="460" w:val="left"/>
        </w:tabs>
        <w:numPr>
          <w:ilvl w:val="0"/>
          <w:numId w:val="47"/>
        </w:numPr>
        <w:rPr>
          <w:rFonts w:ascii="Arial" w:cs="Arial" w:eastAsia="Arial" w:hAnsi="Arial"/>
          <w:sz w:val="15"/>
          <w:szCs w:val="15"/>
          <w:i w:val="1"/>
          <w:iCs w:val="1"/>
          <w:color w:val="auto"/>
        </w:rPr>
      </w:pPr>
      <w:r>
        <w:rPr>
          <w:rFonts w:ascii="Arial" w:cs="Arial" w:eastAsia="Arial" w:hAnsi="Arial"/>
          <w:sz w:val="18"/>
          <w:szCs w:val="18"/>
          <w:i w:val="1"/>
          <w:iCs w:val="1"/>
          <w:color w:val="auto"/>
        </w:rPr>
        <w:t>Represents shares of common stock authorized for issuance under the 2014 Omnibus Stock Option Plan.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240" w:top="459" w:right="3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October 14, 2009, the Company adopted the 2009 Stock Incentive Plan (the “2009 Plan”). The 2009 Plan allows for the issuance of up to 100,000 common shares. Options granted under the Plan shall be at prices and for terms as determined by our Board of Directors, and may have vesting requirements as determined by our Board of Directors. The foregoing summary of the 2009 Stock Incentive Plan is not complete and is qualified in its entirety by reference to the 2009 Stock Incentive Plan, a copy of which has been filed with the SEC. To date, 44,150 options have been issued under the 2009 Plan.</w:t>
      </w:r>
    </w:p>
    <w:p>
      <w:pPr>
        <w:spacing w:after="0" w:line="15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March 19, 2014, the Board adopted the 2014 Omnibus Stock Option Plan (“2014 Plan”). The 2014 Plan allowed for grants of stock options, restricted shares, stock bonuses and other equity based awards to employees and non-employee directors of the Company.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New York Stock Exchange. Under the 2014 as originally approved, stock could be issued under the 2014 Plan as a bonus to any employee, other than executive officers of the Company and 2.0 million shares of common stock were reserved for issuance under the 2014 Plan. The 2014 Plan was amended in February 2015 to provide for grants to consultants, and again in November 2015 to (i) increase the number of shares reserved for issuance under the Plan by 5.0 million shares to</w:t>
      </w:r>
    </w:p>
    <w:p>
      <w:pPr>
        <w:spacing w:after="0" w:line="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7.0 million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 To date, 3,540,000 options have been issued under the 2014 Plan.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following discussion of our financial condition, changes in financial condition, plan of operations and results of operations should be read in conjunction with (i) our unaudited consolidated interim financial statements and related notes for the three months ended March 31, 2016, (ii) our audited consolidated financial statements as at December 31, 2015 and December 31, 2014 and (iii) the section entitled “Business”, included in this prospectus. The discussion contains forward-looking statements that involve risks, uncertainties and assumptions. Our actual results may differ materially from those anticipated in these forward-looking statements as a result of many factors. See the discussion under the heading “Forward-Looking Statements” above.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We combine a set of proprietary technologies to improve the ability of the cellular immune system to destroy diseased cells. These are peptide antigen technologies and DNA expression technologies and Polystart.</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Immuno-oncology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Foundation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24 patient Phase I clinical trial has been completed. The vaccine is well tolerated and safe and 20 out of 21 evaluable patients showed positive immune responses providing a strong rationale rational for progressing to phase II trials. GMP manufacturing for Phase II trials is progressing well towards a commercial formulation and final analyses of clinical plans are near completion. On July 27, 2015, we exercised our option agreement with Mayo Foundation with the signing of a worldwide exclusive license agreement to commercialize a proprietary folate receptor alpha vaccine technology for all cancer indications. Our obligations under this agreement are license fees ($350,000 upon signing; $100,000 on March 27, 2016 and $250,000 on June 27, 2016), clinical development and commercial milestones, and a 6% royalty on net sales. Our obligations include a $50,000 license maintenance fee starting on the second anniversary of the signing of the license. As part of this Agreement, the IND for the folate receptor alpha Phase I trial was transferred from Mayo to us for amendment for our Phase II Clinical Trials on our lead product.</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 patient Phase II Clinical Trial of Folate Receptor Alpha Vaccine in patients with Triple 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7-year market exclusivity upon receiving marketing approval. TPIV 200 is a multi-epitope peptide vaccine that targets Folate Receptor Alpha which is overexpressed in multiple cancers.</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April 21, 2016, we announced our plans to participate in a Phase 2 trial in platinum-resistant ovarian cancer at Memorial Sloan Kettering Cancer Center, New York. The aim of this trial is to test TPIV 200, in combination with durvalumab (MEDI4736), an anti-PD-L1 antibody.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Foundation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2016.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For Phase I(b)/II studies, we plan to add a Class I peptide, licensed from the Mayo Foundation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converted the previously filed U.S. Provisional Patent Application on Polystart into a full Patent Application, and will extend technology constructs as boost strategies for the current clinical programs in breast and ovarian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August 2014, January and March of 2015 and from warrants issued in connection with our January and March, 2015 financings.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2014 Financing</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August, 2014, we entered into a Securities Purchase Agreement with a single institutional investor for the sale of 1,886,792 units at a purchase price of $1.06 per unit, for a total purchase price of $1,832,500, net of finders’ fee. Each unit consists of one common share and one share purchase warrant exercisable at $1.17 for a period of 5 years.</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August, 2014, we received subscription proceeds of $265,000 for 265,000 units. Each unit consists of one share of common stock and one share purchase warrant exercisable at $2.50 for a period of 3 years. We also issued 5,250 shares of common stock as finders’ fee relating to the subscription proceeds.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January, 2015, we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w:t>
      </w:r>
    </w:p>
    <w:p>
      <w:pPr>
        <w:spacing w:after="0" w:line="2" w:lineRule="exact"/>
        <w:rPr>
          <w:sz w:val="20"/>
          <w:szCs w:val="20"/>
          <w:color w:val="auto"/>
        </w:rPr>
      </w:pPr>
    </w:p>
    <w:p>
      <w:pPr>
        <w:ind w:right="40" w:firstLine="8"/>
        <w:spacing w:after="0" w:line="252" w:lineRule="auto"/>
        <w:tabs>
          <w:tab w:leader="none" w:pos="3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a placement agent agreement, we agreed to issue warrants to purchase 366,000 common shares with substantially the same terms as the January 2015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w:t>
      </w:r>
    </w:p>
    <w:p>
      <w:pPr>
        <w:ind w:firstLine="8"/>
        <w:spacing w:after="0" w:line="295" w:lineRule="auto"/>
        <w:tabs>
          <w:tab w:leader="none" w:pos="2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w:t>
      </w:r>
    </w:p>
    <w:p>
      <w:pPr>
        <w:sectPr>
          <w:pgSz w:w="11900" w:h="16838" w:orient="portrait"/>
          <w:cols w:equalWidth="0" w:num="1">
            <w:col w:w="11360"/>
          </w:cols>
          <w:pgMar w:left="240" w:top="459" w:right="299" w:bottom="1440" w:gutter="0" w:footer="0" w:header="0"/>
        </w:sectPr>
      </w:pP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60"/>
          </w:cols>
          <w:pgMar w:left="240" w:top="459" w:right="29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a placement agent agreement, we agreed to issue warrants to purchase 125,000 common shares with substantially the same terms as the March 2015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in the January 2015 and March 2015 offerings, where:</w:t>
      </w:r>
    </w:p>
    <w:p>
      <w:pPr>
        <w:spacing w:after="0" w:line="13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$1.50 per warrant to $0.10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$0.40 per warrant to $0.20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warrant of Series B and Series B-1 existing prior to the restructuring agreement was replaced with two warrants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$1.00 per warrant to $0.50 per warrant,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warrant of Series C and Series C-1 existing prior to the restructuring agreement was replaced with two warrants of such series.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restructuring agreement, we issued an additional 7,320,000 Series B Warrants, 5,000,000 Series B-1 Warrants, 7,320,000 Series C Warrants and 5,000,000 Series C-1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Descriptions</w:t>
      </w:r>
    </w:p>
    <w:p>
      <w:pPr>
        <w:spacing w:after="0" w:line="127" w:lineRule="exact"/>
        <w:rPr>
          <w:sz w:val="20"/>
          <w:szCs w:val="20"/>
          <w:color w:val="auto"/>
        </w:rPr>
      </w:pPr>
    </w:p>
    <w:p>
      <w:pPr>
        <w:ind w:left="900" w:right="200" w:hanging="446"/>
        <w:spacing w:after="0" w:line="261"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Series A and Series A-1 Warrants. </w:t>
      </w:r>
      <w:r>
        <w:rPr>
          <w:rFonts w:ascii="Arial" w:cs="Arial" w:eastAsia="Arial" w:hAnsi="Arial"/>
          <w:sz w:val="18"/>
          <w:szCs w:val="18"/>
          <w:color w:val="auto"/>
        </w:rPr>
        <w:t>The Series A and Series A-1 Warrants have a five year term and exercise prices of $0.10. They have a</w:t>
      </w:r>
      <w:r>
        <w:rPr>
          <w:rFonts w:ascii="Arial" w:cs="Arial" w:eastAsia="Arial" w:hAnsi="Arial"/>
          <w:sz w:val="18"/>
          <w:szCs w:val="18"/>
          <w:b w:val="1"/>
          <w:bCs w:val="1"/>
          <w:color w:val="auto"/>
        </w:rPr>
        <w:t xml:space="preserve"> </w:t>
      </w:r>
      <w:r>
        <w:rPr>
          <w:rFonts w:ascii="Arial" w:cs="Arial" w:eastAsia="Arial" w:hAnsi="Arial"/>
          <w:sz w:val="18"/>
          <w:szCs w:val="18"/>
          <w:color w:val="auto"/>
        </w:rPr>
        <w:t>cashless exercise only if not freely tradable upon exercise. The Series A and Series A-1 Warrants have anti-dilution protection which provides that the exercise price of the Series A and Series A-1 warrants would adjust to the price of any securities sold by us below the warrant exercise price.</w:t>
      </w:r>
    </w:p>
    <w:p>
      <w:pPr>
        <w:spacing w:after="0" w:line="85" w:lineRule="exact"/>
        <w:rPr>
          <w:rFonts w:ascii="Arial" w:cs="Arial" w:eastAsia="Arial" w:hAnsi="Arial"/>
          <w:sz w:val="18"/>
          <w:szCs w:val="18"/>
          <w:color w:val="auto"/>
        </w:rPr>
      </w:pPr>
    </w:p>
    <w:p>
      <w:pPr>
        <w:ind w:left="900" w:right="340" w:hanging="446"/>
        <w:spacing w:after="0" w:line="282"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Series B and Series B-1 Warrants</w:t>
      </w:r>
      <w:r>
        <w:rPr>
          <w:rFonts w:ascii="Arial" w:cs="Arial" w:eastAsia="Arial" w:hAnsi="Arial"/>
          <w:sz w:val="18"/>
          <w:szCs w:val="18"/>
          <w:color w:val="auto"/>
        </w:rPr>
        <w:t>. The Series B and B-1 Warrants had a six month term and an exercise price of $0.20. These Series B and</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B-1 Warrants were exercised prior to expiration.</w:t>
      </w:r>
    </w:p>
    <w:p>
      <w:pPr>
        <w:spacing w:after="0" w:line="67" w:lineRule="exact"/>
        <w:rPr>
          <w:rFonts w:ascii="Arial" w:cs="Arial" w:eastAsia="Arial" w:hAnsi="Arial"/>
          <w:sz w:val="18"/>
          <w:szCs w:val="18"/>
          <w:color w:val="auto"/>
        </w:rPr>
      </w:pPr>
    </w:p>
    <w:p>
      <w:pPr>
        <w:ind w:left="900" w:right="120" w:hanging="446"/>
        <w:spacing w:after="0" w:line="261"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Series C and Series C-1 Warrants</w:t>
      </w:r>
      <w:r>
        <w:rPr>
          <w:rFonts w:ascii="Arial" w:cs="Arial" w:eastAsia="Arial" w:hAnsi="Arial"/>
          <w:sz w:val="18"/>
          <w:szCs w:val="18"/>
          <w:color w:val="auto"/>
        </w:rPr>
        <w:t>. The Series C and Series C-1 Warrants have a 5 year term and an exercise price of $0.50. There is a</w:t>
      </w:r>
      <w:r>
        <w:rPr>
          <w:rFonts w:ascii="Arial" w:cs="Arial" w:eastAsia="Arial" w:hAnsi="Arial"/>
          <w:sz w:val="18"/>
          <w:szCs w:val="18"/>
          <w:b w:val="1"/>
          <w:bCs w:val="1"/>
          <w:color w:val="auto"/>
        </w:rPr>
        <w:t xml:space="preserve"> </w:t>
      </w:r>
      <w:r>
        <w:rPr>
          <w:rFonts w:ascii="Arial" w:cs="Arial" w:eastAsia="Arial" w:hAnsi="Arial"/>
          <w:sz w:val="18"/>
          <w:szCs w:val="18"/>
          <w:color w:val="auto"/>
        </w:rPr>
        <w:t>mandatory exercise if the stock trades at or above $1.00 for 10 trading days. These warrants have anti-dilution protection for subsequent securities issuances by us at prices below the exercise price which would require an adjustment to the warrant exercise price (excluding warrant exercises).</w:t>
      </w:r>
    </w:p>
    <w:p>
      <w:pPr>
        <w:spacing w:after="0" w:line="85" w:lineRule="exact"/>
        <w:rPr>
          <w:rFonts w:ascii="Arial" w:cs="Arial" w:eastAsia="Arial" w:hAnsi="Arial"/>
          <w:sz w:val="18"/>
          <w:szCs w:val="18"/>
          <w:color w:val="auto"/>
        </w:rPr>
      </w:pPr>
    </w:p>
    <w:p>
      <w:pPr>
        <w:ind w:left="900" w:right="100" w:hanging="446"/>
        <w:spacing w:after="0" w:line="314"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Series D and Series D-1 Warrants. </w:t>
      </w:r>
      <w:r>
        <w:rPr>
          <w:rFonts w:ascii="Arial" w:cs="Arial" w:eastAsia="Arial" w:hAnsi="Arial"/>
          <w:sz w:val="16"/>
          <w:szCs w:val="16"/>
          <w:color w:val="auto"/>
        </w:rPr>
        <w:t>The Series D and Series D-1 Warrants have a term of 5 years from the date of the exercise of the Series B</w:t>
      </w:r>
      <w:r>
        <w:rPr>
          <w:rFonts w:ascii="Arial" w:cs="Arial" w:eastAsia="Arial" w:hAnsi="Arial"/>
          <w:sz w:val="16"/>
          <w:szCs w:val="16"/>
          <w:b w:val="1"/>
          <w:bCs w:val="1"/>
          <w:color w:val="auto"/>
        </w:rPr>
        <w:t xml:space="preserve"> </w:t>
      </w:r>
      <w:r>
        <w:rPr>
          <w:rFonts w:ascii="Arial" w:cs="Arial" w:eastAsia="Arial" w:hAnsi="Arial"/>
          <w:sz w:val="16"/>
          <w:szCs w:val="16"/>
          <w:color w:val="auto"/>
        </w:rPr>
        <w:t>and Series B-1 Warrants and an exercise price of $0.75. These warrants have anti-dilution protection for subsequent securities issuances by us at prices below the exercise price which would require an adjustment to the warrant exercise price (excluding warrant exercises).</w:t>
      </w:r>
    </w:p>
    <w:p>
      <w:pPr>
        <w:spacing w:after="0" w:line="47" w:lineRule="exact"/>
        <w:rPr>
          <w:rFonts w:ascii="Arial" w:cs="Arial" w:eastAsia="Arial" w:hAnsi="Arial"/>
          <w:sz w:val="16"/>
          <w:szCs w:val="16"/>
          <w:color w:val="auto"/>
        </w:rPr>
      </w:pPr>
    </w:p>
    <w:p>
      <w:pPr>
        <w:ind w:left="900" w:hanging="446"/>
        <w:spacing w:after="0" w:line="314"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Series E and Series E-1 Warrants. </w:t>
      </w:r>
      <w:r>
        <w:rPr>
          <w:rFonts w:ascii="Arial" w:cs="Arial" w:eastAsia="Arial" w:hAnsi="Arial"/>
          <w:sz w:val="16"/>
          <w:szCs w:val="16"/>
          <w:color w:val="auto"/>
        </w:rPr>
        <w:t>The Series E and Series E-1 warrants have a term of 5 years from the date of the exercise of the Series C and</w:t>
      </w:r>
      <w:r>
        <w:rPr>
          <w:rFonts w:ascii="Arial" w:cs="Arial" w:eastAsia="Arial" w:hAnsi="Arial"/>
          <w:sz w:val="16"/>
          <w:szCs w:val="16"/>
          <w:b w:val="1"/>
          <w:bCs w:val="1"/>
          <w:color w:val="auto"/>
        </w:rPr>
        <w:t xml:space="preserve"> </w:t>
      </w:r>
      <w:r>
        <w:rPr>
          <w:rFonts w:ascii="Arial" w:cs="Arial" w:eastAsia="Arial" w:hAnsi="Arial"/>
          <w:sz w:val="16"/>
          <w:szCs w:val="16"/>
          <w:color w:val="auto"/>
        </w:rPr>
        <w:t>Series C-1 Warrants and an exercise price of $1.25. These warrants have anti-dilution protection for subsequent securities issuances by us at prices below the exercise price which would require an adjustment to the warrant exercise price (excluding warrant exercises).</w:t>
      </w:r>
    </w:p>
    <w:p>
      <w:pPr>
        <w:spacing w:after="0" w:line="47" w:lineRule="exact"/>
        <w:rPr>
          <w:rFonts w:ascii="Arial" w:cs="Arial" w:eastAsia="Arial" w:hAnsi="Arial"/>
          <w:sz w:val="16"/>
          <w:szCs w:val="16"/>
          <w:color w:val="auto"/>
        </w:rPr>
      </w:pPr>
    </w:p>
    <w:p>
      <w:pPr>
        <w:ind w:left="900" w:right="60" w:hanging="446"/>
        <w:spacing w:after="0" w:line="293"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Warrant Holder Contingent Put Right. </w:t>
      </w:r>
      <w:r>
        <w:rPr>
          <w:rFonts w:ascii="Arial" w:cs="Arial" w:eastAsia="Arial" w:hAnsi="Arial"/>
          <w:sz w:val="16"/>
          <w:szCs w:val="16"/>
          <w:color w:val="auto"/>
        </w:rPr>
        <w:t>Each of the warrants provide that at the request of a Warrant holder delivered at any time commencing</w:t>
      </w:r>
      <w:r>
        <w:rPr>
          <w:rFonts w:ascii="Arial" w:cs="Arial" w:eastAsia="Arial" w:hAnsi="Arial"/>
          <w:sz w:val="16"/>
          <w:szCs w:val="16"/>
          <w:b w:val="1"/>
          <w:bCs w:val="1"/>
          <w:color w:val="auto"/>
        </w:rPr>
        <w:t xml:space="preserve"> </w:t>
      </w:r>
      <w:r>
        <w:rPr>
          <w:rFonts w:ascii="Arial" w:cs="Arial" w:eastAsia="Arial" w:hAnsi="Arial"/>
          <w:sz w:val="16"/>
          <w:szCs w:val="16"/>
          <w:color w:val="auto"/>
        </w:rPr>
        <w:t>on the earliest to occur of (x) the public disclosure of any Fundamental Transaction, (y) the consummation of any Fundamental Transaction and</w:t>
      </w:r>
    </w:p>
    <w:p>
      <w:pPr>
        <w:spacing w:after="0" w:line="1" w:lineRule="exact"/>
        <w:rPr>
          <w:rFonts w:ascii="Arial" w:cs="Arial" w:eastAsia="Arial" w:hAnsi="Arial"/>
          <w:sz w:val="16"/>
          <w:szCs w:val="16"/>
          <w:color w:val="auto"/>
        </w:rPr>
      </w:pPr>
    </w:p>
    <w:p>
      <w:pPr>
        <w:jc w:val="both"/>
        <w:ind w:left="900" w:right="20" w:hanging="1"/>
        <w:spacing w:after="0" w:line="254" w:lineRule="auto"/>
        <w:tabs>
          <w:tab w:leader="none" w:pos="11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such Warrant holder first becoming aware of any Fundamental Transaction through the date that is ninety (90) days after the public disclosure of the consummation of such Fundamental Transaction by the Company, the Company or the successor entity (as the case may be) shall purchase the Warrant from such Warrant holder on the date of such request by paying to the holder cash in an amount equal to the Black Scholes Value. A </w:t>
      </w:r>
      <w:r>
        <w:rPr>
          <w:rFonts w:ascii="Arial" w:cs="Arial" w:eastAsia="Arial" w:hAnsi="Arial"/>
          <w:sz w:val="18"/>
          <w:szCs w:val="18"/>
          <w:b w:val="1"/>
          <w:bCs w:val="1"/>
          <w:color w:val="auto"/>
        </w:rPr>
        <w:t xml:space="preserve">Fundamental Transaction </w:t>
      </w:r>
      <w:r>
        <w:rPr>
          <w:rFonts w:ascii="Arial" w:cs="Arial" w:eastAsia="Arial" w:hAnsi="Arial"/>
          <w:sz w:val="18"/>
          <w:szCs w:val="18"/>
          <w:color w:val="auto"/>
        </w:rPr>
        <w:t>means:</w:t>
      </w:r>
    </w:p>
    <w:p>
      <w:pPr>
        <w:spacing w:after="0" w:line="189" w:lineRule="exact"/>
        <w:rPr>
          <w:rFonts w:ascii="Arial" w:cs="Arial" w:eastAsia="Arial" w:hAnsi="Arial"/>
          <w:sz w:val="18"/>
          <w:szCs w:val="18"/>
          <w:color w:val="auto"/>
        </w:rPr>
      </w:pPr>
    </w:p>
    <w:p>
      <w:pPr>
        <w:ind w:left="1700" w:hanging="208"/>
        <w:spacing w:after="0"/>
        <w:tabs>
          <w:tab w:leader="none" w:pos="170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Company or any of its Subsidiaries shall, directly or indirectly, in one or more related transactions,</w:t>
      </w:r>
    </w:p>
    <w:p>
      <w:pPr>
        <w:spacing w:after="0" w:line="117" w:lineRule="exact"/>
        <w:rPr>
          <w:rFonts w:ascii="Arial" w:cs="Arial" w:eastAsia="Arial" w:hAnsi="Arial"/>
          <w:sz w:val="18"/>
          <w:szCs w:val="18"/>
          <w:color w:val="auto"/>
        </w:rPr>
      </w:pPr>
    </w:p>
    <w:p>
      <w:pPr>
        <w:ind w:left="1500" w:right="40" w:firstLine="389"/>
        <w:spacing w:after="0" w:line="277" w:lineRule="auto"/>
        <w:tabs>
          <w:tab w:leader="none" w:pos="21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consolidate or merge with or into (whether or not the Company or any of its Subsidiaries is the surviving corporation) any other Person, or</w:t>
      </w:r>
    </w:p>
    <w:p>
      <w:pPr>
        <w:spacing w:after="0" w:line="62" w:lineRule="exact"/>
        <w:rPr>
          <w:rFonts w:ascii="Arial" w:cs="Arial" w:eastAsia="Arial" w:hAnsi="Arial"/>
          <w:sz w:val="18"/>
          <w:szCs w:val="18"/>
          <w:color w:val="auto"/>
        </w:rPr>
      </w:pPr>
    </w:p>
    <w:p>
      <w:pPr>
        <w:ind w:left="1500" w:right="60" w:firstLine="389"/>
        <w:spacing w:after="0" w:line="277" w:lineRule="auto"/>
        <w:tabs>
          <w:tab w:leader="none" w:pos="2152" w:val="left"/>
        </w:tabs>
        <w:numPr>
          <w:ilvl w:val="3"/>
          <w:numId w:val="51"/>
        </w:numPr>
        <w:rPr>
          <w:rFonts w:ascii="Arial" w:cs="Arial" w:eastAsia="Arial" w:hAnsi="Arial"/>
          <w:sz w:val="18"/>
          <w:szCs w:val="18"/>
          <w:color w:val="auto"/>
        </w:rPr>
      </w:pPr>
      <w:r>
        <w:rPr>
          <w:rFonts w:ascii="Arial" w:cs="Arial" w:eastAsia="Arial" w:hAnsi="Arial"/>
          <w:sz w:val="18"/>
          <w:szCs w:val="18"/>
          <w:color w:val="auto"/>
        </w:rPr>
        <w:t>sell, lease, license, assign, transfer, convey or otherwise dispose of all or substantially all of its respective properties or assets to any other Person,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right="200" w:firstLine="389"/>
        <w:spacing w:after="0" w:line="312" w:lineRule="auto"/>
        <w:tabs>
          <w:tab w:leader="none" w:pos="21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w:t>
      </w:r>
    </w:p>
    <w:p>
      <w:pPr>
        <w:spacing w:after="0" w:line="38" w:lineRule="exact"/>
        <w:rPr>
          <w:rFonts w:ascii="Arial" w:cs="Arial" w:eastAsia="Arial" w:hAnsi="Arial"/>
          <w:sz w:val="16"/>
          <w:szCs w:val="16"/>
          <w:color w:val="auto"/>
        </w:rPr>
      </w:pPr>
    </w:p>
    <w:p>
      <w:pPr>
        <w:ind w:left="1500" w:right="40" w:firstLine="389"/>
        <w:spacing w:after="0" w:line="257" w:lineRule="auto"/>
        <w:tabs>
          <w:tab w:leader="none" w:pos="21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w:t>
      </w:r>
    </w:p>
    <w:p>
      <w:pPr>
        <w:spacing w:after="0" w:line="80" w:lineRule="exact"/>
        <w:rPr>
          <w:rFonts w:ascii="Arial" w:cs="Arial" w:eastAsia="Arial" w:hAnsi="Arial"/>
          <w:sz w:val="18"/>
          <w:szCs w:val="18"/>
          <w:color w:val="auto"/>
        </w:rPr>
      </w:pPr>
    </w:p>
    <w:p>
      <w:pPr>
        <w:ind w:left="2140" w:hanging="251"/>
        <w:spacing w:after="0"/>
        <w:tabs>
          <w:tab w:leader="none" w:pos="2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reorganize, recapitalize or reclassify the common stock,</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(II) effect or consummate a stock combination, reverse stock split or other similar transaction involving the common stock or</w:t>
      </w:r>
    </w:p>
    <w:p>
      <w:pPr>
        <w:spacing w:after="0" w:line="140" w:lineRule="exact"/>
        <w:rPr>
          <w:sz w:val="20"/>
          <w:szCs w:val="20"/>
          <w:color w:val="auto"/>
        </w:rPr>
      </w:pPr>
    </w:p>
    <w:p>
      <w:pPr>
        <w:ind w:left="1940" w:right="20" w:firstLine="387"/>
        <w:spacing w:after="0" w:line="276" w:lineRule="auto"/>
        <w:tabs>
          <w:tab w:leader="none" w:pos="2663" w:val="left"/>
        </w:tabs>
        <w:numPr>
          <w:ilvl w:val="1"/>
          <w:numId w:val="53"/>
        </w:numPr>
        <w:rPr>
          <w:rFonts w:ascii="Arial" w:cs="Arial" w:eastAsia="Arial" w:hAnsi="Arial"/>
          <w:sz w:val="17"/>
          <w:szCs w:val="17"/>
          <w:color w:val="auto"/>
        </w:rPr>
      </w:pPr>
      <w:r>
        <w:rPr>
          <w:rFonts w:ascii="Arial" w:cs="Arial" w:eastAsia="Arial" w:hAnsi="Arial"/>
          <w:sz w:val="17"/>
          <w:szCs w:val="17"/>
          <w:color w:val="auto"/>
        </w:rPr>
        <w:t>make any public announcement or disclosure with respect to any stock combination, reverse stock split or other similar transaction involving the common stock (including, without limitation, any public announcement or disclosure of (x) any potential, possible or actual stock combination, reverse stock split or other similar transaction involving the common stock or (y) board or stockholder approval thereof, or the intention of the Company to seek board or stockholder approval of any stock combination, reverse stock split or other similar transaction involving the common stock), or</w:t>
      </w:r>
    </w:p>
    <w:p>
      <w:pPr>
        <w:spacing w:after="0" w:line="64" w:lineRule="exact"/>
        <w:rPr>
          <w:rFonts w:ascii="Arial" w:cs="Arial" w:eastAsia="Arial" w:hAnsi="Arial"/>
          <w:sz w:val="17"/>
          <w:szCs w:val="17"/>
          <w:color w:val="auto"/>
        </w:rPr>
      </w:pPr>
    </w:p>
    <w:p>
      <w:pPr>
        <w:ind w:left="920" w:right="60" w:firstLine="421"/>
        <w:spacing w:after="0" w:line="286" w:lineRule="auto"/>
        <w:tabs>
          <w:tab w:leader="none" w:pos="160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57" w:lineRule="exact"/>
        <w:rPr>
          <w:sz w:val="20"/>
          <w:szCs w:val="20"/>
          <w:color w:val="auto"/>
        </w:rPr>
      </w:pPr>
    </w:p>
    <w:p>
      <w:pPr>
        <w:ind w:left="920" w:right="300"/>
        <w:spacing w:after="0" w:line="264" w:lineRule="auto"/>
        <w:rPr>
          <w:sz w:val="20"/>
          <w:szCs w:val="20"/>
          <w:color w:val="auto"/>
        </w:rPr>
      </w:pPr>
      <w:r>
        <w:rPr>
          <w:rFonts w:ascii="Arial" w:cs="Arial" w:eastAsia="Arial" w:hAnsi="Arial"/>
          <w:sz w:val="18"/>
          <w:szCs w:val="18"/>
          <w:color w:val="auto"/>
        </w:rPr>
        <w:t>Assuming a Fundamental Transaction occurs we estimate, using the Black Scholes value method required by the terms of the warrants and assuming all warrant holders exercise their rights to require us to purchase their warrants, the aggregate amount we would be obligated to pay would be approximately $26 million.</w:t>
      </w:r>
    </w:p>
    <w:p>
      <w:pPr>
        <w:spacing w:after="0" w:line="87" w:lineRule="exact"/>
        <w:rPr>
          <w:sz w:val="20"/>
          <w:szCs w:val="20"/>
          <w:color w:val="auto"/>
        </w:rPr>
      </w:pPr>
    </w:p>
    <w:p>
      <w:pPr>
        <w:ind w:left="900" w:right="20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Variable Rate Transaction Prohibition</w:t>
      </w:r>
      <w:r>
        <w:rPr>
          <w:rFonts w:ascii="Arial" w:cs="Arial" w:eastAsia="Arial" w:hAnsi="Arial"/>
          <w:sz w:val="18"/>
          <w:szCs w:val="18"/>
          <w:color w:val="auto"/>
        </w:rPr>
        <w:t>. During the two year period commencing on the closing date under both the January 2015 and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2015 Financings (dated January 12, 2015 and March 9, 2015, respectively), the Company and each subsidiary are prohibited from entering into an agreement related to any subsequent issuance of securities involving a Variable Rate Transaction. A </w:t>
      </w:r>
      <w:r>
        <w:rPr>
          <w:rFonts w:ascii="Arial" w:cs="Arial" w:eastAsia="Arial" w:hAnsi="Arial"/>
          <w:sz w:val="18"/>
          <w:szCs w:val="18"/>
          <w:b w:val="1"/>
          <w:bCs w:val="1"/>
          <w:color w:val="auto"/>
        </w:rPr>
        <w:t>Variable Rate Transaction</w:t>
      </w:r>
      <w:r>
        <w:rPr>
          <w:rFonts w:ascii="Arial" w:cs="Arial" w:eastAsia="Arial" w:hAnsi="Arial"/>
          <w:sz w:val="18"/>
          <w:szCs w:val="18"/>
          <w:color w:val="auto"/>
        </w:rPr>
        <w:t xml:space="preserve"> means: a transaction in which the Company or any subsidiary:</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issues or sells any securities convertible into shares of common stock either</w:t>
      </w:r>
    </w:p>
    <w:p>
      <w:pPr>
        <w:spacing w:after="0" w:line="117" w:lineRule="exact"/>
        <w:rPr>
          <w:rFonts w:ascii="Arial" w:cs="Arial" w:eastAsia="Arial" w:hAnsi="Arial"/>
          <w:sz w:val="18"/>
          <w:szCs w:val="18"/>
          <w:color w:val="auto"/>
        </w:rPr>
      </w:pPr>
    </w:p>
    <w:p>
      <w:pPr>
        <w:ind w:left="920" w:firstLine="421"/>
        <w:spacing w:after="0" w:line="277" w:lineRule="auto"/>
        <w:tabs>
          <w:tab w:leader="none" w:pos="1635" w:val="left"/>
        </w:tabs>
        <w:numPr>
          <w:ilvl w:val="3"/>
          <w:numId w:val="55"/>
        </w:numPr>
        <w:rPr>
          <w:rFonts w:ascii="Arial" w:cs="Arial" w:eastAsia="Arial" w:hAnsi="Arial"/>
          <w:sz w:val="18"/>
          <w:szCs w:val="18"/>
          <w:color w:val="auto"/>
        </w:rPr>
      </w:pPr>
      <w:r>
        <w:rPr>
          <w:rFonts w:ascii="Arial" w:cs="Arial" w:eastAsia="Arial" w:hAnsi="Arial"/>
          <w:sz w:val="18"/>
          <w:szCs w:val="18"/>
          <w:color w:val="auto"/>
        </w:rPr>
        <w:t>at a conversion, exercise or exchange rate or other price that is based upon and/or varies with the trading prices of, or quotations for, the shares of common stock at any time after the initial issuance of such convertible securities, or</w:t>
      </w:r>
    </w:p>
    <w:p>
      <w:pPr>
        <w:spacing w:after="0" w:line="62" w:lineRule="exact"/>
        <w:rPr>
          <w:rFonts w:ascii="Arial" w:cs="Arial" w:eastAsia="Arial" w:hAnsi="Arial"/>
          <w:sz w:val="18"/>
          <w:szCs w:val="18"/>
          <w:color w:val="auto"/>
        </w:rPr>
      </w:pPr>
    </w:p>
    <w:p>
      <w:pPr>
        <w:ind w:left="920" w:right="240" w:firstLine="421"/>
        <w:spacing w:after="0" w:line="286" w:lineRule="auto"/>
        <w:tabs>
          <w:tab w:leader="none" w:pos="1625" w:val="left"/>
        </w:tabs>
        <w:numPr>
          <w:ilvl w:val="3"/>
          <w:numId w:val="55"/>
        </w:numPr>
        <w:rPr>
          <w:rFonts w:ascii="Arial" w:cs="Arial" w:eastAsia="Arial" w:hAnsi="Arial"/>
          <w:sz w:val="17"/>
          <w:szCs w:val="17"/>
          <w:color w:val="auto"/>
        </w:rPr>
      </w:pPr>
      <w:r>
        <w:rPr>
          <w:rFonts w:ascii="Arial" w:cs="Arial" w:eastAsia="Arial" w:hAnsi="Arial"/>
          <w:sz w:val="17"/>
          <w:szCs w:val="17"/>
          <w:color w:val="auto"/>
        </w:rPr>
        <w:t>with a conversion, exercise or exchange price that is subject to being reset at some future date after the initial issuance of such convertible securities or upon the occurrence of specified contingent events directly or indirectly related to the business of the Company or the market for the common stock, other than pursuant to a customary “weighted average” anti-dilution provision or</w:t>
      </w:r>
    </w:p>
    <w:p>
      <w:pPr>
        <w:spacing w:after="0" w:line="57" w:lineRule="exact"/>
        <w:rPr>
          <w:rFonts w:ascii="Arial" w:cs="Arial" w:eastAsia="Arial" w:hAnsi="Arial"/>
          <w:sz w:val="17"/>
          <w:szCs w:val="17"/>
          <w:color w:val="auto"/>
        </w:rPr>
      </w:pPr>
    </w:p>
    <w:p>
      <w:pPr>
        <w:ind w:left="920" w:right="100" w:firstLine="1"/>
        <w:spacing w:after="0" w:line="277" w:lineRule="auto"/>
        <w:tabs>
          <w:tab w:leader="none" w:pos="1185" w:val="left"/>
        </w:tabs>
        <w:numPr>
          <w:ilvl w:val="2"/>
          <w:numId w:val="55"/>
        </w:numPr>
        <w:rPr>
          <w:rFonts w:ascii="Arial" w:cs="Arial" w:eastAsia="Arial" w:hAnsi="Arial"/>
          <w:sz w:val="18"/>
          <w:szCs w:val="18"/>
          <w:color w:val="auto"/>
        </w:rPr>
      </w:pPr>
      <w:r>
        <w:rPr>
          <w:rFonts w:ascii="Arial" w:cs="Arial" w:eastAsia="Arial" w:hAnsi="Arial"/>
          <w:sz w:val="18"/>
          <w:szCs w:val="18"/>
          <w:color w:val="auto"/>
        </w:rPr>
        <w:t>enters into any agreement (including, without limitation, an equity line of credit) whereby the Company or any subsidiary may sell securities at a future determined price (other than standard and customary “preemptive” or “participation” rights).</w:t>
      </w:r>
    </w:p>
    <w:p>
      <w:pPr>
        <w:spacing w:after="0" w:line="75"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Failure to Timely Deliver Securities. </w:t>
      </w:r>
      <w:r>
        <w:rPr>
          <w:rFonts w:ascii="Arial" w:cs="Arial" w:eastAsia="Arial" w:hAnsi="Arial"/>
          <w:sz w:val="16"/>
          <w:szCs w:val="16"/>
          <w:color w:val="auto"/>
        </w:rPr>
        <w:t>If we fail, to issue to a warrant holder within three (3) trading days after receipt of the applicable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a certificate for the number of shares of our common stock to which the warrant holder is entitled upon the holder’s exercise of the warrant, then, in addition to all other remedies available to the warrant holder, we shall pay in cash to the holder on each trading day after such third (3rd) trading day that the issuance of such shares of our common stock is not timely effected an amount equal to 1% of the product of</w:t>
      </w:r>
    </w:p>
    <w:p>
      <w:pPr>
        <w:spacing w:after="0" w:line="1" w:lineRule="exact"/>
        <w:rPr>
          <w:rFonts w:ascii="Arial" w:cs="Arial" w:eastAsia="Arial" w:hAnsi="Arial"/>
          <w:sz w:val="16"/>
          <w:szCs w:val="16"/>
          <w:color w:val="auto"/>
        </w:rPr>
      </w:pPr>
    </w:p>
    <w:p>
      <w:pPr>
        <w:ind w:left="900" w:right="40"/>
        <w:spacing w:after="0" w:line="268" w:lineRule="auto"/>
        <w:rPr>
          <w:rFonts w:ascii="Arial" w:cs="Arial" w:eastAsia="Arial" w:hAnsi="Arial"/>
          <w:sz w:val="16"/>
          <w:szCs w:val="16"/>
          <w:color w:val="auto"/>
        </w:rPr>
      </w:pPr>
      <w:r>
        <w:rPr>
          <w:rFonts w:ascii="Arial" w:cs="Arial" w:eastAsia="Arial" w:hAnsi="Arial"/>
          <w:sz w:val="17"/>
          <w:szCs w:val="17"/>
          <w:color w:val="auto"/>
        </w:rPr>
        <w:t>(A) the aggregate number of shares of our common stock not issued to the warrant holder on a timely basis and to which the warrant holder is entitled and (B) the closing sale price of our common stock on the trading day immediately preceding the last possible date on which we could have issued such shares of our common stock to the warrant holder without violating the exercise provision of the warrant. In addition, if within three (3) trading days after our receipt of the applicable exercise notice, we shall fail to issue and deliver a certificate to the warrant holder without restrictive legend to which the holder is entitled upon the holder’s exercise, and (Y) on or after such third (3rd ) trading day the warrant holder purchases (in an open market transaction or otherwise) shares of our common stock to deliver in satisfaction of a sale by the warrant holder of all or any portion of the number of shares of our common stock, or a sale of a number of shares of our common stock equal to all or any portion of the number of shares of our common stock, issuable upon such exercise that the warrant holder so anticipated receiving from us, then, in addition to all other remedies available to the warrant holder, we shall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within three (3) business days after the holder’s request and in the holder’s discretion, either (i) pay cash to the warrant holder in an amount equal to the warrant holder’s total purchase price (including brokerage commissions and reasonable out-of-pocket expenses, if any) for the shares of our common stock so purchased (the “Buy-In Price”), at which point our obligation to so issue and deliver such certificate or credit the warrant holder’s balance account with DTC for the number of shares of our common stock to which the warrant holder is entitled upon the holder’s exercise hereunder (as the case may be) (and to issue such shares of our common stock) shall terminate, or (ii) promptly honor our obligation to so issue and deliver to the warrant holder a certificate or certificates representing such shares of our common stock or credit the holder’s balance account with DTC for the number of shares of common stock to which the holder is entitled upon the warrant holder’s exercise and pay cash to the holder in an amount equal to the excess (if any) of the Buy-In Price over the product of (A) such number of shares of common stock multiplied by (B) “B” as set out in the formula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Highlights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Company Headquarters</w:t>
      </w:r>
      <w:r>
        <w:rPr>
          <w:rFonts w:ascii="Arial" w:cs="Arial" w:eastAsia="Arial" w:hAnsi="Arial"/>
          <w:sz w:val="18"/>
          <w:szCs w:val="18"/>
          <w:color w:val="auto"/>
        </w:rPr>
        <w:t>. In August 2015, we relocated our headquarters from Seattle, Washington to Jacksonville, Florida to be in closer proximity to our</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clinical development collaborators at the Mayo Foundation in Jacksonville and two key advisors (Business &amp; Clinical) who are resident in Florida.</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Option Plan Amendment. On November 6, 2015, the Board of Directors approved an amendment to the Company’s 2014 Omnibus Stock Ownership Plan which provided for an increase in the number of shares reserved for issuance under the Plan by 5 million shares to 7 million shares.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Board Expansion. We added three new directors Mr. David Laskow-Pooley on March 19, 2015, Dr. John Bonfiglio on July 23, 2015 and Mr. Frederick 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Wasserman on January 27, 2016, to add experience in various strategic areas.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Employment Agreement</w:t>
      </w:r>
      <w:r>
        <w:rPr>
          <w:rFonts w:ascii="Arial" w:cs="Arial" w:eastAsia="Arial" w:hAnsi="Arial"/>
          <w:sz w:val="18"/>
          <w:szCs w:val="18"/>
          <w:color w:val="auto"/>
        </w:rPr>
        <w:t>. On November 12, 2015, we entered into a new employment agreement with our Chief Executive Officer that has been responsible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continued operations over many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Mayo License. </w:t>
      </w:r>
      <w:r>
        <w:rPr>
          <w:rFonts w:ascii="Arial" w:cs="Arial" w:eastAsia="Arial" w:hAnsi="Arial"/>
          <w:sz w:val="18"/>
          <w:szCs w:val="18"/>
          <w:color w:val="auto"/>
        </w:rPr>
        <w:t>On July 21, 2015 we exercised our option regarding the Mayo license.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Polystart Patent. </w:t>
      </w:r>
      <w:r>
        <w:rPr>
          <w:rFonts w:ascii="Arial" w:cs="Arial" w:eastAsia="Arial" w:hAnsi="Arial"/>
          <w:sz w:val="18"/>
          <w:szCs w:val="18"/>
          <w:color w:val="auto"/>
        </w:rPr>
        <w:t>On February 11, 2016 the United States Patent and Trademark Office issued a Notice of Allowance.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Phase 1 Trials. </w:t>
      </w:r>
      <w:r>
        <w:rPr>
          <w:rFonts w:ascii="Arial" w:cs="Arial" w:eastAsia="Arial" w:hAnsi="Arial"/>
          <w:sz w:val="18"/>
          <w:szCs w:val="18"/>
          <w:color w:val="auto"/>
        </w:rPr>
        <w:t>Phase I trials on our HER2/neu vaccine (TPIV 100) and our Folate Receptor Alpha vaccine (TPIV 200 were successfully completed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Mayo Clinic. The results on both vaccines provide the rationale for starting Phase II clinical activities.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Fast Track Designation. </w:t>
      </w:r>
      <w:r>
        <w:rPr>
          <w:rFonts w:ascii="Arial" w:cs="Arial" w:eastAsia="Arial" w:hAnsi="Arial"/>
          <w:sz w:val="18"/>
          <w:szCs w:val="18"/>
          <w:color w:val="auto"/>
        </w:rPr>
        <w:t>On February 3, 2016 we announced that that the U.S. Food &amp; Drug Administration (FDA) has granted Fast Track Designation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cancer vaccine TPIV 200 in the treatment of ovarian cancer.</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7, 2016, the Company announced that it has successfully completed formulation development, scale-up, GMP (Good Manufacturing Practice) manufacturing, and the release of TPIV 200, its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 negative breast cancer and ovarian cancer.</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21, 2016, we announced our plans to participate in a Phase 2 trial in platinum-resistant ovarian cancer at Memorial Sloan Kettering Cancer Center, New York. The aim of this trial is to test TPIV 200, in combination with durvalumab (MEDI4736), an anti-PD-L1 antibody.</w:t>
      </w:r>
    </w:p>
    <w:p>
      <w:pPr>
        <w:spacing w:after="0" w:line="17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On May 19, 2016, we announced that we had exercised our option with Mayo Foundation to license a proprietary MHC Class I HER2/neu antigen technology, and entered into a license and assignment agreement (the “Agreement”) with Mayo Foundation. See “Prospectus Summary – Products and Technology in Development – Mayo Foundation for Medical Education and Research Relationships – Mayo HER2/new License” above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will be totally funded by a $13.3 million grant from the US Department of Defense to our collaborators at the Mayo Foundation in Jacksonville, FL. We believe that our development pipeline is strong and provides us the opportunity to continue to expand on collaborations with leading institutions and corporations.</w:t>
      </w:r>
    </w:p>
    <w:p>
      <w:pPr>
        <w:spacing w:after="0" w:line="18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strength of our science and development approaches is becoming more widely appreciated, particularly as our clinical program has now generated positive interim data on both clinical programs in Breast and Ovarian Cancer. We continue discussions with a major pharmaceutical organization and a leading US cancer institute on a Phase II clinical trial in ovarian cancer using our folate receptor alpha vaccine in combination with a checkpoint inhibitor.</w:t>
      </w:r>
    </w:p>
    <w:p>
      <w:pPr>
        <w:sectPr>
          <w:pgSz w:w="11900" w:h="16838" w:orient="portrait"/>
          <w:cols w:equalWidth="0" w:num="1">
            <w:col w:w="11400"/>
          </w:cols>
          <w:pgMar w:left="240" w:top="459" w:right="25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45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will also continue to prosecute our Polystart patent filings and develop new constructs to facilitate collaborative efforts in our current clinical indications and those where others have already indicated interest in combination therapies.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us to capitalize on the acceptance of immunotherapy as a leading therapeutic strategy in cancer and infectious disease resulting in increasing valuations in the market.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need significant additional funding to carry out our business plan. See “Future Capital Requirements” below for a discussion of our anticipated future capital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and breast and ovarian cancer have been completed and strong immune responses in over 90% of patients treated has provided the rationale and catalyst to advance these programs to Phase II clinical trials in 2016.</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to the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With respect to validation of our technologies, it is important to note that the majority of our technologies have been published in leading peer-reviewed journals and we believe that the recent grant award from the US Department of Defense to the Mayo Foundation is a validation of our approach.</w:t>
      </w:r>
    </w:p>
    <w:p>
      <w:pPr>
        <w:spacing w:after="0" w:line="17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w:t>
      </w:r>
      <w:r>
        <w:rPr>
          <w:rFonts w:ascii="Arial" w:cs="Arial" w:eastAsia="Arial" w:hAnsi="Arial"/>
          <w:sz w:val="15"/>
          <w:szCs w:val="15"/>
          <w:color w:val="auto"/>
        </w:rPr>
        <w:t>®</w:t>
      </w:r>
      <w:r>
        <w:rPr>
          <w:rFonts w:ascii="Arial" w:cs="Arial" w:eastAsia="Arial" w:hAnsi="Arial"/>
          <w:sz w:val="18"/>
          <w:szCs w:val="18"/>
          <w:color w:val="auto"/>
        </w:rPr>
        <w:t xml:space="preserv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Preparation of our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and accrued liabilities. Matters impacting our ability to continue as a going concern and contingencies also involve the use of estimates and assumptions.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certain of our financial instruments, including cash and cash equivalents, accrued compensation, and other accrued liabilities, approximate cost because of their short maturities. We measure the fair value of certain of our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92" w:lineRule="exact"/>
        <w:rPr>
          <w:sz w:val="20"/>
          <w:szCs w:val="20"/>
          <w:color w:val="auto"/>
        </w:rPr>
      </w:pPr>
    </w:p>
    <w:p>
      <w:pPr>
        <w:ind w:left="1920" w:hanging="440"/>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130" w:lineRule="exact"/>
        <w:rPr>
          <w:rFonts w:ascii="Arial" w:cs="Arial" w:eastAsia="Arial" w:hAnsi="Arial"/>
          <w:sz w:val="18"/>
          <w:szCs w:val="18"/>
          <w:color w:val="auto"/>
        </w:rPr>
      </w:pPr>
    </w:p>
    <w:p>
      <w:pPr>
        <w:ind w:left="1920" w:right="380" w:hanging="440"/>
        <w:spacing w:after="0" w:line="286" w:lineRule="auto"/>
        <w:tabs>
          <w:tab w:leader="none" w:pos="19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1920" w:right="80" w:hanging="440"/>
        <w:spacing w:after="0" w:line="277" w:lineRule="auto"/>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our stock-based awards are expected to be outstanding based on the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We compute stock price volatility over expected terms based on our historical common stock trading prices.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We base the risk-free interest rate on the implied yield available on U.S. Treasury zero-coupon issues with an equivalent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term.</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We have never declared or paid any cash dividends on our common shares and does not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 therefore, use an expected dividend yield of zero in our valuation models. We recognize fair value of stock options granted to nonemployees as stock-based compensation expense over the period in which the related services are received.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evaluate our convertible debt, options, warrants or other contracts to determine if those contracts or embedded components of those contracts qualify as derivatives to be separately accounted.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spacing w:after="0" w:line="18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our stock. An entity should use a two-step approach to evaluate whether an equity-linked financial instrument (or embedded feature) is indexed to its own stock, including evaluating the instrument’s contingent exercise and settlement provisions. The application of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Compared to Three Months Ended March 31, 2015</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recorded a net loss of $4,750,000 or ($0.07) per share during the three months ended March 31, 2016 compared to $701,000 or ($0.03) per share for the three months ended March 31, 2015.</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costs increased to $1,754,000 during the three months ended March 31, 2016 compared to $1,028,000 in the prior period. Significant changes in operating expenses are outlined as follows:</w:t>
      </w:r>
    </w:p>
    <w:p>
      <w:pPr>
        <w:spacing w:after="0" w:line="76" w:lineRule="exact"/>
        <w:rPr>
          <w:sz w:val="20"/>
          <w:szCs w:val="20"/>
          <w:color w:val="auto"/>
        </w:rPr>
      </w:pPr>
    </w:p>
    <w:p>
      <w:pPr>
        <w:ind w:left="900" w:right="60" w:hanging="325"/>
        <w:spacing w:after="0" w:line="279"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General and administrative expenses increased to $768,000 during the three months ended March 31, 2016 from $419,000 during the prior period. The increase was primarily due to non-cash consulting and compensation expenses paid as stock-based compensation of $214,000 during the three months ended March 31, 2016 from $4,000 during the prior period. The increase in non-cash consulting and compensation expenses from the prior year was due to the Company expensing the increased vesting options in the current period.</w:t>
      </w:r>
    </w:p>
    <w:p>
      <w:pPr>
        <w:spacing w:after="0" w:line="76" w:lineRule="exact"/>
        <w:rPr>
          <w:rFonts w:ascii="Arial" w:cs="Arial" w:eastAsia="Arial" w:hAnsi="Arial"/>
          <w:sz w:val="17"/>
          <w:szCs w:val="17"/>
          <w:color w:val="auto"/>
        </w:rPr>
      </w:pPr>
    </w:p>
    <w:p>
      <w:pPr>
        <w:ind w:left="900" w:right="240" w:hanging="325"/>
        <w:spacing w:after="0" w:line="34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Research and development costs during the three months ended March 31, 2016 were $986,000 compared to $609,000 during the prior period. The increase was primarily due to the Company expensing the Mayo Foundation upfront license fee payments in the current period.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70,593,236 for the three months ended March 31, 2016 compared to 27,611,255 for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2014</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recorded a net loss of $34,066,000 or ($0.78) during the year ended December 31, 2015 compared to $30,883,000 or ($2.00) for the year ended December 31,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expenses incurred during the fiscal year ended December 31, 2015 were $6,159,000 compared to $3,371,000 in the prior year. Significant changes and expenditures are outlined as follows:</w:t>
      </w:r>
    </w:p>
    <w:p>
      <w:pPr>
        <w:spacing w:after="0" w:line="62" w:lineRule="exact"/>
        <w:rPr>
          <w:sz w:val="20"/>
          <w:szCs w:val="20"/>
          <w:color w:val="auto"/>
        </w:rPr>
      </w:pPr>
    </w:p>
    <w:p>
      <w:pPr>
        <w:ind w:left="460" w:right="40" w:firstLine="438"/>
        <w:spacing w:after="0" w:line="276" w:lineRule="auto"/>
        <w:rPr>
          <w:sz w:val="20"/>
          <w:szCs w:val="20"/>
          <w:color w:val="auto"/>
        </w:rPr>
      </w:pPr>
      <w:r>
        <w:rPr>
          <w:rFonts w:ascii="Arial" w:cs="Arial" w:eastAsia="Arial" w:hAnsi="Arial"/>
          <w:sz w:val="17"/>
          <w:szCs w:val="17"/>
          <w:color w:val="auto"/>
        </w:rPr>
        <w:t>General and administrative expenses increased to $4,448,000 during the year ended December 31, 2015 from $3,182,000 during the prior period. The increase was primarily due to higher salaries for administration, professional fee, business development, investor relations, management fee, travel expenses and more significantly, higher non-cash consulting and management fees paid as stock-based compensation of $1,705,000 during the year ended December 31, 2015 from $1,391,000 during the prior period. The increase in stock-based compensation from the prior year was primarily due to us issuing stock options to management and board members in the current year.</w:t>
      </w:r>
    </w:p>
    <w:p>
      <w:pPr>
        <w:spacing w:after="0" w:line="78" w:lineRule="exact"/>
        <w:rPr>
          <w:sz w:val="20"/>
          <w:szCs w:val="20"/>
          <w:color w:val="auto"/>
        </w:rPr>
      </w:pPr>
    </w:p>
    <w:p>
      <w:pPr>
        <w:ind w:left="900" w:right="140" w:hanging="446"/>
        <w:spacing w:after="0" w:line="34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Research and development costs during the fiscal year ended December 31, 2015 were $1,711,000 compared to $189,000 during the prior fiscal year. This was due to higher technology licensing fee due to Mayo clinic and increased in house research activity in the current year.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43,947,067 for the year ended December 31, 2015 compared to 15,465,213 for the prior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we have had no revenues since inception, we have financed our operations primarily through public and private sales of our stock and debt including warrants and the exercise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March 31, 2016 and December 31, 2015:</w:t>
      </w:r>
    </w:p>
    <w:p>
      <w:pPr>
        <w:sectPr>
          <w:pgSz w:w="11900" w:h="16838" w:orient="portrait"/>
          <w:cols w:equalWidth="0" w:num="1">
            <w:col w:w="11400"/>
          </w:cols>
          <w:pgMar w:left="240" w:top="459" w:right="259" w:bottom="0" w:gutter="0" w:footer="0" w:header="0"/>
        </w:sectPr>
      </w:pPr>
    </w:p>
    <w:p>
      <w:pPr>
        <w:spacing w:after="0" w:line="244" w:lineRule="exact"/>
        <w:rPr>
          <w:sz w:val="20"/>
          <w:szCs w:val="20"/>
          <w:color w:val="auto"/>
        </w:rPr>
      </w:pPr>
    </w:p>
    <w:p>
      <w:pPr>
        <w:ind w:left="7220"/>
        <w:spacing w:after="0"/>
        <w:tabs>
          <w:tab w:leader="none" w:pos="8760" w:val="left"/>
        </w:tabs>
        <w:rPr>
          <w:sz w:val="20"/>
          <w:szCs w:val="20"/>
          <w:color w:val="auto"/>
        </w:rPr>
      </w:pPr>
      <w:r>
        <w:rPr>
          <w:rFonts w:ascii="Arial" w:cs="Arial" w:eastAsia="Arial" w:hAnsi="Arial"/>
          <w:sz w:val="14"/>
          <w:szCs w:val="14"/>
          <w:b w:val="1"/>
          <w:bCs w:val="1"/>
          <w:u w:val="single" w:color="auto"/>
          <w:color w:val="auto"/>
        </w:rPr>
        <w:t>March 31, 2016</w:t>
      </w:r>
      <w:r>
        <w:rPr>
          <w:sz w:val="20"/>
          <w:szCs w:val="20"/>
          <w:color w:val="auto"/>
        </w:rPr>
        <w:tab/>
      </w:r>
      <w:r>
        <w:rPr>
          <w:rFonts w:ascii="Arial" w:cs="Arial" w:eastAsia="Arial" w:hAnsi="Arial"/>
          <w:sz w:val="12"/>
          <w:szCs w:val="12"/>
          <w:b w:val="1"/>
          <w:bCs w:val="1"/>
          <w:u w:val="single" w:color="auto"/>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6350</wp:posOffset>
            </wp:positionV>
            <wp:extent cx="5505450" cy="95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05450" cy="95885"/>
                    </a:xfrm>
                    <a:prstGeom prst="rect">
                      <a:avLst/>
                    </a:prstGeom>
                    <a:noFill/>
                  </pic:spPr>
                </pic:pic>
              </a:graphicData>
            </a:graphic>
          </wp:anchor>
        </w:drawing>
      </w:r>
    </w:p>
    <w:p>
      <w:pPr>
        <w:sectPr>
          <w:pgSz w:w="11900" w:h="16838" w:orient="portrait"/>
          <w:cols w:equalWidth="0" w:num="1">
            <w:col w:w="11400"/>
          </w:cols>
          <w:pgMar w:left="240" w:top="459" w:right="259" w:bottom="0" w:gutter="0" w:footer="0" w:header="0"/>
          <w:type w:val="continuous"/>
        </w:sectPr>
      </w:pPr>
    </w:p>
    <w:bookmarkStart w:id="66" w:name="page67"/>
    <w:bookmarkEnd w:id="66"/>
    <w:tbl>
      <w:tblPr>
        <w:tblLayout w:type="fixed"/>
        <w:tblInd w:w="18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Cash reserves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5,722,000</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6,577,000</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w w:val="90"/>
              </w:rPr>
              <w:t>(25,705,000)</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(21,360,000)</w:t>
            </w:r>
          </w:p>
        </w:tc>
      </w:tr>
      <w:tr>
        <w:trPr>
          <w:trHeight w:val="350"/>
        </w:trPr>
        <w:tc>
          <w:tcPr>
            <w:tcW w:w="3000" w:type="dxa"/>
            <w:vAlign w:val="bottom"/>
          </w:tcPr>
          <w:p>
            <w:pPr>
              <w:spacing w:after="0"/>
              <w:rPr>
                <w:sz w:val="24"/>
                <w:szCs w:val="24"/>
                <w:color w:val="auto"/>
              </w:rPr>
            </w:pPr>
          </w:p>
        </w:tc>
        <w:tc>
          <w:tcPr>
            <w:tcW w:w="2920" w:type="dxa"/>
            <w:vAlign w:val="bottom"/>
          </w:tcPr>
          <w:p>
            <w:pPr>
              <w:jc w:val="right"/>
              <w:ind w:right="1410"/>
              <w:spacing w:after="0"/>
              <w:rPr>
                <w:sz w:val="20"/>
                <w:szCs w:val="20"/>
                <w:color w:val="auto"/>
              </w:rPr>
            </w:pPr>
            <w:r>
              <w:rPr>
                <w:rFonts w:ascii="Arial" w:cs="Arial" w:eastAsia="Arial" w:hAnsi="Arial"/>
                <w:sz w:val="18"/>
                <w:szCs w:val="18"/>
                <w:color w:val="auto"/>
              </w:rPr>
              <w:t>53</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9019"/>
          </w:cols>
          <w:pgMar w:left="1440" w:top="140"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during the three months ended March 31, 2016 was $830,000 compared to $1,014,000 during the prior period. We had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revenues during the current or prior periods. Operating expenditures, excluding non-cash interest and stock-based charges during the current period primarily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consisted of consulting and compensation expense, office and general expenditures, and professional fees. Operating activities in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used cash of $4,343,000 compared to $2,187,000 in the year ended December 31, 2014. Operating activities have primarily used cash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 of the operating and organizational activities such as consulting fees, management fees, professional fees and research and development.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by financing activities during the three months ended March 31, 2016 was $25,000 compared to net cash provided by financing activities of $2,326,000 during the prior period. In the current period we repaid a promissory note while prior period financing relates to proceeds from private placements. Financing activities in the year ended December 31, 2015 provided cash of $10,778,000 compared to $2,281,000 in the year ended December 31,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Between June 16, 2015 and May 10, 2016, 37,080,000 shares were issued upon exercise of certain warrants we issued in connection with our 2015 financings, providing $9.22 million in proceeds. The following table reflects the remaining outstanding warrants from the August 2014, January and March 2015 Financings and the May 2015 restructuring of the January and March 2015 Financings (including placement agent warrants):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1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Outstanding Warrants</w:t>
            </w:r>
          </w:p>
        </w:tc>
        <w:tc>
          <w:tcPr>
            <w:tcW w:w="380" w:type="dxa"/>
            <w:vAlign w:val="bottom"/>
          </w:tcPr>
          <w:p>
            <w:pPr>
              <w:spacing w:after="0"/>
              <w:rPr>
                <w:sz w:val="16"/>
                <w:szCs w:val="16"/>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7"/>
              </w:rPr>
              <w:t>Exercise Price</w:t>
            </w:r>
          </w:p>
        </w:tc>
        <w:tc>
          <w:tcPr>
            <w:tcW w:w="360" w:type="dxa"/>
            <w:vAlign w:val="bottom"/>
          </w:tcPr>
          <w:p>
            <w:pPr>
              <w:spacing w:after="0"/>
              <w:rPr>
                <w:sz w:val="16"/>
                <w:szCs w:val="16"/>
                <w:color w:val="auto"/>
              </w:rPr>
            </w:pPr>
          </w:p>
        </w:tc>
        <w:tc>
          <w:tcPr>
            <w:tcW w:w="4360" w:type="dxa"/>
            <w:vAlign w:val="bottom"/>
          </w:tcPr>
          <w:p>
            <w:pPr>
              <w:ind w:left="1840"/>
              <w:spacing w:after="0"/>
              <w:rPr>
                <w:sz w:val="20"/>
                <w:szCs w:val="20"/>
                <w:color w:val="auto"/>
              </w:rPr>
            </w:pPr>
            <w:r>
              <w:rPr>
                <w:rFonts w:ascii="Arial" w:cs="Arial" w:eastAsia="Arial" w:hAnsi="Arial"/>
                <w:sz w:val="14"/>
                <w:szCs w:val="14"/>
                <w:b w:val="1"/>
                <w:bCs w:val="1"/>
                <w:color w:val="auto"/>
              </w:rPr>
              <w:t>Expiration</w:t>
            </w: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2,573,200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12,093,200</w:t>
            </w: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01/13/2020</w:t>
            </w:r>
          </w:p>
        </w:tc>
      </w:tr>
      <w:tr>
        <w:trPr>
          <w:trHeight w:val="202"/>
        </w:trPr>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w:t>
            </w: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7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Between 07/16/2020 and 08/13/2020 and 08/19/2020 and</w:t>
            </w:r>
          </w:p>
        </w:tc>
      </w:tr>
      <w:tr>
        <w:trPr>
          <w:trHeight w:val="230"/>
        </w:trPr>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7,320,000</w:t>
            </w:r>
          </w:p>
        </w:tc>
        <w:tc>
          <w:tcPr>
            <w:tcW w:w="3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0.75</w:t>
            </w: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09/09/2020</w:t>
            </w:r>
          </w:p>
        </w:tc>
      </w:tr>
      <w:tr>
        <w:trPr>
          <w:trHeight w:val="202"/>
        </w:trPr>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E</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2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4"/>
              </w:rPr>
              <w:t>Between 10/01/2020 and 11/12/2020 and 11/30/2020 and</w:t>
            </w:r>
          </w:p>
        </w:tc>
      </w:tr>
      <w:tr>
        <w:trPr>
          <w:trHeight w:val="230"/>
        </w:trPr>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7,393,200</w:t>
            </w:r>
          </w:p>
        </w:tc>
        <w:tc>
          <w:tcPr>
            <w:tcW w:w="360" w:type="dxa"/>
            <w:vAlign w:val="bottom"/>
          </w:tcPr>
          <w:p>
            <w:pPr>
              <w:spacing w:after="0"/>
              <w:rPr>
                <w:sz w:val="20"/>
                <w:szCs w:val="20"/>
                <w:color w:val="auto"/>
              </w:rPr>
            </w:pP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12/09/2020</w:t>
            </w:r>
          </w:p>
        </w:tc>
      </w:tr>
      <w:tr>
        <w:trPr>
          <w:trHeight w:val="216"/>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0.10</w:t>
            </w: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03/09/2020</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C-1</w:t>
            </w:r>
          </w:p>
        </w:tc>
        <w:tc>
          <w:tcPr>
            <w:tcW w:w="1400" w:type="dxa"/>
            <w:vAlign w:val="bottom"/>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tcPr>
          <w:p>
            <w:pPr>
              <w:spacing w:after="0"/>
              <w:rPr>
                <w:sz w:val="18"/>
                <w:szCs w:val="18"/>
                <w:color w:val="auto"/>
              </w:rPr>
            </w:pP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03/09/2020</w:t>
            </w:r>
          </w:p>
        </w:tc>
      </w:tr>
      <w:tr>
        <w:trPr>
          <w:trHeight w:val="216"/>
        </w:trPr>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0.75</w:t>
            </w:r>
          </w:p>
        </w:tc>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Between 08/19/2020 and 09/09/2020</w:t>
            </w: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E-1</w:t>
            </w:r>
          </w:p>
        </w:tc>
        <w:tc>
          <w:tcPr>
            <w:tcW w:w="1400" w:type="dxa"/>
            <w:vAlign w:val="bottom"/>
          </w:tcPr>
          <w:p>
            <w:pPr>
              <w:jc w:val="right"/>
              <w:spacing w:after="0"/>
              <w:rPr>
                <w:sz w:val="20"/>
                <w:szCs w:val="20"/>
                <w:color w:val="auto"/>
              </w:rPr>
            </w:pPr>
            <w:r>
              <w:rPr>
                <w:rFonts w:ascii="Arial" w:cs="Arial" w:eastAsia="Arial" w:hAnsi="Arial"/>
                <w:sz w:val="18"/>
                <w:szCs w:val="18"/>
                <w:color w:val="auto"/>
              </w:rPr>
              <w:t>5,025,000</w:t>
            </w:r>
          </w:p>
        </w:tc>
        <w:tc>
          <w:tcPr>
            <w:tcW w:w="360" w:type="dxa"/>
            <w:vAlign w:val="bottom"/>
          </w:tcPr>
          <w:p>
            <w:pPr>
              <w:spacing w:after="0"/>
              <w:rPr>
                <w:sz w:val="20"/>
                <w:szCs w:val="20"/>
                <w:color w:val="auto"/>
              </w:rPr>
            </w:pP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4720" w:type="dxa"/>
            <w:vAlign w:val="bottom"/>
            <w:gridSpan w:val="2"/>
          </w:tcPr>
          <w:p>
            <w:pPr>
              <w:ind w:left="360"/>
              <w:spacing w:after="0"/>
              <w:rPr>
                <w:sz w:val="20"/>
                <w:szCs w:val="20"/>
                <w:color w:val="auto"/>
              </w:rPr>
            </w:pPr>
            <w:r>
              <w:rPr>
                <w:rFonts w:ascii="Arial" w:cs="Arial" w:eastAsia="Arial" w:hAnsi="Arial"/>
                <w:sz w:val="18"/>
                <w:szCs w:val="18"/>
                <w:color w:val="auto"/>
              </w:rPr>
              <w:t>06/16/2020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Subject to the availability of additional financing, we intend to spend approximately $7,500,000 over the next twelve months in carrying out our plan of operations, which includes the funding of multiple small Phase 2 clinical trials. At March 31, 2016, we had $5,722,000 of cash on hand and a working capital deficit of $25,705,000. 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 and long-term liquidity.</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based our estimates on assumptions that may prove to be wrong. We may need to obtain additional funds sooner or in greater amounts than we currently anticipate. We do not have any committed sources of financing at this time.</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anticipate raising capital through the exercise of warrants issued in our January and March 2015 Financings, and also intend to explore both equity and debt financings, alliances or other partnership agreements with entities interested in our technologies, or other business transactions that would generate sufficient resources to ensure continuation of our operations and research and development programs.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our product candidates, we are unable to estimate the exact amounts of our future working capital requirements. Our future funding requirements will depend on many factors, including, but not limited to:</w:t>
      </w:r>
    </w:p>
    <w:p>
      <w:pPr>
        <w:spacing w:after="0" w:line="208" w:lineRule="exact"/>
        <w:rPr>
          <w:sz w:val="20"/>
          <w:szCs w:val="20"/>
          <w:color w:val="auto"/>
        </w:rPr>
      </w:pPr>
    </w:p>
    <w:p>
      <w:pPr>
        <w:ind w:left="5620" w:right="5060" w:hanging="4586"/>
        <w:spacing w:after="0" w:line="536" w:lineRule="auto"/>
        <w:tabs>
          <w:tab w:leader="none" w:pos="147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number and characteristics of the product candidates we pursue; 54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line="256"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ind w:left="1480" w:hanging="446"/>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9" w:lineRule="exact"/>
        <w:rPr>
          <w:rFonts w:ascii="Arial" w:cs="Arial" w:eastAsia="Arial" w:hAnsi="Arial"/>
          <w:sz w:val="18"/>
          <w:szCs w:val="18"/>
          <w:color w:val="auto"/>
        </w:rPr>
      </w:pPr>
    </w:p>
    <w:p>
      <w:pPr>
        <w:ind w:left="1480" w:right="220" w:hanging="446"/>
        <w:spacing w:after="0" w:line="250"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licensing or other arrangements and the financial terms of such agreements;</w:t>
      </w:r>
    </w:p>
    <w:p>
      <w:pPr>
        <w:ind w:left="1480" w:hanging="446"/>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9" w:lineRule="exact"/>
        <w:rPr>
          <w:rFonts w:ascii="Arial" w:cs="Arial" w:eastAsia="Arial" w:hAnsi="Arial"/>
          <w:sz w:val="18"/>
          <w:szCs w:val="18"/>
          <w:color w:val="auto"/>
        </w:rPr>
      </w:pPr>
    </w:p>
    <w:p>
      <w:pPr>
        <w:ind w:left="1480" w:right="20" w:hanging="446"/>
        <w:spacing w:after="0" w:line="250" w:lineRule="auto"/>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ind w:left="1480" w:hanging="446"/>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Additional capital may not be available to us on reasonable terms, if at all. If we are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of March 31, 2016, we had accumulated losses of $138,258,166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2015 and 2014, we have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 Any greater than 50% change in ownership under Section 382 of the Internal Revenue Code, or the Code, places significant annual limitations on the use of such net operating loss carryforwards.</w:t>
      </w:r>
    </w:p>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At December 31, 2015 and 2014, we recorded a 100% valuation allowance against our deferred tax assets of approximately $10,826,000 and $12,471,000, respectively, as our management believes it is uncertain that they will be fully realized. If we determine in the future that we will be able to realize all or a portion of our net operating loss carryforwards, an adjustment to our net operating loss carryforwards would increase net income in the period in which we make such a determination.</w:t>
      </w:r>
    </w:p>
    <w:p>
      <w:pPr>
        <w:sectPr>
          <w:pgSz w:w="11900" w:h="16838" w:orient="portrait"/>
          <w:cols w:equalWidth="0" w:num="1">
            <w:col w:w="11360"/>
          </w:cols>
          <w:pgMar w:left="240" w:top="459" w:right="2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121"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and their respective ages as of the date of this prospectus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left="1293"/>
              <w:spacing w:after="0"/>
              <w:rPr>
                <w:sz w:val="20"/>
                <w:szCs w:val="20"/>
                <w:color w:val="auto"/>
              </w:rPr>
            </w:pPr>
            <w:r>
              <w:rPr>
                <w:rFonts w:ascii="Arial" w:cs="Arial" w:eastAsia="Arial" w:hAnsi="Arial"/>
                <w:sz w:val="14"/>
                <w:szCs w:val="14"/>
                <w:b w:val="1"/>
                <w:bCs w:val="1"/>
                <w:color w:val="auto"/>
                <w:w w:val="90"/>
              </w:rPr>
              <w:t>Age</w:t>
            </w:r>
          </w:p>
        </w:tc>
        <w:tc>
          <w:tcPr>
            <w:tcW w:w="260" w:type="dxa"/>
            <w:vAlign w:val="bottom"/>
          </w:tcPr>
          <w:p>
            <w:pPr>
              <w:spacing w:after="0"/>
              <w:rPr>
                <w:sz w:val="16"/>
                <w:szCs w:val="16"/>
                <w:color w:val="auto"/>
              </w:rPr>
            </w:pPr>
          </w:p>
        </w:tc>
        <w:tc>
          <w:tcPr>
            <w:tcW w:w="3800" w:type="dxa"/>
            <w:vAlign w:val="bottom"/>
          </w:tcPr>
          <w:p>
            <w:pPr>
              <w:ind w:left="1060"/>
              <w:spacing w:after="0"/>
              <w:rPr>
                <w:sz w:val="20"/>
                <w:szCs w:val="20"/>
                <w:color w:val="auto"/>
              </w:rPr>
            </w:pPr>
            <w:r>
              <w:rPr>
                <w:rFonts w:ascii="Arial" w:cs="Arial" w:eastAsia="Arial" w:hAnsi="Arial"/>
                <w:sz w:val="14"/>
                <w:szCs w:val="14"/>
                <w:b w:val="1"/>
                <w:bCs w:val="1"/>
                <w:color w:val="auto"/>
              </w:rPr>
              <w:t>Position with the Company</w:t>
            </w:r>
          </w:p>
        </w:tc>
      </w:tr>
      <w:tr>
        <w:trPr>
          <w:trHeight w:val="195"/>
        </w:trPr>
        <w:tc>
          <w:tcPr>
            <w:tcW w:w="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Dr.</w:t>
            </w:r>
          </w:p>
        </w:tc>
        <w:tc>
          <w:tcPr>
            <w:tcW w:w="26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Glynn Wilson</w:t>
            </w:r>
          </w:p>
        </w:tc>
        <w:tc>
          <w:tcPr>
            <w:tcW w:w="13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68</w:t>
            </w:r>
          </w:p>
        </w:tc>
        <w:tc>
          <w:tcPr>
            <w:tcW w:w="26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Chairman of the Board, Chief Executive Officer,</w:t>
            </w:r>
          </w:p>
        </w:tc>
      </w:tr>
      <w:tr>
        <w:trPr>
          <w:trHeight w:val="230"/>
        </w:trPr>
        <w:tc>
          <w:tcPr>
            <w:tcW w:w="3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Principal Executive Officer and a Director</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Mark Reddish</w:t>
            </w:r>
          </w:p>
        </w:tc>
        <w:tc>
          <w:tcPr>
            <w:tcW w:w="1620" w:type="dxa"/>
            <w:vAlign w:val="bottom"/>
            <w:gridSpan w:val="2"/>
          </w:tcPr>
          <w:p>
            <w:pPr>
              <w:jc w:val="center"/>
              <w:ind w:left="1273"/>
              <w:spacing w:after="0"/>
              <w:rPr>
                <w:sz w:val="20"/>
                <w:szCs w:val="20"/>
                <w:color w:val="auto"/>
              </w:rPr>
            </w:pPr>
            <w:r>
              <w:rPr>
                <w:rFonts w:ascii="Arial" w:cs="Arial" w:eastAsia="Arial" w:hAnsi="Arial"/>
                <w:sz w:val="18"/>
                <w:szCs w:val="18"/>
                <w:color w:val="auto"/>
                <w:w w:val="89"/>
              </w:rPr>
              <w:t>60</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1620" w:type="dxa"/>
            <w:vAlign w:val="bottom"/>
            <w:gridSpan w:val="2"/>
            <w:shd w:val="clear" w:color="auto" w:fill="CCEEFF"/>
          </w:tcPr>
          <w:p>
            <w:pPr>
              <w:jc w:val="center"/>
              <w:ind w:left="1273"/>
              <w:spacing w:after="0"/>
              <w:rPr>
                <w:sz w:val="20"/>
                <w:szCs w:val="20"/>
                <w:color w:val="auto"/>
              </w:rPr>
            </w:pPr>
            <w:r>
              <w:rPr>
                <w:rFonts w:ascii="Arial" w:cs="Arial" w:eastAsia="Arial" w:hAnsi="Arial"/>
                <w:sz w:val="18"/>
                <w:szCs w:val="18"/>
                <w:color w:val="auto"/>
                <w:w w:val="89"/>
              </w:rPr>
              <w:t>62</w:t>
            </w: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Dr. John Bonfiglio</w:t>
            </w:r>
          </w:p>
        </w:tc>
        <w:tc>
          <w:tcPr>
            <w:tcW w:w="1620" w:type="dxa"/>
            <w:vAlign w:val="bottom"/>
            <w:gridSpan w:val="2"/>
          </w:tcPr>
          <w:p>
            <w:pPr>
              <w:jc w:val="center"/>
              <w:ind w:left="1273"/>
              <w:spacing w:after="0"/>
              <w:rPr>
                <w:sz w:val="20"/>
                <w:szCs w:val="20"/>
                <w:color w:val="auto"/>
              </w:rPr>
            </w:pPr>
            <w:r>
              <w:rPr>
                <w:rFonts w:ascii="Arial" w:cs="Arial" w:eastAsia="Arial" w:hAnsi="Arial"/>
                <w:sz w:val="18"/>
                <w:szCs w:val="18"/>
                <w:color w:val="auto"/>
                <w:w w:val="89"/>
              </w:rPr>
              <w:t>61</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Laskow-Pooley</w:t>
            </w:r>
          </w:p>
        </w:tc>
        <w:tc>
          <w:tcPr>
            <w:tcW w:w="1620" w:type="dxa"/>
            <w:vAlign w:val="bottom"/>
            <w:gridSpan w:val="2"/>
            <w:shd w:val="clear" w:color="auto" w:fill="CCEEFF"/>
          </w:tcPr>
          <w:p>
            <w:pPr>
              <w:jc w:val="center"/>
              <w:ind w:left="1273"/>
              <w:spacing w:after="0"/>
              <w:rPr>
                <w:sz w:val="20"/>
                <w:szCs w:val="20"/>
                <w:color w:val="auto"/>
              </w:rPr>
            </w:pPr>
            <w:r>
              <w:rPr>
                <w:rFonts w:ascii="Arial" w:cs="Arial" w:eastAsia="Arial" w:hAnsi="Arial"/>
                <w:sz w:val="18"/>
                <w:szCs w:val="18"/>
                <w:color w:val="auto"/>
                <w:w w:val="89"/>
              </w:rPr>
              <w:t>61</w:t>
            </w: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Independent Director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Frederick Wasserman</w:t>
            </w:r>
          </w:p>
        </w:tc>
        <w:tc>
          <w:tcPr>
            <w:tcW w:w="1620" w:type="dxa"/>
            <w:vAlign w:val="bottom"/>
            <w:gridSpan w:val="2"/>
          </w:tcPr>
          <w:p>
            <w:pPr>
              <w:jc w:val="center"/>
              <w:ind w:left="1273"/>
              <w:spacing w:after="0"/>
              <w:rPr>
                <w:sz w:val="20"/>
                <w:szCs w:val="20"/>
                <w:color w:val="auto"/>
              </w:rPr>
            </w:pPr>
            <w:r>
              <w:rPr>
                <w:rFonts w:ascii="Arial" w:cs="Arial" w:eastAsia="Arial" w:hAnsi="Arial"/>
                <w:sz w:val="18"/>
                <w:szCs w:val="18"/>
                <w:color w:val="auto"/>
                <w:w w:val="89"/>
              </w:rPr>
              <w:t>61</w:t>
            </w:r>
          </w:p>
        </w:tc>
        <w:tc>
          <w:tcPr>
            <w:tcW w:w="4060" w:type="dxa"/>
            <w:vAlign w:val="bottom"/>
            <w:gridSpan w:val="2"/>
          </w:tcPr>
          <w:p>
            <w:pPr>
              <w:ind w:left="260"/>
              <w:spacing w:after="0"/>
              <w:rPr>
                <w:sz w:val="20"/>
                <w:szCs w:val="20"/>
                <w:color w:val="auto"/>
              </w:rPr>
            </w:pPr>
            <w:r>
              <w:rPr>
                <w:rFonts w:ascii="Arial" w:cs="Arial" w:eastAsia="Arial" w:hAnsi="Arial"/>
                <w:sz w:val="18"/>
                <w:szCs w:val="18"/>
                <w:color w:val="auto"/>
              </w:rPr>
              <w:t>Independent Director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other public companies: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Glynn Wilson, Ph. D., Chief Executive Officer and Chairman</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Dr. Wilson was appointed to the Board in February 2005. Prior to joining the Board he was President and Chief Scientific Officer of Auriga Pharmaceuticals, a public specialty pharmaceutical company. Dr. Wilson was the Worldwide Head of Drug Delivery at SmithKline Beecham from 1989 to 1994, and the Chief Scientific Officer at Tacora Corporation from 1994 to 1997. Dr. Wilson was the Vice-President, R&amp;D, at Access Pharmaceuticals from 1997 to 1998, and the President and CEO of PharmaSpec Corporation from 1999 to 2000. Most recently Dr. Wilson is President and Chief Scientific Officer of Auriga Pharmaceuticals, a public specialty pharmaceutical company. He has been an adjunct professor, Pharmaceutics and Pharmaceutical Chemistry, at the University of Utah since 1994, and was a faculty member at Rockefeller University, New York, in the laboratory of the Nobel Laureates, Sanford Moore and William Stein, from 1974 to 1979. He is a recognized leader in the development of drug delivery systems and has been involved in taking lead products &amp; technologies from concept to commercialization. Dr. Wilson has a Ph. D. in Biochemistry and conducted medical research at The Rockefeller University, New York.</w:t>
      </w:r>
    </w:p>
    <w:p>
      <w:pPr>
        <w:spacing w:after="0" w:line="19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Dr. Wilson brings an extensive background of success in corporate management and product development with tenures in both major multinational pharmaceutical companies and start-up pharmaceutical/biotech organizations.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Reddish, Director</w:t>
      </w:r>
    </w:p>
    <w:p>
      <w:pPr>
        <w:spacing w:after="0" w:line="121"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Mr. Reddish joined the Company as Vice-President of Product Development in November 2011, and was appointed to the Board in April 2012. Mr. Reddish previously served as Vice President of Product Development and Principal Investigator, Biodefense at ID Biomedical, Bothell, WA, where he was employed from 1998 to 2005. At Biomira Inc. (renamed Oncothyreon), where he was employed from 1991 to 1998, He was responsible for preclinical development of their cancer vaccines program where he led the early research and clinical development of Stimuvax, which is currently in late Stage 3 clinical trials under a partnership with Merck KGa.</w:t>
      </w:r>
    </w:p>
    <w:p>
      <w:pPr>
        <w:spacing w:after="0" w:line="18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Mr. Reddish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Grisewood, Director</w:t>
      </w:r>
    </w:p>
    <w:p>
      <w:pPr>
        <w:spacing w:after="0" w:line="1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Ms. Grisewood, CFA, joined the Board in March 2013. She has over 25 years securities industry experience in a range of investment banking, advisory and research-related activities. Since December 2012 she was been associated with Dawson James Securities Inc., first as Managing Director, Corporate Finance until September 2015 and now as Managing Partner, Life Science Research. Prior to joining Dawson James, she inaugurated a Lifesciences specialty investment banking practice as Managing Director, Lifesciences and Technology Banking, for Tripoint Global Equities where she was employed from December 2010 to December 2012. Prior to that, she was an investment banker, independent strategic advisor and consultant in life sciences for several investment banks over the prior 12 year period. Prior to consulting for investment banks, Ms. Grisewood served as Director of Research for a mid-tier brokerage company and a leading independent investment research company. Ms. Grisewood holds a Bachelor of Science degree (Highest Honors) in Life Science from Ramapo College of New Jersey. She is a member of the American Society of Gene and Cell Therapy, the Tissue Engineering and Regenerative Medicine Society International, the Society of Biomaterials, and the CFA Institute.</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Ms. Grisewood brings a wealth of knowledge about the securities and biomedical industries to TapImmune. She has participated in over 70 transaction-related projects involving initial public offerings, secondary offerings, PIPE’s, private equity, M&amp;A and licensing transactions. These deals and projects represented US, Canadian, Scandinavian, UK, Chinese and Australian clients with advanced therapeutic technologies and delivery systems in the life sciences such as those addressing nucleic acid therapeutics, regenerative medicine, immune-therapy, CNS diseases, or leading edge device technologies for lifescience special situations.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 Director</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Dr. Bonfiglio joined the Board in July 2015. Dr. Bonfiglio served as President, Chief Executive Officer and Director of Oragenics, Inc. (NYSE MKT: OGEN) from May 2011 through October 2014. Dr. Bonfiglio also served as the Chief Executive Officer, President and Director of Transdel Pharmaceuticals (a public company: TDLPE. OB) between October 2010 and May 13, 2011. Previously Dr. Bonfiglio served as the President and Chief Executive Officer of Argos Therapeutics from January 2007 to February 2010. From November 2005 to December 2006, he served as an independent consultant to two medical device companies, a therapeutic company and a medical communications company. From January 2003 to October 2005, he served as the Chief Executive Officer of The Immune Response Corporation, a public company and immuno-pharmaceutical company focused on developing products to treat autoimmune and infectious diseases. From 2001 to 2002, he was the Chief Operating Officer and Executive Vice President of Cypress Biosciences, a public company (NASDAQ: CYPB) providing therapeutics and personalized medicine services. From 1997 to 2001, he served as the Chief Executive Officer and President of Peregrine Pharmaceuticals, Inc., a public biopharmaceutical company (NASDAQ: PPHM) developing first-in-class monoclonal antibodies for the treatment of cancer and viral infections. Dr. Bonfiglio has also held senior management positions with Baxter Healthcare and Allergan, Inc. Dr. Bonfiglio received his bachelor of sciences degree in chemistry from State University of New York at Stony Brook in 1976, later earning his master’s degree and a doctorate in synthetic organic chemistry from University of California at San Diego in 1978 and 1980 respectively. He later went on to serve as a postdoctoral fellow in organometallic chemistry at the University of California at Berkeley in 1981, earning his master’s in business administration from Pepperdine University in 1992.</w:t>
      </w:r>
    </w:p>
    <w:p>
      <w:pPr>
        <w:spacing w:after="0" w:line="18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believe that Dr. Bonfiglio’s qualifications to serve as a director include his 30 years of executive experience in the pharmaceutical, medical device and healthcare businesses, his experience in raising funds and completing licensing transactions for his prior companies and his experience on other company boards.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Laskow-Pooley, Director</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Mr. Laskow-Pooley joined the Board in March 2015. He is currently CEO of LondonPharma Ltd, a clinical stage company re-purposing approved drugs through novel drug delivery technologies, where he has been employed since April 2012. He is also a Co-founder of Pharmafor Ltd, a small company incubator. He was formerly Managing Director (UK) of Nasdaq- listed drug discovery platform company, OSI, where he was employed from 2002 to 2004. He also was part of the corporate team that developed and launched Tarceva for the treatment of lung cancer with marketing partners Roche and Genentech. He is a pharmacist with more than 30 years of experience in the Pharmaceutical, Diagnostic and Device sectors, and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Mr. Laskow-Pooley brings a wealth of experience in the pharmaceutical industry and with start-up and early stage pharmaceutical/biotech organizations.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Frederick Wasserman, Director</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Mr. Wasserman joined the Board in January 2016. He is a business executive with over 35 years of business experience, having served at various companies in roles including Chief Executive Officer, President, Chief Operating Officer and Chief Financial Officer. He is currently the President of FGW Partners LLC, Pennington, NJ, where he has been employed since 2007. He currently serves on the boards of directors of DHL Holdings Corp, Breeze-Eastern Corporation, MAM Software Group, Inc. SMTC Corporation and National Holdings Corporation. Mr. Wasserman was employed as a certified public accountant from 1976 to 1989. He earned a Bachelor of Science degree from The Wharton School at The University of Pennsylvania in 1976.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Mr. Wasserman brings to our Board an extensive array of business and industry experience as well as experience as a director of public companies.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Our Board of Directors has established an Audit Committee which functions pursuant to a written charter last amended by our Board of Directors in November 2015. The members of the Committee were Dr. Wilson, Mr. Reddish and Ms. Grisewood from the beginning of 2015 until November 6, 2015, when Dr. Wilson was replaced by Mr. Laskow-Pooley. Ms. Grisewood serves as Chair of the Committee. Our Board of Directors has determined that Ms. Grisewood qualifies as an “audit committee financial expert” as defined in Item 407(d)(5)(ii) of Regulation S-K. The Board has determined that</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Ms. Grisewood is not independent under the Nasdaq listing standards, due to the fact that she was paid $10,000 in 2013 for consulting work performed for the Company. The Committee met four times during 2015.</w:t>
      </w:r>
    </w:p>
    <w:p>
      <w:pPr>
        <w:sectPr>
          <w:pgSz w:w="11900" w:h="16838" w:orient="portrait"/>
          <w:cols w:equalWidth="0" w:num="1">
            <w:col w:w="11400"/>
          </w:cols>
          <w:pgMar w:left="240" w:top="459"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459" w:right="2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Board of Directors has established a Compensation Committee which functions pursuant to a written charter last amended by our Board of Directors in November 2015. The members of the Committee were Dr. Wilson and Ms. Grisewood from the beginning of 2015 until November 6, 2015, when Dr. Wilson was replaced by Mr. Laskow-Pooley. Dr. Bonfiglio was also appointed to the Committee on November 6, 2015. Mr. Laskow-Pooley serves as Chair of the Committee. The Board has determined that Dr. Bonfiglio is not independent under the Nasdaq listing standards, due to the fact that he serves as a consultant to the Company. See “Certain Relationships and Related Transactions and Director Independence.” The Committee met or acted by written consent twice during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Board of Directors has established a Nominating and Corporate Governance Committee which functions pursuant to a written charter adopted by our Board of Directors in November 2015. The members of the Committee are Dr. Wilson, Mr. Laskow-Pooley and Mr. Reddish. Dr. Wilson serves as Chair of the Committee. The Committee met once during 2015.</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A copy of the charter of each of the foregoing committees of the Board can be viewed on our website at </w:t>
      </w:r>
      <w:r>
        <w:rPr>
          <w:rFonts w:ascii="Arial" w:cs="Arial" w:eastAsia="Arial" w:hAnsi="Arial"/>
          <w:sz w:val="18"/>
          <w:szCs w:val="18"/>
          <w:u w:val="single" w:color="auto"/>
          <w:color w:val="auto"/>
        </w:rPr>
        <w:t>http://www.tapimmune.com/investors/investor-briefcase/</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We have adopted a Code of Ethics and Business Conduct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can be viewed on our website at </w:t>
      </w:r>
      <w:r>
        <w:rPr>
          <w:rFonts w:ascii="Arial" w:cs="Arial" w:eastAsia="Arial" w:hAnsi="Arial"/>
          <w:sz w:val="17"/>
          <w:szCs w:val="17"/>
          <w:u w:val="single" w:color="auto"/>
          <w:color w:val="auto"/>
        </w:rPr>
        <w:t>http://www.tapimmune.com/investors/investor-briefcase/</w:t>
      </w:r>
      <w:r>
        <w:rPr>
          <w:rFonts w:ascii="Arial" w:cs="Arial" w:eastAsia="Arial" w:hAnsi="Arial"/>
          <w:sz w:val="17"/>
          <w:szCs w:val="17"/>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Board affirmatively determines the independence of each director and nominee for election as a director in accordance with guidelines it has adopted, which include all elements of independence set forth in the NASDAQ listing standards. Based upon these standards, at its meeting held on November, 2015, the Board determined that David Laskow-Pooley was independent and had no relationship with the Company, except as a director and stockholder of the Company. At the time of appointment in January 2016 the Board determined that Frederick G. Wasserman was an independent Director.</w:t>
      </w:r>
    </w:p>
    <w:p>
      <w:pPr>
        <w:spacing w:after="0" w:line="15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Review and Approval of Related Person Transactions. </w:t>
      </w:r>
      <w:r>
        <w:rPr>
          <w:rFonts w:ascii="Arial" w:cs="Arial" w:eastAsia="Arial" w:hAnsi="Arial"/>
          <w:sz w:val="16"/>
          <w:szCs w:val="16"/>
          <w:color w:val="auto"/>
        </w:rPr>
        <w:t>In order to ensure that material transactions and relationships involving a potential conflict of</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for any executive officer or director of the Company are in the best interests of the Company, under the Code of Ethics and Business Conduct (“Code of Ethics”) adopted by the Board of Directors for all of our employees and directors, all such conflicts of interest are required to be reported to the Audit Committee of the Board of Directors, and the approval of the Audit Committee must be obtained in advance for the Company to enter into any such transaction or relationship. Pursuant to the Code of Ethics, no officer or employee of the Company may, on behalf of the Company, authorize or approve any transaction or relationship, or enter into any agreement, in which such officer, director or any member of his or her immediate family, may have a personal interest without such Audit Committee approval. Further, no officer or employee of the Company may, on behalf of the Company, authorize or approve any transaction or relationship, or enter into any agreement, if they are aware that an executive officer or a director of the Company, or any member of any such person’s family, may have a personal interest in such transaction or relationship, without such Audit Committee approval.</w:t>
      </w:r>
    </w:p>
    <w:p>
      <w:pPr>
        <w:spacing w:after="0" w:line="16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Audit Committee reviews all conflict of interest transactions involving executive officers and directors of the Company, pursuant to its charter.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their review of a related party transaction, the Audit Committee considers:</w:t>
      </w:r>
    </w:p>
    <w:p>
      <w:pPr>
        <w:spacing w:after="0" w:line="13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whether the transaction would impair the judgment of the director or executive officer to act in the best interests of the Company;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Any member of the Audit Committee who has a conflict of interest with respect to a transaction under review may not participate in the deliberations or vote respecting approval of the transaction, provided, however, that such director may be counted in determining the presence of a quorum.</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2014 and December 31, 2015, we entered into transactions with certain of our officers and directors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Dr. Bonfiglio Consulting Agreement</w:t>
      </w:r>
      <w:r>
        <w:rPr>
          <w:rFonts w:ascii="Arial" w:cs="Arial" w:eastAsia="Arial" w:hAnsi="Arial"/>
          <w:sz w:val="16"/>
          <w:szCs w:val="16"/>
          <w:color w:val="auto"/>
        </w:rPr>
        <w:t>. On July 23, 2015, Dr. John Bonfiglio became a director. Prior to that time, on February 10, 2015, we entered into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 Consulting Agreement with Dr. Bonfiglio. Pursuant to that Agreement, Dr. Bonfiglio was to (a) review our strategy, technology differentiation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(b) identify and implement new strategies to increase our financing opportunities; (c) present our company at external meetings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conferences; (d) develop and implement improved an investors’ relations program; and (e) upgrade our management team and Board of Directors.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provided that Dr. Bonfiglio would perform such services for up to 80 hours per month, and in exchange for these services, he would be 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per month and receive 250,000 options to purchase shares of our common stock for $0.145 per share. The stock options vested as follows: 33,333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options vested at the end of each of the first three months and 16,666 options vested at the end of each of the following nine months. The term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was originally one year, and provided for termination by either party with 30 days’ notice. The Agreement was amended in June 2015 to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monthly cash payment to $15,000 per month, and increase the number of hours during which Dr. Bonfiglio would perform services to up to 120 hours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The Agreement was amended again in February 2016 to extend the term until August 10, 2016. Because Dr. Bonfiglio was a director at the time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most recent amendment, the amendment was approved by our audit committee.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compensation paid to our executive officers for their services as executive officers during our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December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Summary Compensation Table</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Bonus</w:t>
            </w: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Stock</w:t>
            </w:r>
          </w:p>
        </w:tc>
        <w:tc>
          <w:tcPr>
            <w:tcW w:w="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Option</w:t>
            </w: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All Other</w:t>
            </w:r>
          </w:p>
        </w:tc>
        <w:tc>
          <w:tcPr>
            <w:tcW w:w="7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5980" w:type="dxa"/>
            <w:vAlign w:val="bottom"/>
            <w:gridSpan w:val="2"/>
            <w:vMerge w:val="continue"/>
          </w:tcPr>
          <w:p>
            <w:pPr>
              <w:spacing w:after="0"/>
              <w:rPr>
                <w:sz w:val="12"/>
                <w:szCs w:val="12"/>
                <w:color w:val="auto"/>
              </w:rPr>
            </w:pP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8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Awards</w:t>
            </w: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580" w:type="dxa"/>
            <w:vAlign w:val="bottom"/>
            <w:gridSpan w:val="2"/>
            <w:vMerge w:val="continue"/>
          </w:tcPr>
          <w:p>
            <w:pPr>
              <w:spacing w:after="0"/>
              <w:rPr>
                <w:sz w:val="12"/>
                <w:szCs w:val="12"/>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60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72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8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Glynn Wilson</w:t>
            </w: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CEO and Principal Executive Officer and Acting Principal</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204,000</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191,000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605,000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1,011,000</w:t>
            </w:r>
          </w:p>
        </w:tc>
        <w:tc>
          <w:tcPr>
            <w:tcW w:w="0" w:type="dxa"/>
            <w:vAlign w:val="bottom"/>
          </w:tcPr>
          <w:p>
            <w:pPr>
              <w:spacing w:after="0"/>
              <w:rPr>
                <w:sz w:val="1"/>
                <w:szCs w:val="1"/>
                <w:color w:val="auto"/>
              </w:rPr>
            </w:pPr>
          </w:p>
        </w:tc>
      </w:tr>
      <w:tr>
        <w:trPr>
          <w:trHeight w:val="244"/>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Accounting Officer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180,000</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1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Nil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310"/>
        </w:trPr>
        <w:tc>
          <w:tcPr>
            <w:tcW w:w="5980" w:type="dxa"/>
            <w:vAlign w:val="bottom"/>
            <w:gridSpan w:val="2"/>
          </w:tcPr>
          <w:p>
            <w:pPr>
              <w:spacing w:after="0"/>
              <w:rPr>
                <w:sz w:val="20"/>
                <w:szCs w:val="20"/>
                <w:color w:val="auto"/>
              </w:rPr>
            </w:pPr>
            <w:r>
              <w:rPr>
                <w:rFonts w:ascii="Arial" w:cs="Arial" w:eastAsia="Arial" w:hAnsi="Arial"/>
                <w:sz w:val="18"/>
                <w:szCs w:val="18"/>
                <w:color w:val="auto"/>
              </w:rPr>
              <w:t>Patrick Yeramian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186,000</w:t>
            </w:r>
          </w:p>
        </w:tc>
        <w:tc>
          <w:tcPr>
            <w:tcW w:w="200" w:type="dxa"/>
            <w:vAlign w:val="bottom"/>
          </w:tcPr>
          <w:p>
            <w:pPr>
              <w:spacing w:after="0"/>
              <w:rPr>
                <w:sz w:val="24"/>
                <w:szCs w:val="2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11,000</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201,000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Chief Medical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rPr>
              <w:t>Nil</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at December 31, 2015 relating to outstanding equity awards for each Named Executive Officer: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w w:val="97"/>
              </w:rPr>
              <w:t>Outstanding Equity Awards at Year End Table</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1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10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7"/>
              </w:rPr>
              <w:t>Option</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300" w:type="dxa"/>
            <w:vAlign w:val="bottom"/>
          </w:tcPr>
          <w:p>
            <w:pPr>
              <w:spacing w:after="0"/>
              <w:rPr>
                <w:sz w:val="12"/>
                <w:szCs w:val="12"/>
                <w:color w:val="auto"/>
              </w:rPr>
            </w:pPr>
          </w:p>
        </w:tc>
        <w:tc>
          <w:tcPr>
            <w:tcW w:w="10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(exercisable)</w:t>
            </w:r>
          </w:p>
        </w:tc>
        <w:tc>
          <w:tcPr>
            <w:tcW w:w="2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(unexercisable)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2"/>
        </w:trPr>
        <w:tc>
          <w:tcPr>
            <w:tcW w:w="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6"/>
              </w:rPr>
              <w:t>Glynn</w:t>
            </w:r>
          </w:p>
        </w:tc>
        <w:tc>
          <w:tcPr>
            <w:tcW w:w="570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Wilson</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1,000,000</w:t>
            </w: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1,000,000</w:t>
            </w: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Nil</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0.61</w:t>
            </w: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12/11/25</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CEO and Principal Executive Officer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17.00</w:t>
            </w:r>
            <w:r>
              <w:rPr>
                <w:rFonts w:ascii="Arial" w:cs="Arial" w:eastAsia="Arial" w:hAnsi="Arial"/>
                <w:sz w:val="15"/>
                <w:szCs w:val="15"/>
                <w:color w:val="auto"/>
                <w:w w:val="94"/>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07/06/17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16,000</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17.00</w:t>
            </w:r>
            <w:r>
              <w:rPr>
                <w:rFonts w:ascii="Arial" w:cs="Arial" w:eastAsia="Arial" w:hAnsi="Arial"/>
                <w:sz w:val="15"/>
                <w:szCs w:val="15"/>
                <w:color w:val="auto"/>
                <w:w w:val="94"/>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10/14/19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17.00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02/16/21</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57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r>
              <w:rPr>
                <w:rFonts w:ascii="Arial" w:cs="Arial" w:eastAsia="Arial" w:hAnsi="Arial"/>
                <w:sz w:val="15"/>
                <w:szCs w:val="15"/>
                <w:color w:val="auto"/>
              </w:rPr>
              <w:t>(1)</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19.00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03/16/16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5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plan under which these shares were issued was approved by the Board of Directors and the stockholders in 2009 but did not come into effect until February 22, 2010.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Effective February 16, 2011, the option exercise price was reduced to $17.00.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relating to compensation earned or paid to our directors for their services as directors in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excludes compensation paid to our directors for their services as executive officers: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Director Compensation Table</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87"/>
              </w:rPr>
              <w:t>Fees</w:t>
            </w: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Earned or</w:t>
            </w:r>
          </w:p>
        </w:tc>
        <w:tc>
          <w:tcPr>
            <w:tcW w:w="6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Paid in</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Cash</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2"/>
              </w:rPr>
              <w:t>Glynn</w:t>
            </w:r>
          </w:p>
        </w:tc>
        <w:tc>
          <w:tcPr>
            <w:tcW w:w="38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Wilson</w:t>
            </w:r>
          </w:p>
        </w:tc>
        <w:tc>
          <w:tcPr>
            <w:tcW w:w="2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Nil</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Nil</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Nil</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rPr>
              <w:t>Nil</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Nil</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40" w:type="dxa"/>
            <w:vAlign w:val="bottom"/>
            <w:gridSpan w:val="3"/>
          </w:tcPr>
          <w:p>
            <w:pPr>
              <w:spacing w:after="0"/>
              <w:rPr>
                <w:sz w:val="20"/>
                <w:szCs w:val="20"/>
                <w:color w:val="auto"/>
              </w:rPr>
            </w:pPr>
            <w:r>
              <w:rPr>
                <w:rFonts w:ascii="Arial" w:cs="Arial" w:eastAsia="Arial" w:hAnsi="Arial"/>
                <w:sz w:val="18"/>
                <w:szCs w:val="18"/>
                <w:color w:val="auto"/>
              </w:rPr>
              <w:t>David Laskow-Pooley</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13,000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97,000</w:t>
            </w:r>
          </w:p>
        </w:tc>
        <w:tc>
          <w:tcPr>
            <w:tcW w:w="0" w:type="dxa"/>
            <w:vAlign w:val="bottom"/>
          </w:tcPr>
          <w:p>
            <w:pPr>
              <w:spacing w:after="0"/>
              <w:rPr>
                <w:sz w:val="1"/>
                <w:szCs w:val="1"/>
                <w:color w:val="auto"/>
              </w:rPr>
            </w:pPr>
          </w:p>
        </w:tc>
      </w:tr>
      <w:tr>
        <w:trPr>
          <w:trHeight w:val="324"/>
        </w:trPr>
        <w:tc>
          <w:tcPr>
            <w:tcW w:w="4240" w:type="dxa"/>
            <w:vAlign w:val="bottom"/>
            <w:gridSpan w:val="3"/>
          </w:tcPr>
          <w:p>
            <w:pPr>
              <w:spacing w:after="0"/>
              <w:rPr>
                <w:sz w:val="20"/>
                <w:szCs w:val="20"/>
                <w:color w:val="auto"/>
              </w:rPr>
            </w:pPr>
            <w:r>
              <w:rPr>
                <w:rFonts w:ascii="Arial" w:cs="Arial" w:eastAsia="Arial" w:hAnsi="Arial"/>
                <w:sz w:val="18"/>
                <w:szCs w:val="18"/>
                <w:color w:val="auto"/>
              </w:rPr>
              <w:t>John Bonfiglio</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4,000</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119,000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145,000*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$268,000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Nil</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320" w:hanging="212"/>
        <w:spacing w:after="0" w:line="277" w:lineRule="auto"/>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fees paid to Dr. Bonfiglio for consulting services during the year pursuant to a consulting agreement we entered into with Dr. Bonfiglio and subsequently amended. See discussion below of the terms of the consulting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its meeting on November 6, 2015 the Non-Employee Director Compensation Plan was ratified and approved and provided for the following:</w:t>
      </w:r>
    </w:p>
    <w:p>
      <w:pPr>
        <w:spacing w:after="0" w:line="131" w:lineRule="exact"/>
        <w:rPr>
          <w:sz w:val="20"/>
          <w:szCs w:val="20"/>
          <w:color w:val="auto"/>
        </w:rPr>
      </w:pPr>
    </w:p>
    <w:p>
      <w:pPr>
        <w:ind w:left="5620" w:right="2360" w:hanging="5166"/>
        <w:spacing w:after="0" w:line="449" w:lineRule="auto"/>
        <w:tabs>
          <w:tab w:leader="none" w:pos="89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initial grant upon joining the Board of 150,000 stock options under the 2014 Omnibus Stock Ownership Plan; 60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person meeting fees of $2,000, with the anticipation that four in person board meetings would be held each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fees for telephonic meetings (board and committee);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annual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committee meeting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committee chair fees;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Reimbursement of reasonable expenses incurred.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Consulting and Services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Wilson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12, 2015, the Company entered into a new employment agreement with Dr. Glynn Wilson, the Company’s Chief Executive Officer, President and Chairman, the material terms and conditions of which are summarized below.</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employment agreement provides that Dr. Wilson will serve as the Chief Executive Officer, President and Chairman of the Company.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Dr. Wilson will be entitled to 21 days paid vacation per calendar year plus such sick leave as he may reasonably and actually require, and he will be entitled to participate in all group insurance, vacation, retirement and other employee benefits established by Company for its full time employees generally, on terms comparable to those provided to such employees from time to time by the Company.</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entering into the new agreement, Dr. Wilson received equity awards under the Company’s 2014 Omnibus Stock Ownership Plan consisting of (i) an award of 315,000 shares of unregistered common stock, which immediately vested, and (ii) an award of stock options to purchase 2 million shares of Company common stock, prior to November 12, 2025, for $0.605 per share (the closing price of the common stock on November 12, 2015). One-half of the stock options immediately vested, and the remaining 1 million shares will vest ratably over the following 24 months.</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If the agreement is terminated by the Company without cause (as defined in the agreement), or if the agreement is terminated by Dr. Wilson for good reason (as defined in the agreement), the Company is required to pay Dr. Wilson a severance payment in an amount equal to 2/3 of his annual base salary, plus any amount of his annual performance bonus that was earned as of the date of termination but not yet paid.</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the agreement is terminated either by the Company without cause or by Dr. Wilson for good reason during the period of ninety (90) days following a change in control (as defined in the agreement), then in lieu of the severance payment described above, the Company is required to pay Dr. Wilson severance equal to the sum of (i) 2/3 of his annual base salary and (ii) his Annual Performance Bonus for the year which includes the effective date of the change in control, payable at the target level of performance. In addition, the Company will also be required to pay Dr. Wilson the amount of any annual performance bonus that, as of the date of termination, has been earned by him but not yet paid. If Dr. Wilson holds any stock options or other stock awards granted under the Company’s equity plans which are not fully vested at the time his employment with the Company is terminated either by the Company without Cause or by him for good reason during the period of ninety (90) days following a change in control, such equity awards shall become fully vested as of the termination date.</w:t>
      </w:r>
    </w:p>
    <w:p>
      <w:pPr>
        <w:spacing w:after="0" w:line="19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agreement provides that Dr. Wilson may not solicit any of the Company’s employees or compete directly or indirectly with the Company during the term of the agreement and for one year after its expiration anywhere in the United States. The agreement contains customary confidentiality provisions.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Bonfiglio</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February 10, 2015, we entered into a Consulting Agreement with Dr. Bonfiglio. Pursuant to that Agreement, Dr. Bonfiglio was to (a) review our strategy, technology differentiation and development; (b) identify and implement new strategies to increase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financing opportunities; (c) present our company at external meetings and conferences; (d) develop and implement improved an investors’ relations program; and (e) upgrade our management team and Board of Directors. The Agreement provided that Dr. Bonfiglio would perform such services for up to 80 hours per month, and in exchange for these services, he would be paid $10,000 per month and receive 250,000 options to purchase shares of our common stock for $0.145 per share. The stock options vested as follows: 33,333 options vested at the end of each of the first three months and 16,666 options vested at the end of each of the following nine months. The term of the Agreement was originally one year, and provided for termination by either party with 30 days’ notice. The Agreement was amended in June 2015 to increase the monthly cash payment to $15,000 per month, and increase the number of hours during which Dr. Bonfiglio would perform services to up to 120 hours per month. The Agreement was amended again in February 2016 to extend the term until August 10, 2016.</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PRINCIPAL STOCKHOLDERS, OFFICERS AND DIRECTORS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sets forth, as of the date of this Prospectus certain information regarding the ownership of our common stock by (i) each person known by us to be the beneficial owner of more than 5% of our outstanding shares of common stock, (ii) each of our directors, (iii) our Chief Executive Officer and</w:t>
      </w:r>
    </w:p>
    <w:p>
      <w:pPr>
        <w:ind w:right="80" w:firstLine="8"/>
        <w:spacing w:after="0" w:line="277" w:lineRule="auto"/>
        <w:tabs>
          <w:tab w:leader="none" w:pos="30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of our directors and our Chief Executive Officer as a group. Unless otherwise indicated, the address of each person shown is c/o TapImmune Inc., 50 N. Laura Street, Suite 2500, Jacksonville, Florida 32202. Beneficial ownership, for purposes of this table, includes options and warrants to purchase common stock that are either currently exercisable or will be exercisable within 60 days of the date of this prospectus.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Amount and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Nature of</w:t>
            </w: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80" w:type="dxa"/>
            <w:vAlign w:val="bottom"/>
            <w:gridSpan w:val="3"/>
            <w:vMerge w:val="continue"/>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Owner(1)</w:t>
            </w:r>
          </w:p>
        </w:tc>
        <w:tc>
          <w:tcPr>
            <w:tcW w:w="2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Officers:</w:t>
            </w:r>
          </w:p>
        </w:tc>
        <w:tc>
          <w:tcPr>
            <w:tcW w:w="39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Dr. Glynn Wilson, Chairman and Chief Executive Officer (2)</w:t>
            </w:r>
          </w:p>
        </w:tc>
        <w:tc>
          <w:tcPr>
            <w:tcW w:w="860" w:type="dxa"/>
            <w:vAlign w:val="bottom"/>
          </w:tcPr>
          <w:p>
            <w:pPr>
              <w:jc w:val="right"/>
              <w:spacing w:after="0"/>
              <w:rPr>
                <w:sz w:val="20"/>
                <w:szCs w:val="20"/>
                <w:color w:val="auto"/>
              </w:rPr>
            </w:pPr>
            <w:r>
              <w:rPr>
                <w:rFonts w:ascii="Arial" w:cs="Arial" w:eastAsia="Arial" w:hAnsi="Arial"/>
                <w:sz w:val="18"/>
                <w:szCs w:val="18"/>
                <w:color w:val="auto"/>
              </w:rPr>
              <w:t>2,911,675</w:t>
            </w:r>
          </w:p>
        </w:tc>
        <w:tc>
          <w:tcPr>
            <w:tcW w:w="3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 Director (3)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381,167*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Sherry Grisewood, Director (4)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178,330*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John Bonfiglio, Director (5)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David Laskow-Pooley, Director (6)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 Director (7)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(6 persons)</w:t>
            </w:r>
          </w:p>
        </w:tc>
        <w:tc>
          <w:tcPr>
            <w:tcW w:w="860" w:type="dxa"/>
            <w:vAlign w:val="bottom"/>
          </w:tcPr>
          <w:p>
            <w:pPr>
              <w:jc w:val="right"/>
              <w:spacing w:after="0"/>
              <w:rPr>
                <w:sz w:val="20"/>
                <w:szCs w:val="20"/>
                <w:color w:val="auto"/>
              </w:rPr>
            </w:pPr>
            <w:r>
              <w:rPr>
                <w:rFonts w:ascii="Arial" w:cs="Arial" w:eastAsia="Arial" w:hAnsi="Arial"/>
                <w:sz w:val="18"/>
                <w:szCs w:val="18"/>
                <w:color w:val="auto"/>
              </w:rPr>
              <w:t>4,171,172</w:t>
            </w:r>
          </w:p>
        </w:tc>
        <w:tc>
          <w:tcPr>
            <w:tcW w:w="3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Major Stockholders: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Eastern Capital Limited (8)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40,000,000</w:t>
            </w:r>
          </w:p>
        </w:tc>
        <w:tc>
          <w:tcPr>
            <w:tcW w:w="3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Capital Management L. L. C.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8,481,124</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Brio Capital Master Fund (11)</w:t>
            </w:r>
          </w:p>
        </w:tc>
        <w:tc>
          <w:tcPr>
            <w:tcW w:w="860" w:type="dxa"/>
            <w:vAlign w:val="bottom"/>
          </w:tcPr>
          <w:p>
            <w:pPr>
              <w:jc w:val="right"/>
              <w:spacing w:after="0"/>
              <w:rPr>
                <w:sz w:val="20"/>
                <w:szCs w:val="20"/>
                <w:color w:val="auto"/>
              </w:rPr>
            </w:pPr>
            <w:r>
              <w:rPr>
                <w:rFonts w:ascii="Arial" w:cs="Arial" w:eastAsia="Arial" w:hAnsi="Arial"/>
                <w:sz w:val="18"/>
                <w:szCs w:val="18"/>
                <w:color w:val="auto"/>
              </w:rPr>
              <w:t>4,711,239</w:t>
            </w:r>
          </w:p>
        </w:tc>
        <w:tc>
          <w:tcPr>
            <w:tcW w:w="3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Asset Management LP (10)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4,963,792</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American Capital Management L. L. C. (12)</w:t>
            </w:r>
          </w:p>
        </w:tc>
        <w:tc>
          <w:tcPr>
            <w:tcW w:w="860" w:type="dxa"/>
            <w:vAlign w:val="bottom"/>
          </w:tcPr>
          <w:p>
            <w:pPr>
              <w:jc w:val="right"/>
              <w:spacing w:after="0"/>
              <w:rPr>
                <w:sz w:val="20"/>
                <w:szCs w:val="20"/>
                <w:color w:val="auto"/>
              </w:rPr>
            </w:pPr>
            <w:r>
              <w:rPr>
                <w:rFonts w:ascii="Arial" w:cs="Arial" w:eastAsia="Arial" w:hAnsi="Arial"/>
                <w:sz w:val="18"/>
                <w:szCs w:val="18"/>
                <w:color w:val="auto"/>
              </w:rPr>
              <w:t>5,250,000</w:t>
            </w:r>
          </w:p>
        </w:tc>
        <w:tc>
          <w:tcPr>
            <w:tcW w:w="3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3" w:lineRule="exact"/>
        <w:rPr>
          <w:sz w:val="20"/>
          <w:szCs w:val="20"/>
          <w:color w:val="auto"/>
        </w:rPr>
      </w:pPr>
    </w:p>
    <w:p>
      <w:pPr>
        <w:ind w:left="460" w:right="80" w:hanging="452"/>
        <w:spacing w:after="0" w:line="265"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Prospectus. As of May 10, 2016 there were 71,030,762 shares of common stock issued and outstanding.</w:t>
      </w:r>
    </w:p>
    <w:p>
      <w:pPr>
        <w:spacing w:after="0" w:line="2" w:lineRule="exact"/>
        <w:rPr>
          <w:rFonts w:ascii="Arial" w:cs="Arial" w:eastAsia="Arial" w:hAnsi="Arial"/>
          <w:sz w:val="17"/>
          <w:szCs w:val="17"/>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2,038,000 shares subject to purchase under stock options, 1,329,662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400,000 shares subject to purchase under stock options, 318,750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 93,750 of which have vested.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figure includes 150,000 shares subject to purchase under stock options, 25,000 of which have vested.</w:t>
      </w:r>
    </w:p>
    <w:p>
      <w:pPr>
        <w:spacing w:after="0" w:line="9" w:lineRule="exact"/>
        <w:rPr>
          <w:rFonts w:ascii="Arial" w:cs="Arial" w:eastAsia="Arial" w:hAnsi="Arial"/>
          <w:sz w:val="18"/>
          <w:szCs w:val="18"/>
          <w:color w:val="auto"/>
        </w:rPr>
      </w:pPr>
    </w:p>
    <w:p>
      <w:pPr>
        <w:ind w:left="460" w:right="260" w:hanging="452"/>
        <w:spacing w:after="0" w:line="265"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information is based upon the Schedule 13D jointly filed with the Securities and Exchange Commission by Eastern Capital Limited, Portfolio Services LTD. and Kenneth B. Dart, on September 29, 2015. Eastern Capital Limited’s address is 10 Market St. #773, Camana Bay, Grand Cayman KY1-1206 Cayman Islands. Eastern Capital beneficially owns 20,000,000 shares of common stock and 20,000,000 shares of common stock issuable upon exercise of the Series A-1 Warrants, Series C-1 Warrants, Series D-1 Warrants and Series E-1 Warrants.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1" w:lineRule="exact"/>
        <w:rPr>
          <w:rFonts w:ascii="Arial" w:cs="Arial" w:eastAsia="Arial" w:hAnsi="Arial"/>
          <w:sz w:val="17"/>
          <w:szCs w:val="17"/>
          <w:color w:val="auto"/>
        </w:rPr>
      </w:pPr>
    </w:p>
    <w:p>
      <w:pPr>
        <w:ind w:left="460" w:right="80" w:hanging="452"/>
        <w:spacing w:after="0" w:line="252"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information is based upon the Schedule 13G jointly filed with the Securities and Exchange Commission by Iroquois Capital Management L. L. C., Joshua Silverman and Richard Abbe on February 8, 2016. The Series A, D and E Warrants are subject to a limit of exercise to the extent (and only to the extent) that Iroquois Capital Management L.L.C. , or any of its affiliates would beneficially own in excess of 4.9% (the “Maximum Percentage”) of the common stock after giving effect to such exercise. The Series C Warrants are subject to a limit of exercise to the extent (and only to the extent) that Iroquois Capital Management L.L.C., or any of its affiliates would beneficially own in excess of 9.9% of the common stock after giving effect to such exercise.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Pursuant to the terms of the warrants, the reporting persons cannot exercise (i) any of the warrants that are Series A, Series D or Series E Warrants if the reporting persons would beneficially own, after any such exercise, more than 4.9% of the outstanding shares of common stock or (ii) any of the warrants that are Series C warrants if the reporting persons would beneficially own, after any such exercise, more than 9.9% of the outstanding shares of common stock (the applicable “Blockers”). The reporting persons are not able to exercise all of the warrants due to the applicable Blockers.</w:t>
      </w:r>
    </w:p>
    <w:p>
      <w:pPr>
        <w:spacing w:after="0" w:line="46"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Mr. Abbe and Mr. Silverman are the members of Iroquois who have the authority and responsibility for the investments made on behalf of the Fund. As such, Mr. Abbe and Mr. Silverman may be deemed to be the beneficial owner of all shares of common stock held by, and underlying the warrants (subject to the applicable Blockers) held by, the Fund. In addition, by virtue of his position as a custodian or trustee of certain Accounts (The Merav Abbe Irrevocable Trust, The Samantha Abbe Irrevocable Trust, The Talia Abbe Irrevocable Trust and The Bennett Abbe Irrevocable Trust), Mr. Abbe may be deemed to be the beneficial owner of the shares of common stock held by, and underlying the warrants (subject to the applicable Blockers) held by, such Accounts.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 except to the extent of their pecuniary interest therein.</w:t>
      </w:r>
    </w:p>
    <w:p>
      <w:pPr>
        <w:spacing w:after="0" w:line="84" w:lineRule="exact"/>
        <w:rPr>
          <w:sz w:val="20"/>
          <w:szCs w:val="20"/>
          <w:color w:val="auto"/>
        </w:rPr>
      </w:pPr>
    </w:p>
    <w:p>
      <w:pPr>
        <w:ind w:left="460" w:right="160" w:hanging="452"/>
        <w:spacing w:after="0" w:line="276"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information is based upon the Schedule 13G filed with the Securities and Exchange Commission by Brio Capital Master Fund Ltd. on January 29, 2016. The Series C Warrants are subject to a limit of exercise to the extent (and only to the extent) that Brio Capital Master Fund Ltd. or any of its affiliates would beneficially own in excess of 9.9% (the “Maximum Percentage”) of the common stock after giving effect to such exercise. The warrants acquired in 2014 are subject to a limit of exercise to the extent (and only to the extent) that Brio Capital Master Fund Ltd. or any of its affiliates would beneficially own in excess of 4.9% of the common stock after giving effect to such exercise.</w:t>
      </w:r>
    </w:p>
    <w:p>
      <w:pPr>
        <w:spacing w:after="0" w:line="64" w:lineRule="exact"/>
        <w:rPr>
          <w:rFonts w:ascii="Arial" w:cs="Arial" w:eastAsia="Arial" w:hAnsi="Arial"/>
          <w:sz w:val="17"/>
          <w:szCs w:val="17"/>
          <w:color w:val="auto"/>
        </w:rPr>
      </w:pPr>
    </w:p>
    <w:p>
      <w:pPr>
        <w:ind w:left="460"/>
        <w:spacing w:after="0" w:line="257" w:lineRule="auto"/>
        <w:rPr>
          <w:rFonts w:ascii="Arial" w:cs="Arial" w:eastAsia="Arial" w:hAnsi="Arial"/>
          <w:sz w:val="17"/>
          <w:szCs w:val="17"/>
          <w:color w:val="auto"/>
        </w:rPr>
      </w:pPr>
      <w:r>
        <w:rPr>
          <w:rFonts w:ascii="Arial" w:cs="Arial" w:eastAsia="Arial" w:hAnsi="Arial"/>
          <w:sz w:val="18"/>
          <w:szCs w:val="18"/>
          <w:color w:val="auto"/>
        </w:rPr>
        <w:t>Pursuant to the terms of (i) the Series C Warrants, the reporting persons cannot exercise any of such warrants if the reporting persons would beneficially own, after any such exercise, more than 9.9% of the outstanding shares of common stock, and (ii) the warrants issued in 2014, the reporting persons cannot exercise any of such warrants if the reporting persons would beneficially own, after any such exercise, more than 4.99% of the outstanding shares of common stock (the “Blockers”). Consequently, the reporting persons were not able to exercise all of the warrants due to the Blockers.</w:t>
      </w:r>
    </w:p>
    <w:p>
      <w:pPr>
        <w:spacing w:after="0" w:line="93" w:lineRule="exact"/>
        <w:rPr>
          <w:rFonts w:ascii="Arial" w:cs="Arial" w:eastAsia="Arial" w:hAnsi="Arial"/>
          <w:sz w:val="17"/>
          <w:szCs w:val="17"/>
          <w:color w:val="auto"/>
        </w:rPr>
      </w:pPr>
    </w:p>
    <w:p>
      <w:pPr>
        <w:ind w:left="460" w:right="12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information is based upon the Schedule 13G jointly filed with the Securities and Exchange Commission by Empery Asset Management LP, Ryan M. Lane and Martin D. Hoe on January 19, 2016. Assumes exercise of all Class C Warrants, are subject to a limit of exercise to the extent (and only to the extent) that Empery Asset Management LP or any of its affiliates would beneficially own in excess of 9.9% (the “Maximum Percentage”) of the common stock after giving effect to such exercise.</w:t>
      </w:r>
    </w:p>
    <w:p>
      <w:pPr>
        <w:spacing w:after="0" w:line="79" w:lineRule="exact"/>
        <w:rPr>
          <w:sz w:val="20"/>
          <w:szCs w:val="20"/>
          <w:color w:val="auto"/>
        </w:rPr>
      </w:pPr>
    </w:p>
    <w:p>
      <w:pPr>
        <w:ind w:left="460" w:right="20"/>
        <w:spacing w:after="0" w:line="293" w:lineRule="auto"/>
        <w:rPr>
          <w:sz w:val="20"/>
          <w:szCs w:val="20"/>
          <w:color w:val="auto"/>
        </w:rPr>
      </w:pPr>
      <w:r>
        <w:rPr>
          <w:rFonts w:ascii="Arial" w:cs="Arial" w:eastAsia="Arial" w:hAnsi="Arial"/>
          <w:sz w:val="16"/>
          <w:szCs w:val="16"/>
          <w:color w:val="auto"/>
        </w:rPr>
        <w:t>The Investment Manager, which serves as the investment manager to the Empery Funds, may be deemed to be the beneficial owner of all shares of common stock held by, and underlying the reported warrants (subject to the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warrants (subject to the Blockers) held by, the Empery Funds.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w:t>
      </w:r>
    </w:p>
    <w:p>
      <w:pPr>
        <w:spacing w:after="0" w:line="70" w:lineRule="exact"/>
        <w:rPr>
          <w:sz w:val="20"/>
          <w:szCs w:val="20"/>
          <w:color w:val="auto"/>
        </w:rPr>
      </w:pPr>
    </w:p>
    <w:p>
      <w:pPr>
        <w:ind w:left="460" w:right="40" w:hanging="452"/>
        <w:spacing w:after="0" w:line="297"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All information is based upon the Schedule 13G jointly filed with the Securities and Exchange Commission by American Capital Management L. L. C. and Kimberly Page on February 8, 2016. The Series A, D and E Warrants are subject to a limit of exercise to the extent (and only to the extent) that American Capital Management L. L. C. or any of its affiliates would beneficially own in excess of 4.9% (the “Maximum Percentage”) of the common stock after giving effect to such exercise. The Series C Warrants are subject to a limit of exercise to the extent (and only to the extent) that American Capital Management L. L. C., or any of its affiliates would beneficially own in excess of 9.9% of the common stock after giving effect to such exercise.</w:t>
      </w:r>
    </w:p>
    <w:p>
      <w:pPr>
        <w:spacing w:after="0" w:line="50" w:lineRule="exact"/>
        <w:rPr>
          <w:rFonts w:ascii="Arial" w:cs="Arial" w:eastAsia="Arial" w:hAnsi="Arial"/>
          <w:sz w:val="16"/>
          <w:szCs w:val="16"/>
          <w:color w:val="auto"/>
        </w:rPr>
      </w:pPr>
    </w:p>
    <w:p>
      <w:pPr>
        <w:ind w:left="460"/>
        <w:spacing w:after="0" w:line="259" w:lineRule="auto"/>
        <w:rPr>
          <w:rFonts w:ascii="Arial" w:cs="Arial" w:eastAsia="Arial" w:hAnsi="Arial"/>
          <w:sz w:val="16"/>
          <w:szCs w:val="16"/>
          <w:color w:val="auto"/>
        </w:rPr>
      </w:pPr>
      <w:r>
        <w:rPr>
          <w:rFonts w:ascii="Arial" w:cs="Arial" w:eastAsia="Arial" w:hAnsi="Arial"/>
          <w:sz w:val="18"/>
          <w:szCs w:val="18"/>
          <w:color w:val="auto"/>
        </w:rPr>
        <w:t>Pursuant to the terms of the warrants, the reporting persons cannot exercise (i) any of the warrants that are Series A, Series D or Series E Warrants if the reporting persons would beneficially own, after any such exercise, more than 4.9% of the outstanding shares of common stock or (ii) any of the warrants that are Series C Warrants if the reporting persons would beneficially own, after any such exercise, more than 9.9% of the outstanding shares of common stock (the applicable “Blockers”).</w:t>
      </w:r>
    </w:p>
    <w:p>
      <w:pPr>
        <w:spacing w:after="0" w:line="78" w:lineRule="exact"/>
        <w:rPr>
          <w:rFonts w:ascii="Arial" w:cs="Arial" w:eastAsia="Arial" w:hAnsi="Arial"/>
          <w:sz w:val="16"/>
          <w:szCs w:val="16"/>
          <w:color w:val="auto"/>
        </w:rPr>
      </w:pPr>
    </w:p>
    <w:p>
      <w:pPr>
        <w:ind w:left="460" w:right="200"/>
        <w:spacing w:after="0" w:line="264" w:lineRule="auto"/>
        <w:rPr>
          <w:rFonts w:ascii="Arial" w:cs="Arial" w:eastAsia="Arial" w:hAnsi="Arial"/>
          <w:sz w:val="16"/>
          <w:szCs w:val="16"/>
          <w:color w:val="auto"/>
        </w:rPr>
      </w:pPr>
      <w:r>
        <w:rPr>
          <w:rFonts w:ascii="Arial" w:cs="Arial" w:eastAsia="Arial" w:hAnsi="Arial"/>
          <w:sz w:val="18"/>
          <w:szCs w:val="18"/>
          <w:color w:val="auto"/>
        </w:rPr>
        <w:t>Ms. Page has the authority and responsibility for the investments made on behalf of ACM and accordingly, has voting and dispositive power over the shares of common stock held by ACM. As such, Ms. Page may be deemed to be the beneficial owner of all shares of common stock held by, and underlying the warrants (subject to the applicable Blockers) held by, ACM.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are no arrangements or understanding among the parties set out above or their respective associates or affiliates concerning election of directors or any other matters which may require stockholder approval.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than the changes in stock ownership by our major stockholders who hold warrants to acquire additional shares of our common stock (as reflected in the footnotes to the table above), we are unaware of any contract, or other arrangement or provision, the operation of which may at a subsequent date result in a change of control of our Company.</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consolidated financial statements as of December 31, 2015 and December 31, 2014, and for the period then ending, have been included in the prospectus in reliance upon the report of Marcum LLP, independent registered public accounting firm, and upon the authority of said firm as experts in accounting and auditing.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firm of Sanders Ortoli Vaughn-Flam Rosenstadt LLP has issued an opinion regarding the legality and validity of the securities offered under this prospectus.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We are a reporting company and file annual, quarterly and current reports, proxy statements and other information with the SEC. We have filed with the SEC a registration statement on Form S-1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264"/>
        </w:trPr>
        <w:tc>
          <w:tcPr>
            <w:tcW w:w="2600" w:type="dxa"/>
            <w:vAlign w:val="bottom"/>
            <w:tcBorders>
              <w:bottom w:val="single" w:sz="8" w:color="0000EE"/>
            </w:tcBorders>
          </w:tcPr>
          <w:p>
            <w:pPr>
              <w:spacing w:after="0"/>
              <w:rPr>
                <w:rFonts w:ascii="Arial" w:cs="Arial" w:eastAsia="Arial" w:hAnsi="Arial"/>
                <w:sz w:val="18"/>
                <w:szCs w:val="18"/>
                <w:b w:val="1"/>
                <w:bCs w:val="1"/>
                <w:color w:val="0000EE"/>
                <w:w w:val="90"/>
              </w:rPr>
            </w:pPr>
            <w:hyperlink w:anchor="page82">
              <w:r>
                <w:rPr>
                  <w:rFonts w:ascii="Arial" w:cs="Arial" w:eastAsia="Arial" w:hAnsi="Arial"/>
                  <w:sz w:val="18"/>
                  <w:szCs w:val="18"/>
                  <w:b w:val="1"/>
                  <w:bCs w:val="1"/>
                  <w:color w:val="0000EE"/>
                  <w:w w:val="90"/>
                </w:rPr>
                <w:t>Financial Statements (Unaudited)</w:t>
              </w:r>
            </w:hyperlink>
          </w:p>
        </w:tc>
        <w:tc>
          <w:tcPr>
            <w:tcW w:w="7240" w:type="dxa"/>
            <w:vAlign w:val="bottom"/>
            <w:gridSpan w:val="12"/>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F-2</w:t>
            </w:r>
          </w:p>
        </w:tc>
      </w:tr>
      <w:tr>
        <w:trPr>
          <w:trHeight w:val="304"/>
        </w:trPr>
        <w:tc>
          <w:tcPr>
            <w:tcW w:w="658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82">
              <w:r>
                <w:rPr>
                  <w:rFonts w:ascii="Arial" w:cs="Arial" w:eastAsia="Arial" w:hAnsi="Arial"/>
                  <w:sz w:val="18"/>
                  <w:szCs w:val="18"/>
                  <w:b w:val="1"/>
                  <w:bCs w:val="1"/>
                  <w:color w:val="0000EE"/>
                  <w:w w:val="88"/>
                </w:rPr>
                <w:t>Condensed Consolidated Balance Sheets as of March 31, 2016 and December 31, 2015</w:t>
              </w:r>
            </w:hyperlink>
          </w:p>
        </w:tc>
        <w:tc>
          <w:tcPr>
            <w:tcW w:w="3260" w:type="dxa"/>
            <w:vAlign w:val="bottom"/>
            <w:gridSpan w:val="7"/>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F-2</w:t>
            </w:r>
          </w:p>
        </w:tc>
      </w:tr>
      <w:tr>
        <w:trPr>
          <w:trHeight w:val="304"/>
        </w:trPr>
        <w:tc>
          <w:tcPr>
            <w:tcW w:w="9840" w:type="dxa"/>
            <w:vAlign w:val="bottom"/>
            <w:gridSpan w:val="13"/>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Condensed Consolidated Statements of Operations Loss for the Three Months Ended March 31, 2016 and 2015</w:t>
              </w:r>
            </w:hyperlink>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F-3</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8760" w:type="dxa"/>
            <w:vAlign w:val="bottom"/>
            <w:tcBorders>
              <w:bottom w:val="single" w:sz="8" w:color="0000EE"/>
            </w:tcBorders>
            <w:gridSpan w:val="12"/>
          </w:tcPr>
          <w:p>
            <w:pPr>
              <w:spacing w:after="0"/>
              <w:rPr>
                <w:rFonts w:ascii="Arial" w:cs="Arial" w:eastAsia="Arial" w:hAnsi="Arial"/>
                <w:sz w:val="18"/>
                <w:szCs w:val="18"/>
                <w:b w:val="1"/>
                <w:bCs w:val="1"/>
                <w:color w:val="0000EE"/>
                <w:w w:val="90"/>
              </w:rPr>
            </w:pPr>
            <w:hyperlink w:anchor="page84">
              <w:r>
                <w:rPr>
                  <w:rFonts w:ascii="Arial" w:cs="Arial" w:eastAsia="Arial" w:hAnsi="Arial"/>
                  <w:sz w:val="18"/>
                  <w:szCs w:val="18"/>
                  <w:b w:val="1"/>
                  <w:bCs w:val="1"/>
                  <w:color w:val="0000EE"/>
                  <w:w w:val="90"/>
                </w:rPr>
                <w:t>Condensed Consolidated Statement of Stockholders’ Equity (Deficit) for the Three Months Ended March 31, 2016</w:t>
              </w:r>
            </w:hyperlink>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F-4</w:t>
            </w:r>
          </w:p>
        </w:tc>
      </w:tr>
      <w:tr>
        <w:trPr>
          <w:trHeight w:val="304"/>
        </w:trPr>
        <w:tc>
          <w:tcPr>
            <w:tcW w:w="8160" w:type="dxa"/>
            <w:vAlign w:val="bottom"/>
            <w:tcBorders>
              <w:bottom w:val="single" w:sz="8" w:color="0000EE"/>
            </w:tcBorders>
            <w:gridSpan w:val="9"/>
          </w:tcPr>
          <w:p>
            <w:pPr>
              <w:spacing w:after="0"/>
              <w:rPr>
                <w:rFonts w:ascii="Arial" w:cs="Arial" w:eastAsia="Arial" w:hAnsi="Arial"/>
                <w:sz w:val="18"/>
                <w:szCs w:val="18"/>
                <w:b w:val="1"/>
                <w:bCs w:val="1"/>
                <w:color w:val="0000EE"/>
                <w:w w:val="89"/>
              </w:rPr>
            </w:pPr>
            <w:hyperlink w:anchor="page85">
              <w:r>
                <w:rPr>
                  <w:rFonts w:ascii="Arial" w:cs="Arial" w:eastAsia="Arial" w:hAnsi="Arial"/>
                  <w:sz w:val="18"/>
                  <w:szCs w:val="18"/>
                  <w:b w:val="1"/>
                  <w:bCs w:val="1"/>
                  <w:color w:val="0000EE"/>
                  <w:w w:val="89"/>
                </w:rPr>
                <w:t>Condensed Consolidated Statements of Cash Flows for the Three Months Ended March 31, 2016 and 2015</w:t>
              </w:r>
            </w:hyperlink>
          </w:p>
        </w:tc>
        <w:tc>
          <w:tcPr>
            <w:tcW w:w="1680" w:type="dxa"/>
            <w:vAlign w:val="bottom"/>
            <w:gridSpan w:val="4"/>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F-5</w:t>
            </w:r>
          </w:p>
        </w:tc>
      </w:tr>
      <w:tr>
        <w:trPr>
          <w:trHeight w:val="304"/>
        </w:trPr>
        <w:tc>
          <w:tcPr>
            <w:tcW w:w="9840" w:type="dxa"/>
            <w:vAlign w:val="bottom"/>
            <w:gridSpan w:val="13"/>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Notes to Condensed Consolidated Financial Statements</w:t>
              </w:r>
            </w:hyperlink>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F-7</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4520" w:type="dxa"/>
            <w:vAlign w:val="bottom"/>
            <w:tcBorders>
              <w:bottom w:val="single" w:sz="8" w:color="0000EE"/>
            </w:tcBorders>
            <w:gridSpan w:val="4"/>
          </w:tcPr>
          <w:p>
            <w:pPr>
              <w:spacing w:after="0"/>
              <w:rPr>
                <w:rFonts w:ascii="Arial" w:cs="Arial" w:eastAsia="Arial" w:hAnsi="Arial"/>
                <w:sz w:val="18"/>
                <w:szCs w:val="18"/>
                <w:b w:val="1"/>
                <w:bCs w:val="1"/>
                <w:color w:val="0000EE"/>
                <w:w w:val="90"/>
              </w:rPr>
            </w:pPr>
            <w:hyperlink w:anchor="page91">
              <w:r>
                <w:rPr>
                  <w:rFonts w:ascii="Arial" w:cs="Arial" w:eastAsia="Arial" w:hAnsi="Arial"/>
                  <w:sz w:val="18"/>
                  <w:szCs w:val="18"/>
                  <w:b w:val="1"/>
                  <w:bCs w:val="1"/>
                  <w:color w:val="0000EE"/>
                  <w:w w:val="90"/>
                </w:rPr>
                <w:t>Report of Independent Registered Public Accounting Firm</w:t>
              </w:r>
            </w:hyperlink>
          </w:p>
        </w:tc>
        <w:tc>
          <w:tcPr>
            <w:tcW w:w="5320" w:type="dxa"/>
            <w:vAlign w:val="bottom"/>
            <w:gridSpan w:val="9"/>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F-11</w:t>
            </w:r>
          </w:p>
        </w:tc>
      </w:tr>
      <w:tr>
        <w:trPr>
          <w:trHeight w:val="304"/>
        </w:trPr>
        <w:tc>
          <w:tcPr>
            <w:tcW w:w="9840" w:type="dxa"/>
            <w:vAlign w:val="bottom"/>
            <w:gridSpan w:val="13"/>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Consolidated Balance Sheets as of December 31, 2015 and 2014</w:t>
              </w:r>
            </w:hyperlink>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F-12</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9840" w:type="dxa"/>
            <w:vAlign w:val="bottom"/>
            <w:gridSpan w:val="13"/>
          </w:tcPr>
          <w:p>
            <w:pPr>
              <w:spacing w:after="0"/>
              <w:rPr>
                <w:rFonts w:ascii="Arial" w:cs="Arial" w:eastAsia="Arial" w:hAnsi="Arial"/>
                <w:sz w:val="18"/>
                <w:szCs w:val="18"/>
                <w:b w:val="1"/>
                <w:bCs w:val="1"/>
                <w:color w:val="0000EE"/>
                <w:w w:val="99"/>
              </w:rPr>
            </w:pPr>
            <w:hyperlink w:anchor="page93">
              <w:r>
                <w:rPr>
                  <w:rFonts w:ascii="Arial" w:cs="Arial" w:eastAsia="Arial" w:hAnsi="Arial"/>
                  <w:sz w:val="18"/>
                  <w:szCs w:val="18"/>
                  <w:b w:val="1"/>
                  <w:bCs w:val="1"/>
                  <w:color w:val="0000EE"/>
                  <w:w w:val="99"/>
                </w:rPr>
                <w:t>Consolidated Statements of Operations and Comprehensive Loss for the years ended December 31, 2015 and 2014</w:t>
              </w:r>
            </w:hyperlink>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F-13</w:t>
            </w:r>
          </w:p>
        </w:tc>
      </w:tr>
      <w:tr>
        <w:trPr>
          <w:trHeight w:val="304"/>
        </w:trPr>
        <w:tc>
          <w:tcPr>
            <w:tcW w:w="8740" w:type="dxa"/>
            <w:vAlign w:val="bottom"/>
            <w:tcBorders>
              <w:top w:val="single" w:sz="8" w:color="0000EE"/>
            </w:tcBorders>
            <w:gridSpan w:val="11"/>
          </w:tcPr>
          <w:p>
            <w:pPr>
              <w:spacing w:after="0"/>
              <w:rPr>
                <w:rFonts w:ascii="Arial" w:cs="Arial" w:eastAsia="Arial" w:hAnsi="Arial"/>
                <w:sz w:val="18"/>
                <w:szCs w:val="18"/>
                <w:b w:val="1"/>
                <w:bCs w:val="1"/>
                <w:color w:val="0000EE"/>
                <w:w w:val="96"/>
              </w:rPr>
            </w:pPr>
            <w:hyperlink w:anchor="page94">
              <w:r>
                <w:rPr>
                  <w:rFonts w:ascii="Arial" w:cs="Arial" w:eastAsia="Arial" w:hAnsi="Arial"/>
                  <w:sz w:val="18"/>
                  <w:szCs w:val="18"/>
                  <w:b w:val="1"/>
                  <w:bCs w:val="1"/>
                  <w:color w:val="0000EE"/>
                  <w:w w:val="96"/>
                </w:rPr>
                <w:t>Consolidated Statement of Stockholders’ Equity (Deficit) for the years ended December 31, 2015 and 2014</w:t>
              </w:r>
            </w:hyperlink>
          </w:p>
        </w:tc>
        <w:tc>
          <w:tcPr>
            <w:tcW w:w="110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F-14</w:t>
            </w:r>
          </w:p>
        </w:tc>
      </w:tr>
      <w:tr>
        <w:trPr>
          <w:trHeight w:val="304"/>
        </w:trPr>
        <w:tc>
          <w:tcPr>
            <w:tcW w:w="680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8"/>
              </w:rPr>
            </w:pPr>
            <w:hyperlink w:anchor="page95">
              <w:r>
                <w:rPr>
                  <w:rFonts w:ascii="Arial" w:cs="Arial" w:eastAsia="Arial" w:hAnsi="Arial"/>
                  <w:sz w:val="18"/>
                  <w:szCs w:val="18"/>
                  <w:b w:val="1"/>
                  <w:bCs w:val="1"/>
                  <w:color w:val="0000EE"/>
                  <w:w w:val="88"/>
                </w:rPr>
                <w:t>Consolidated Statements of Cash Flows for the years ended December 31, 2015 and 2014</w:t>
              </w:r>
            </w:hyperlink>
          </w:p>
        </w:tc>
        <w:tc>
          <w:tcPr>
            <w:tcW w:w="1340" w:type="dxa"/>
            <w:vAlign w:val="bottom"/>
            <w:tcBorders>
              <w:top w:val="single" w:sz="8" w:color="0000EE"/>
            </w:tcBorders>
          </w:tcPr>
          <w:p>
            <w:pPr>
              <w:spacing w:after="0"/>
              <w:rPr>
                <w:sz w:val="24"/>
                <w:szCs w:val="24"/>
                <w:color w:val="auto"/>
              </w:rPr>
            </w:pPr>
          </w:p>
        </w:tc>
        <w:tc>
          <w:tcPr>
            <w:tcW w:w="1700" w:type="dxa"/>
            <w:vAlign w:val="bottom"/>
            <w:gridSpan w:val="5"/>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F-15</w:t>
            </w:r>
          </w:p>
        </w:tc>
      </w:tr>
      <w:tr>
        <w:trPr>
          <w:trHeight w:val="304"/>
        </w:trPr>
        <w:tc>
          <w:tcPr>
            <w:tcW w:w="9840" w:type="dxa"/>
            <w:vAlign w:val="bottom"/>
            <w:gridSpan w:val="13"/>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Notes to the Consolidated Financial Statements</w:t>
              </w:r>
            </w:hyperlink>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F-17</w:t>
            </w:r>
          </w:p>
        </w:tc>
      </w:tr>
      <w:tr>
        <w:trPr>
          <w:trHeight w:val="385"/>
        </w:trPr>
        <w:tc>
          <w:tcPr>
            <w:tcW w:w="26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0" w:type="dxa"/>
            <w:vAlign w:val="bottom"/>
            <w:gridSpan w:val="8"/>
          </w:tcPr>
          <w:p>
            <w:pPr>
              <w:ind w:left="740"/>
              <w:spacing w:after="0"/>
              <w:rPr>
                <w:sz w:val="20"/>
                <w:szCs w:val="20"/>
                <w:color w:val="auto"/>
              </w:rPr>
            </w:pPr>
            <w:r>
              <w:rPr>
                <w:rFonts w:ascii="Arial" w:cs="Arial" w:eastAsia="Arial" w:hAnsi="Arial"/>
                <w:sz w:val="18"/>
                <w:szCs w:val="18"/>
                <w:color w:val="auto"/>
              </w:rPr>
              <w:t>F-1</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(unaudited)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7600" w:type="dxa"/>
            <w:vAlign w:val="bottom"/>
          </w:tcPr>
          <w:p>
            <w:pPr>
              <w:jc w:val="center"/>
              <w:ind w:left="1870"/>
              <w:spacing w:after="0"/>
              <w:rPr>
                <w:sz w:val="20"/>
                <w:szCs w:val="20"/>
                <w:color w:val="auto"/>
              </w:rPr>
            </w:pPr>
            <w:r>
              <w:rPr>
                <w:rFonts w:ascii="Arial" w:cs="Arial" w:eastAsia="Arial" w:hAnsi="Arial"/>
                <w:sz w:val="18"/>
                <w:szCs w:val="18"/>
                <w:b w:val="1"/>
                <w:bCs w:val="1"/>
                <w:color w:val="auto"/>
              </w:rPr>
              <w:t>TAPIMMUNE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600" w:type="dxa"/>
            <w:vAlign w:val="bottom"/>
          </w:tcPr>
          <w:p>
            <w:pPr>
              <w:jc w:val="center"/>
              <w:ind w:left="18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600" w:type="dxa"/>
            <w:vAlign w:val="bottom"/>
          </w:tcPr>
          <w:p>
            <w:pPr>
              <w:jc w:val="center"/>
              <w:ind w:left="185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9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March 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94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spacing w:after="0"/>
              <w:rPr>
                <w:sz w:val="17"/>
                <w:szCs w:val="17"/>
                <w:color w:val="auto"/>
              </w:rPr>
            </w:pPr>
          </w:p>
        </w:tc>
        <w:tc>
          <w:tcPr>
            <w:tcW w:w="7600" w:type="dxa"/>
            <w:vAlign w:val="bottom"/>
            <w:shd w:val="clear" w:color="auto" w:fill="CCEEFF"/>
          </w:tcPr>
          <w:p>
            <w:pPr>
              <w:jc w:val="center"/>
              <w:ind w:left="1750"/>
              <w:spacing w:after="0" w:line="196" w:lineRule="exact"/>
              <w:rPr>
                <w:sz w:val="20"/>
                <w:szCs w:val="20"/>
                <w:color w:val="auto"/>
              </w:rPr>
            </w:pPr>
            <w:r>
              <w:rPr>
                <w:rFonts w:ascii="Arial" w:cs="Arial" w:eastAsia="Arial" w:hAnsi="Arial"/>
                <w:sz w:val="18"/>
                <w:szCs w:val="18"/>
                <w:b w:val="1"/>
                <w:bCs w:val="1"/>
                <w:color w:val="auto"/>
                <w:w w:val="94"/>
              </w:rPr>
              <w:t>ASSETS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5,721,801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6,576,564</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Prepaid expenses and deposits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5,759,433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6,645,367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0" w:type="dxa"/>
            <w:vAlign w:val="bottom"/>
            <w:vMerge w:val="restart"/>
          </w:tcPr>
          <w:p>
            <w:pPr>
              <w:jc w:val="center"/>
              <w:ind w:left="175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1,454,913</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967,358</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agreement obligations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492,365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Derivative liability – warrants</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29,489,000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26,493,000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Promissory notes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color w:val="auto"/>
              </w:rPr>
              <w:t>Promissory note, related party</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31,464,278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28,005,723</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A, $0.001 par value, 1,250,000 shares designated, -0- shares issued and outstanding as of</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March 31, 2016 and December 31, 2015</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Series B, $0.001 par value, 1,500,000 shares designated, -0- shares issued and outstanding as of</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ind w:left="540"/>
              <w:spacing w:after="0"/>
              <w:rPr>
                <w:sz w:val="20"/>
                <w:szCs w:val="20"/>
                <w:color w:val="auto"/>
              </w:rPr>
            </w:pPr>
            <w:r>
              <w:rPr>
                <w:rFonts w:ascii="Arial" w:cs="Arial" w:eastAsia="Arial" w:hAnsi="Arial"/>
                <w:sz w:val="18"/>
                <w:szCs w:val="18"/>
                <w:color w:val="auto"/>
              </w:rPr>
              <w:t>March 31, 2016 and December 31, 2015</w:t>
            </w:r>
          </w:p>
        </w:tc>
        <w:tc>
          <w:tcPr>
            <w:tcW w:w="10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$0.001 par value, 500,000,000 shares authorized 70,990,763 shares issued and outstanding</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(2015 – 70,550,763)</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70,991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70,551</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112,482,330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112,077,520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(138,258,166)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(133,508,427)</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(25,704,845)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(21,360,356)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5,759,433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6,645,367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Three Months</w:t>
            </w:r>
          </w:p>
        </w:tc>
        <w:tc>
          <w:tcPr>
            <w:tcW w:w="22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March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985,751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767,988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418,786</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(1,753,739)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(1,028,164)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(2,996,000)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327,440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(4,749,739)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(700,724)</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70,593,236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27,611,255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820" w:type="dxa"/>
            <w:vAlign w:val="bottom"/>
            <w:gridSpan w:val="5"/>
          </w:tcPr>
          <w:p>
            <w:pPr>
              <w:ind w:left="360"/>
              <w:spacing w:after="0"/>
              <w:rPr>
                <w:sz w:val="20"/>
                <w:szCs w:val="20"/>
                <w:color w:val="auto"/>
              </w:rPr>
            </w:pPr>
            <w:r>
              <w:rPr>
                <w:rFonts w:ascii="Arial" w:cs="Arial" w:eastAsia="Arial" w:hAnsi="Arial"/>
                <w:sz w:val="14"/>
                <w:szCs w:val="14"/>
                <w:color w:val="auto"/>
              </w:rPr>
              <w:t>Common Stock</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Additional</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Paid In</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Accumulated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Number of</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Amount</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Capital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Deficit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616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85"/>
              </w:rPr>
              <w:t>shares</w:t>
            </w:r>
          </w:p>
        </w:tc>
        <w:tc>
          <w:tcPr>
            <w:tcW w:w="560" w:type="dxa"/>
            <w:vAlign w:val="bottom"/>
          </w:tcPr>
          <w:p>
            <w:pPr>
              <w:jc w:val="right"/>
              <w:ind w:right="15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70,550,763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70,551</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112,077,520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(133,508,427)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(21,360,356)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440,000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404,810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405,250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(4,749,739)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(4,749,739)</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Balance, March 31, 2016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70,990,763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70,991</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112,482,330</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(138,258,166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(25,704,845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(4,749,739)</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2,996,000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214,250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deposits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31,171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678,555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9, 961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(829,763)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(1,014,453)</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shares, net of finders’ fee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Repayment of promissory note</w:t>
            </w: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2,326,014</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(DECREASE) INCREASE IN CASH</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(854,763)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PERIOD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6,576,564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5,721,801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color w:val="auto"/>
                <w:w w:val="92"/>
              </w:rPr>
              <w:t>Three Months</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Three Months</w:t>
            </w:r>
          </w:p>
        </w:tc>
      </w:tr>
      <w:tr>
        <w:trPr>
          <w:trHeight w:val="149"/>
        </w:trPr>
        <w:tc>
          <w:tcPr>
            <w:tcW w:w="8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Ended</w:t>
            </w:r>
          </w:p>
        </w:tc>
      </w:tr>
      <w:tr>
        <w:trPr>
          <w:trHeight w:val="149"/>
        </w:trPr>
        <w:tc>
          <w:tcPr>
            <w:tcW w:w="8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March 31,</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March 31,</w:t>
            </w:r>
          </w:p>
        </w:tc>
      </w:tr>
      <w:tr>
        <w:trPr>
          <w:trHeight w:val="167"/>
        </w:trPr>
        <w:tc>
          <w:tcPr>
            <w:tcW w:w="87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89"/>
              </w:rPr>
              <w:t>2015</w:t>
            </w:r>
          </w:p>
        </w:tc>
        <w:tc>
          <w:tcPr>
            <w:tcW w:w="6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w w:val="97"/>
              </w:rPr>
              <w:t>Reclassification of accrued liability upon issuance of common shares relating to Dr. Glynn Wilson’s compensation</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9,313,000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OPERATIONS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BASIS OF PRESENTATION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March 31, 2016,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2016 or for any future interim period. The condensed balance sheet at December 31, 2015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2015, and notes thereto included in the Company’s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LIQUIDITY AND FINANCIAL CONDITION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March 31, 2016, the Company had cash and cash equivalents of approximately $5,722,000.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SIGNIFICANT ACCOUNTING POLICIES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14,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Accounting Standards Update (“ASU”), No. 2016-09 - In March 2016, the Financial Accounting Standards Board (the “FASB”) issued ASU No. 2016-09, Compensation-Stock Compensation. The new guidance simplifies several aspects of the accounting for share-based payment transactions, including the income tax consequences, classification of awards as either equity or liabilities, and classification on the statement of cash flows. The amendments in this standard are effective for the Company’s annual year and first fiscal quarter beginning on January 1, 2017 with early adoption permitted. The Company is currently evaluating the impact of the application of this accounting standard update on its financial statements and related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POTENTIALLY DILUTIVE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Options, warrants, and convertible debt outstanding were all considered anti-dilutive due to net losses for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180" w:type="dxa"/>
            <w:vAlign w:val="bottom"/>
            <w:gridSpan w:val="4"/>
          </w:tcPr>
          <w:p>
            <w:pPr>
              <w:ind w:left="7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500" w:type="dxa"/>
            <w:vAlign w:val="bottom"/>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3,584,000</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60" w:type="dxa"/>
            <w:vAlign w:val="bottom"/>
          </w:tcPr>
          <w:p>
            <w:pPr>
              <w:jc w:val="right"/>
              <w:spacing w:after="0"/>
              <w:rPr>
                <w:sz w:val="20"/>
                <w:szCs w:val="20"/>
                <w:color w:val="auto"/>
              </w:rPr>
            </w:pPr>
            <w:r>
              <w:rPr>
                <w:rFonts w:ascii="Arial" w:cs="Arial" w:eastAsia="Arial" w:hAnsi="Arial"/>
                <w:sz w:val="18"/>
                <w:szCs w:val="18"/>
                <w:color w:val="auto"/>
              </w:rPr>
              <w:t>2,556,000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2,549,000</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49,528,000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62,194,000</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55,668,000</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64,808,000</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DERIVATIVE LIABILITY - WARRANTS AND DERIVATIVE LIABILITY – CONVERSION OPTION</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2016 and 2015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Share Purchase Warrants</w:t>
            </w: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8"/>
              </w:rPr>
              <w:t>Weighted Average Inputs for the Period</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9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720" w:type="dxa"/>
            <w:vAlign w:val="bottom"/>
            <w:tcBorders>
              <w:top w:val="single" w:sz="8" w:color="auto"/>
            </w:tcBorders>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rPr>
              <w:t>For the Quarter</w:t>
            </w:r>
          </w:p>
        </w:tc>
        <w:tc>
          <w:tcPr>
            <w:tcW w:w="4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Quarter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valuation</w:t>
            </w:r>
          </w:p>
        </w:tc>
        <w:tc>
          <w:tcPr>
            <w:tcW w:w="3360" w:type="dxa"/>
            <w:vAlign w:val="bottom"/>
            <w:gridSpan w:val="4"/>
          </w:tcPr>
          <w:p>
            <w:pPr>
              <w:jc w:val="center"/>
              <w:ind w:left="968"/>
              <w:spacing w:after="0" w:line="149" w:lineRule="exact"/>
              <w:rPr>
                <w:sz w:val="20"/>
                <w:szCs w:val="20"/>
                <w:color w:val="auto"/>
              </w:rPr>
            </w:pPr>
            <w:r>
              <w:rPr>
                <w:rFonts w:ascii="Arial" w:cs="Arial" w:eastAsia="Arial" w:hAnsi="Arial"/>
                <w:sz w:val="14"/>
                <w:szCs w:val="14"/>
                <w:b w:val="1"/>
                <w:bCs w:val="1"/>
                <w:color w:val="auto"/>
                <w:w w:val="96"/>
              </w:rPr>
              <w:t>Ending March 31,</w:t>
            </w:r>
          </w:p>
        </w:tc>
        <w:tc>
          <w:tcPr>
            <w:tcW w:w="1800" w:type="dxa"/>
            <w:vAlign w:val="bottom"/>
            <w:gridSpan w:val="4"/>
          </w:tcPr>
          <w:p>
            <w:pPr>
              <w:jc w:val="center"/>
              <w:ind w:left="168"/>
              <w:spacing w:after="0" w:line="149" w:lineRule="exact"/>
              <w:rPr>
                <w:sz w:val="20"/>
                <w:szCs w:val="20"/>
                <w:color w:val="auto"/>
              </w:rPr>
            </w:pPr>
            <w:r>
              <w:rPr>
                <w:rFonts w:ascii="Arial" w:cs="Arial" w:eastAsia="Arial" w:hAnsi="Arial"/>
                <w:sz w:val="14"/>
                <w:szCs w:val="14"/>
                <w:b w:val="1"/>
                <w:bCs w:val="1"/>
                <w:color w:val="auto"/>
                <w:w w:val="96"/>
              </w:rPr>
              <w:t>Ending March 31,</w:t>
            </w:r>
          </w:p>
        </w:tc>
        <w:tc>
          <w:tcPr>
            <w:tcW w:w="0" w:type="dxa"/>
            <w:vAlign w:val="bottom"/>
          </w:tcPr>
          <w:p>
            <w:pPr>
              <w:spacing w:after="0"/>
              <w:rPr>
                <w:sz w:val="1"/>
                <w:szCs w:val="1"/>
                <w:color w:val="auto"/>
              </w:rPr>
            </w:pPr>
          </w:p>
        </w:tc>
      </w:tr>
      <w:tr>
        <w:trPr>
          <w:trHeight w:val="171"/>
        </w:trPr>
        <w:tc>
          <w:tcPr>
            <w:tcW w:w="3520" w:type="dxa"/>
            <w:vAlign w:val="bottom"/>
            <w:gridSpan w:val="3"/>
            <w:vMerge w:val="continue"/>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2016</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Exercise price</w:t>
            </w:r>
          </w:p>
        </w:tc>
        <w:tc>
          <w:tcPr>
            <w:tcW w:w="2460" w:type="dxa"/>
            <w:vAlign w:val="bottom"/>
            <w:tcBorders>
              <w:top w:val="single" w:sz="8" w:color="CCEEFF"/>
            </w:tcBorders>
            <w:gridSpan w:val="2"/>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Contractual term (years)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Risk-free rate</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40"/>
          </w:cols>
          <w:pgMar w:left="240" w:top="459" w:right="3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4"/>
                <w:szCs w:val="14"/>
                <w:b w:val="1"/>
                <w:bCs w:val="1"/>
                <w:color w:val="auto"/>
                <w:w w:val="93"/>
              </w:rPr>
              <w:t>As of March 31, 2016</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29,489,000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29,489,000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29,489,000</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29,489,000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29,489,000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29,489,000</w:t>
            </w:r>
          </w:p>
        </w:tc>
        <w:tc>
          <w:tcPr>
            <w:tcW w:w="100" w:type="dxa"/>
            <w:vAlign w:val="bottom"/>
          </w:tcPr>
          <w:p>
            <w:pPr>
              <w:spacing w:after="0"/>
              <w:rPr>
                <w:sz w:val="19"/>
                <w:szCs w:val="19"/>
                <w:color w:val="auto"/>
              </w:rPr>
            </w:pPr>
          </w:p>
        </w:tc>
      </w:tr>
      <w:tr>
        <w:trPr>
          <w:trHeight w:val="399"/>
        </w:trPr>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2"/>
              </w:rPr>
              <w:t>As of December 31, 2015</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26,493,000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26,493,000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26,493,000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26,493,000</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three months ended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three months ended March 31, 2016:</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340" w:type="dxa"/>
            <w:vAlign w:val="bottom"/>
            <w:gridSpan w:val="4"/>
          </w:tcPr>
          <w:p>
            <w:pPr>
              <w:ind w:left="1580"/>
              <w:spacing w:after="0"/>
              <w:rPr>
                <w:sz w:val="20"/>
                <w:szCs w:val="20"/>
                <w:color w:val="auto"/>
              </w:rPr>
            </w:pPr>
            <w:r>
              <w:rPr>
                <w:rFonts w:ascii="Arial" w:cs="Arial" w:eastAsia="Arial" w:hAnsi="Arial"/>
                <w:sz w:val="14"/>
                <w:szCs w:val="14"/>
                <w:color w:val="auto"/>
              </w:rPr>
              <w:t>Derivative liability –warrants</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2016</w:t>
            </w:r>
          </w:p>
        </w:tc>
        <w:tc>
          <w:tcPr>
            <w:tcW w:w="1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5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2016</w:t>
            </w:r>
          </w:p>
        </w:tc>
        <w:tc>
          <w:tcPr>
            <w:tcW w:w="20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29,489,000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PROMISSORY NOTES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outstanding promissory notes in the amount of $5,000 (December 31, 2015 - $30,000). The promissory note bears 10% annual interest and was due in 2012. As of March 31, 2016, the note is in default and there has been no request for payment.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PROMISSORY NOTES, RELATED PARTY</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2015 - $23,000) owed to an officer and a director of the Company. The promissory note bears no interest charges and has no fixed repayment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Share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Compensation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2015, the Company entered into an employment agreement with Dr. Glynn Wilson, the Company’s Chief Executive Officer, President and Chairman of the Company. As part of the agreement, Dr. Wilson was awarded 0.3 million fully vested common shares at consummation of the agreement. The Company recorded an obligation to deliver the shares of $0.2 million based on the fair value of the Common stock at December 31, 2015. The Company issued the shares in March 2016 and reclassified the accrued liability to stockholders’ equity (deficit).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arrangements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March 2016, the Company issued 0.1 million common shares as part of consulting agreements from 2015. The fair value of the common stock of approximately $0.1 million was recognized as stock-based compensation in general and administrative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FAU Project Agreement</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March 2016, the Company entered into a research project agreement with Florida Atlantic University regarding immune monitoring for study protocol FRV-002. The project is expected to end in December 2018. The Company has incurred approximately $0.2 million in research and development costs through March 31, 2016.</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40"/>
          </w:cols>
          <w:pgMar w:left="240" w:top="459" w:right="3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TapImmune, Inc.</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the accompanying consolidated balance sheets of TapImmune, Inc. (the “Company”) as of December 31, 2015 and 2014, and the related consolidated statements of operations and comprehensive loss, changes in stockholders’ equity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TapImmune, Inc. as of December 31, 2015 and 2014, and the consolidated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losses from operations and will require identifying new sources of capital to fund operations. These matters raise substantial doubt about the Company’s ability to continue as a going concern. Management’s plans concerning these matters are also discussed in Note 2 to the consolidated financial statements. The accompanying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right"/>
              <w:ind w:right="760"/>
              <w:spacing w:after="0"/>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53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6,576,564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Prepaid expenses and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68,803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6,645,367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2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967,358</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agreement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492,365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Derivative liability –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26,493,000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Promissory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Promissory note,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28,005,723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1,248,084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A, $0.001 par value, 1,250,000 shares designated, -0- shares issued and outstanding as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2015 and December 31, 2014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rPr>
              <w:t>Series B, $0.001 par value, 1,500,000 shares designated, -0- shares issued and outstanding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December 31, 2015 and December 31, 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$0.001 par value, 500,000,000 shares authorized 70,550,763 shares issued and outstanding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 – 20,318,815)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70,551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112,077,520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85,265,776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9"/>
              </w:rPr>
              <w:t>(133,508,427)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(86,309,731)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7"/>
              </w:rPr>
              <w:t>(21,360,356)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(1,023,636)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6,645,367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Year Ended</w:t>
            </w: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6"/>
              </w:rPr>
              <w:t>2015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4,447,781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3,181,927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2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(6,158,958)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(3,370,927)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Foreign exchange (loss) gain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(27,872,585)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financing charges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0"/>
              </w:rPr>
              <w:t>(26,884,231)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settlement agreement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Net Loss for the Period</w:t>
            </w: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(34,066,390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(30,883,096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(34,066,390)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(30,824,762)</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43,947,067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15,465,213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20" w:type="dxa"/>
            <w:vAlign w:val="bottom"/>
            <w:gridSpan w:val="4"/>
          </w:tcPr>
          <w:p>
            <w:pPr>
              <w:ind w:left="360"/>
              <w:spacing w:after="0"/>
              <w:rPr>
                <w:sz w:val="20"/>
                <w:szCs w:val="20"/>
                <w:color w:val="auto"/>
              </w:rPr>
            </w:pPr>
            <w:r>
              <w:rPr>
                <w:rFonts w:ascii="Arial" w:cs="Arial" w:eastAsia="Arial" w:hAnsi="Arial"/>
                <w:sz w:val="14"/>
                <w:szCs w:val="14"/>
                <w:color w:val="auto"/>
              </w:rPr>
              <w:t>Common Stock</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Additional</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Other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Paid In</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Accumulated</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Comprehensive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Capital</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Deficit</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Loss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1,465,712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46,715,500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(55,426,635)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(8,768,003)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Convertible notes, promissory notes, loan payable-related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w w:val="94"/>
              </w:rPr>
              <w:t>party, due to related parties and accrued interest converted</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into Series A and B preferred stock and immediately</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converted into commons stock</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14,048,701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14,049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30,937,029</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30,951,078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accounts payable to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1,836,361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4,347,592</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Private placement (net of finders’ fee)</w:t>
            </w:r>
          </w:p>
        </w:tc>
        <w:tc>
          <w:tcPr>
            <w:tcW w:w="860" w:type="dxa"/>
            <w:vAlign w:val="bottom"/>
          </w:tcPr>
          <w:p>
            <w:pPr>
              <w:jc w:val="right"/>
              <w:spacing w:after="0"/>
              <w:rPr>
                <w:sz w:val="20"/>
                <w:szCs w:val="20"/>
                <w:color w:val="auto"/>
              </w:rPr>
            </w:pPr>
            <w:r>
              <w:rPr>
                <w:rFonts w:ascii="Arial" w:cs="Arial" w:eastAsia="Arial" w:hAnsi="Arial"/>
                <w:sz w:val="18"/>
                <w:szCs w:val="18"/>
                <w:color w:val="auto"/>
              </w:rPr>
              <w:t>2,157,042</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2,157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1,875,343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811,000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1,390,312</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(30,883,096)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(30,883,096)</w:t>
            </w:r>
          </w:p>
        </w:tc>
        <w:tc>
          <w:tcPr>
            <w:tcW w:w="0" w:type="dxa"/>
            <w:vAlign w:val="bottom"/>
          </w:tcPr>
          <w:p>
            <w:pPr>
              <w:spacing w:after="0"/>
              <w:rPr>
                <w:sz w:val="1"/>
                <w:szCs w:val="1"/>
                <w:color w:val="auto"/>
              </w:rPr>
            </w:pPr>
          </w:p>
        </w:tc>
      </w:tr>
      <w:tr>
        <w:trPr>
          <w:trHeight w:val="224"/>
        </w:trPr>
        <w:tc>
          <w:tcPr>
            <w:tcW w:w="5020" w:type="dxa"/>
            <w:vAlign w:val="bottom"/>
            <w:gridSpan w:val="2"/>
          </w:tcPr>
          <w:p>
            <w:pPr>
              <w:spacing w:after="0"/>
              <w:rPr>
                <w:sz w:val="20"/>
                <w:szCs w:val="20"/>
                <w:color w:val="auto"/>
              </w:rPr>
            </w:pPr>
            <w:r>
              <w:rPr>
                <w:rFonts w:ascii="Arial" w:cs="Arial" w:eastAsia="Arial" w:hAnsi="Arial"/>
                <w:sz w:val="18"/>
                <w:szCs w:val="18"/>
                <w:color w:val="auto"/>
              </w:rPr>
              <w:t>Balance, December 31, 2014</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20,318,816</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20,319</w:t>
            </w:r>
          </w:p>
        </w:tc>
        <w:tc>
          <w:tcPr>
            <w:tcW w:w="2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85,265,776</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(86,309,731)</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(1,023,636)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settled in shares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118,450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21,795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Private placement (net of finders’ fee)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12,363,447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12,321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2,313,694</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2,326,015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Fair value of warrants recognized as derivative liabilities in</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January and March 2015 Financing</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(2,313,694)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(6,999,306)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Fair value of warrants issued on May 28, 2015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(6,133,000)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warrants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37,079,990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37,122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9,182,876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9,219,998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line="201" w:lineRule="exact"/>
              <w:rPr>
                <w:sz w:val="20"/>
                <w:szCs w:val="20"/>
                <w:color w:val="auto"/>
              </w:rPr>
            </w:pPr>
            <w:r>
              <w:rPr>
                <w:rFonts w:ascii="Arial" w:cs="Arial" w:eastAsia="Arial" w:hAnsi="Arial"/>
                <w:sz w:val="18"/>
                <w:szCs w:val="18"/>
                <w:color w:val="auto"/>
                <w:w w:val="99"/>
              </w:rPr>
              <w:t>Reclassification of Derivative Warrant liabilities to Equity at</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exercise date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16,835,000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(767,995)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Shares issued in settlement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49,950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26,423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620,110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1,513,645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(34,066,390)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(34,066,390)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70,550,763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70,551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112,077,520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(133,508,427)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(21,360,356)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Year Ended</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3"/>
              </w:rPr>
              <w:t>December 31,</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color w:val="auto"/>
                <w:w w:val="96"/>
              </w:rPr>
              <w:t>2015</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(34,066,390)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(30,883,096)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27,872,585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26,884,231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Loss on settlement agreement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24,697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Non-cash interest and finance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Foreign exchange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Prepaid expenses and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96,018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(145,199)</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(4,343,397)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(2,187,145)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Issuance of shares, net of finders’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2,326,015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notes issuance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Proceeds from exercise of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9,219,998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(767,996)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Repayment of promissory notes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10,778,017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INCREASE IN CASH</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6,434,620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END OF YEAR</w:t>
            </w:r>
          </w:p>
        </w:tc>
        <w:tc>
          <w:tcPr>
            <w:tcW w:w="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6,576,564</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color w:val="auto"/>
                <w:w w:val="91"/>
              </w:rPr>
              <w:t>Year Ended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Year Ended</w:t>
            </w:r>
          </w:p>
        </w:tc>
      </w:tr>
      <w:tr>
        <w:trPr>
          <w:trHeight w:val="149"/>
        </w:trPr>
        <w:tc>
          <w:tcPr>
            <w:tcW w:w="7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8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0"/>
              </w:rPr>
              <w:t>December 31,</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73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2015</w:t>
            </w:r>
          </w:p>
        </w:tc>
        <w:tc>
          <w:tcPr>
            <w:tcW w:w="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60" w:type="dxa"/>
            <w:vAlign w:val="bottom"/>
            <w:tcBorders>
              <w:bottom w:val="single" w:sz="8" w:color="CCEEFF"/>
            </w:tcBorders>
          </w:tcPr>
          <w:p>
            <w:pPr>
              <w:spacing w:after="0"/>
              <w:rPr>
                <w:sz w:val="14"/>
                <w:szCs w:val="14"/>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324"/>
        </w:trPr>
        <w:tc>
          <w:tcPr>
            <w:tcW w:w="730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22,000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$2,415,000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9,313,000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6,133,000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16,835,000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24"/>
        </w:trPr>
        <w:tc>
          <w:tcPr>
            <w:tcW w:w="730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4,116,000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Loans payable, related party</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210,000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369,000</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708,000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3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Phase I study at the Mayo Clinic, Rochester, MN, evaluating the safety and immune responses of a set of proprietary HER2/neu+ antigens has been successfully completed and the results led to the decision to proceed with Phase II clinical studies in 2016.</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 separate Phase I study has also been conducted at Mayo Foundation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 This study has been successfully completed and the results led to the decision to proceed with multiple Phase II studies in 2016.</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8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These consolidated financial statements have been prepared on the basis of a going concern which contemplates the realization of assets and the satisfaction of liabilities in the normal course of business. As at December 31, 2015, the Company had a working capital deficiency and has incurred significant losses since inception in the development of its business.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17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5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There is no certainty that the Company will be able to arrange sufficient funding to satisfy current debt obligations or to continue development of products to marketability.</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financial statements are presented in United States dollars and have been prepared in accordance with accounting principles generally accepted in the United States of America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financial statements include the accounts of the Company and its wholly-owned subsidiary GeneMax Pharmaceuticals Inc. (“GPI”). All significant intercompany balances and transactions are eliminated upon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 based transactions, the fair value of the components of the derivative liabilities - warrants and accrued liabilities.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92" w:lineRule="exact"/>
        <w:rPr>
          <w:sz w:val="20"/>
          <w:szCs w:val="20"/>
          <w:color w:val="auto"/>
        </w:rPr>
      </w:pPr>
    </w:p>
    <w:p>
      <w:pPr>
        <w:ind w:left="1460" w:hanging="547"/>
        <w:spacing w:after="0"/>
        <w:tabs>
          <w:tab w:leader="none" w:pos="1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130"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86"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prior period amounts that were combined in the December 31, 2014 consolidated financial statements have been reclassified for comparability with the December 31, 2015 presentation. These reclassifications had no effect on previously reported net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its historical common stock trading prices.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7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 The Company has never declared or paid any cash dividends on its common shares and does not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 The Company spent $1,711,000 on research and development in the year ended December 31, 2015 compared to $189,000 during the prior fiscal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evaluates its convertible debt, options, warrants or other contracts to determine if those contracts or embedded components of those contracts qualify as derivatives to be separately accounted for.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8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NET LOSS PER SHARE APPLICABLE TO COMMON SHAREHOLDER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Applicable to Common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years ended December 31, 2015 and 2014, due to net losses.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10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80" w:type="dxa"/>
            <w:vAlign w:val="bottom"/>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11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3,584,150</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60" w:type="dxa"/>
            <w:vAlign w:val="bottom"/>
          </w:tcPr>
          <w:p>
            <w:pPr>
              <w:jc w:val="right"/>
              <w:spacing w:after="0"/>
              <w:rPr>
                <w:sz w:val="20"/>
                <w:szCs w:val="20"/>
                <w:color w:val="auto"/>
              </w:rPr>
            </w:pPr>
            <w:r>
              <w:rPr>
                <w:rFonts w:ascii="Arial" w:cs="Arial" w:eastAsia="Arial" w:hAnsi="Arial"/>
                <w:sz w:val="18"/>
                <w:szCs w:val="18"/>
                <w:color w:val="auto"/>
              </w:rPr>
              <w:t>2,548,632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2,556,133</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49,557,865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103,284</w:t>
            </w:r>
          </w:p>
        </w:tc>
        <w:tc>
          <w:tcPr>
            <w:tcW w:w="10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Excluded potentially dilutive securities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55,690,647</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2,724,847</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RESEARCH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 V. (“Crucell”) – Research License and Option Agreement</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2003 and further amended in 2008 the Company acquired a research license and option agreement from Crucell for use of an adenoviris technology. The Company has not made use of the technology in its current work and has not asked for nor received any work product from Crucell. Crucell was acquired by Johnson and Johnson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Company has accrued $492,000 as amounts owed under the amended agreement.</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DERIVATIVE LIABILITY</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years ended 2015 and 2014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Stock Purchase Warrants</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Weighted Average Inputs for the Period</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For the Year</w:t>
            </w: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For the Year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valuation</w:t>
            </w:r>
          </w:p>
        </w:tc>
        <w:tc>
          <w:tcPr>
            <w:tcW w:w="3360" w:type="dxa"/>
            <w:vAlign w:val="bottom"/>
            <w:gridSpan w:val="4"/>
          </w:tcPr>
          <w:p>
            <w:pPr>
              <w:jc w:val="center"/>
              <w:ind w:left="688"/>
              <w:spacing w:after="0" w:line="149" w:lineRule="exact"/>
              <w:rPr>
                <w:sz w:val="20"/>
                <w:szCs w:val="20"/>
                <w:color w:val="auto"/>
              </w:rPr>
            </w:pPr>
            <w:r>
              <w:rPr>
                <w:rFonts w:ascii="Arial" w:cs="Arial" w:eastAsia="Arial" w:hAnsi="Arial"/>
                <w:sz w:val="14"/>
                <w:szCs w:val="14"/>
                <w:b w:val="1"/>
                <w:bCs w:val="1"/>
                <w:color w:val="auto"/>
                <w:w w:val="92"/>
              </w:rPr>
              <w:t>Ending December 31,</w:t>
            </w:r>
          </w:p>
        </w:tc>
        <w:tc>
          <w:tcPr>
            <w:tcW w:w="2020" w:type="dxa"/>
            <w:vAlign w:val="bottom"/>
            <w:gridSpan w:val="4"/>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Ending December 31,</w:t>
            </w:r>
          </w:p>
        </w:tc>
        <w:tc>
          <w:tcPr>
            <w:tcW w:w="0" w:type="dxa"/>
            <w:vAlign w:val="bottom"/>
          </w:tcPr>
          <w:p>
            <w:pPr>
              <w:spacing w:after="0"/>
              <w:rPr>
                <w:sz w:val="1"/>
                <w:szCs w:val="1"/>
                <w:color w:val="auto"/>
              </w:rPr>
            </w:pPr>
          </w:p>
        </w:tc>
      </w:tr>
      <w:tr>
        <w:trPr>
          <w:trHeight w:val="171"/>
        </w:trPr>
        <w:tc>
          <w:tcPr>
            <w:tcW w:w="3300" w:type="dxa"/>
            <w:vAlign w:val="bottom"/>
            <w:gridSpan w:val="3"/>
            <w:vMerge w:val="continue"/>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Strike price</w:t>
            </w:r>
          </w:p>
        </w:tc>
        <w:tc>
          <w:tcPr>
            <w:tcW w:w="2240" w:type="dxa"/>
            <w:vAlign w:val="bottom"/>
            <w:tcBorders>
              <w:top w:val="single" w:sz="8" w:color="CCEEFF"/>
            </w:tcBorders>
            <w:gridSpan w:val="2"/>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Volatility (annual)</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155%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Contractual term (years)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2. 25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right="840"/>
              <w:spacing w:after="0"/>
              <w:rPr>
                <w:sz w:val="20"/>
                <w:szCs w:val="20"/>
                <w:color w:val="auto"/>
              </w:rPr>
            </w:pPr>
            <w:r>
              <w:rPr>
                <w:rFonts w:ascii="Arial" w:cs="Arial" w:eastAsia="Arial" w:hAnsi="Arial"/>
                <w:sz w:val="14"/>
                <w:szCs w:val="14"/>
                <w:b w:val="1"/>
                <w:bCs w:val="1"/>
                <w:color w:val="auto"/>
                <w:w w:val="92"/>
              </w:rPr>
              <w:t>As of December 31, 2015</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jc w:val="center"/>
              <w:ind w:right="840"/>
              <w:spacing w:after="0" w:line="142" w:lineRule="exact"/>
              <w:rPr>
                <w:sz w:val="20"/>
                <w:szCs w:val="20"/>
                <w:color w:val="auto"/>
              </w:rPr>
            </w:pPr>
            <w:r>
              <w:rPr>
                <w:rFonts w:ascii="Arial" w:cs="Arial" w:eastAsia="Arial" w:hAnsi="Arial"/>
                <w:sz w:val="14"/>
                <w:szCs w:val="14"/>
                <w:b w:val="1"/>
                <w:bCs w:val="1"/>
                <w:color w:val="auto"/>
                <w:w w:val="94"/>
              </w:rPr>
              <w:t>Fair Value Measurements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340" w:type="dxa"/>
            <w:vAlign w:val="bottom"/>
          </w:tcPr>
          <w:p>
            <w:pPr>
              <w:spacing w:after="0"/>
              <w:rPr>
                <w:sz w:val="12"/>
                <w:szCs w:val="12"/>
                <w:color w:val="auto"/>
              </w:rPr>
            </w:pPr>
          </w:p>
        </w:tc>
        <w:tc>
          <w:tcPr>
            <w:tcW w:w="46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8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26,493,000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26,493,000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26,493,000</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26,493,000</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26,493,000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26,493,000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840"/>
              <w:spacing w:after="0"/>
              <w:rPr>
                <w:sz w:val="20"/>
                <w:szCs w:val="20"/>
                <w:color w:val="auto"/>
              </w:rPr>
            </w:pPr>
            <w:r>
              <w:rPr>
                <w:rFonts w:ascii="Arial" w:cs="Arial" w:eastAsia="Arial" w:hAnsi="Arial"/>
                <w:sz w:val="14"/>
                <w:szCs w:val="14"/>
                <w:b w:val="1"/>
                <w:bCs w:val="1"/>
                <w:color w:val="auto"/>
                <w:w w:val="92"/>
              </w:rPr>
              <w:t>As of December 31, 2014</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jc w:val="center"/>
              <w:ind w:right="840"/>
              <w:spacing w:after="0" w:line="142" w:lineRule="exact"/>
              <w:rPr>
                <w:sz w:val="20"/>
                <w:szCs w:val="20"/>
                <w:color w:val="auto"/>
              </w:rPr>
            </w:pPr>
            <w:r>
              <w:rPr>
                <w:rFonts w:ascii="Arial" w:cs="Arial" w:eastAsia="Arial" w:hAnsi="Arial"/>
                <w:sz w:val="14"/>
                <w:szCs w:val="14"/>
                <w:b w:val="1"/>
                <w:bCs w:val="1"/>
                <w:color w:val="auto"/>
                <w:w w:val="94"/>
              </w:rPr>
              <w:t>Fair Value Measurements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Level 1</w:t>
            </w:r>
          </w:p>
        </w:tc>
        <w:tc>
          <w:tcPr>
            <w:tcW w:w="340" w:type="dxa"/>
            <w:vAlign w:val="bottom"/>
          </w:tcPr>
          <w:p>
            <w:pPr>
              <w:spacing w:after="0"/>
              <w:rPr>
                <w:sz w:val="10"/>
                <w:szCs w:val="10"/>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 ended December 31, 2015.</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2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year ended December 31, 2015:</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80" w:type="dxa"/>
            <w:vAlign w:val="bottom"/>
            <w:gridSpan w:val="4"/>
          </w:tcPr>
          <w:p>
            <w:pPr>
              <w:ind w:left="1520"/>
              <w:spacing w:after="0"/>
              <w:rPr>
                <w:sz w:val="20"/>
                <w:szCs w:val="20"/>
                <w:color w:val="auto"/>
              </w:rPr>
            </w:pPr>
            <w:r>
              <w:rPr>
                <w:rFonts w:ascii="Arial" w:cs="Arial" w:eastAsia="Arial" w:hAnsi="Arial"/>
                <w:sz w:val="14"/>
                <w:szCs w:val="14"/>
                <w:color w:val="auto"/>
              </w:rPr>
              <w:t>Derivative liability – warrants</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15,446,000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debt</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(16,835,000)</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5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27,873,000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20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3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PROMISSORY NOTES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outstanding promissory notes in the amount of $30,000 (December 31, 2014 - $30,000). The promissory notes bear 10% annual interest and were due in 2012. As of December 31, 2015, the notes are in default and there has been no request for payment.</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PROMISSORY NOTE, RELATED PARTY</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2014 - $23,000) owed to an officer and a director of the Company. The promissory note bears no interest charges and has no fixed repayment terms.</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increase in authorized shares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150,000,000 shares of common stock to 500,000,000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has designated 1,250,000 Series A Convertible preferred shares (Series A) par value $0.001. Each share of Series A was automatically converted into five shares of the Company’s common stock upon the occurrence of the 1:100 reverse stock split.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designated 1,500,000 Series B Convertible preferred shares (Series B), par value $0.001. The terms of the Series B are as follows:</w:t>
      </w:r>
    </w:p>
    <w:p>
      <w:pPr>
        <w:spacing w:after="0" w:line="142"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shall have the right to cast one thousand (1,000) votes for each share held of record on all matters submitted to a vote of holders of the Corporation’s common stock;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shall automatically convert into seven (7) shares of common upon the occurrence of a 1:100 reverse stock split.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shares outstanding under preferred shares as of December 31,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 (i) one share of the Company’s common stock, (ii) one Series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667"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 and pay a 7% finders fee on gross proceeds from the sale of securities.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 and pay a 3.5% finders fee on gross proceeds from the sale of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Fair Value of Warrants Issued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ASC 480-10 Distinguishing liabilities from equity and ASC 815-40 Contracts in an Entity’s Own Equity, the common stock purchase warrants are classified as a derivative liability as the Company cannot control their ability to gross settle the financial instruments with registered securities. The fair value of the warrants issued pursuant to the January and March 2015 stock purchase agreement was $9,313,000. The weighted average inputs include contractual term of 5.0 years, volatility of 158% and risk free rate of 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2015 Restructuring Agreement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14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exercise price of the Series A warrants was changed from $1.50 per warrant to $0.10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$0.40 per warrant to $0.20 per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exercise price of the Series C warrants was changed from $1.00 per warrant to $0.50 per warrant,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a result of the restructuring agreement, the Company issued an additional 12,320,000 Series B warrants and 12,320,000 Series C Warrants. The fair value of the warrants issued pursuant to the May 2015 restructuring agreement was $6,133,000. The weighted average inputs include contractual term of 2.46 years, volatility of 141% and risk free rate of 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Compensation</w:t>
      </w:r>
    </w:p>
    <w:p>
      <w:pPr>
        <w:spacing w:after="0" w:line="11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 November, 2015, the Company entered into an employment agreement with Dr. Glynn Wilson, the Company’s Chief Executive Officer, President and Chairman of the Company. As part of the agreement, the Company granted Dr. Wilson 315,000 shares of unregistered common stock, fully vested. As of December 31, 2015, the shares have not been issued. Accordingly, the fair value of the common stock of approximately $191,000 was accounted for as an accrued liability.</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Share Purchase Warrants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share purchase warrants as of December 31, 2015 and changes during the period is presented below:</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340" w:type="dxa"/>
            <w:vAlign w:val="bottom"/>
          </w:tcPr>
          <w:p>
            <w:pPr>
              <w:spacing w:after="0"/>
              <w:rPr>
                <w:sz w:val="14"/>
                <w:szCs w:val="14"/>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14"/>
                <w:szCs w:val="14"/>
                <w:color w:val="auto"/>
                <w:w w:val="90"/>
              </w:rPr>
              <w:t>Weighted Average</w:t>
            </w:r>
          </w:p>
        </w:tc>
        <w:tc>
          <w:tcPr>
            <w:tcW w:w="1140" w:type="dxa"/>
            <w:vAlign w:val="bottom"/>
            <w:gridSpan w:val="2"/>
          </w:tcPr>
          <w:p>
            <w:pPr>
              <w:spacing w:after="0"/>
              <w:rPr>
                <w:sz w:val="20"/>
                <w:szCs w:val="20"/>
                <w:color w:val="auto"/>
              </w:rPr>
            </w:pPr>
            <w:r>
              <w:rPr>
                <w:rFonts w:ascii="Arial" w:cs="Arial" w:eastAsia="Arial" w:hAnsi="Arial"/>
                <w:sz w:val="14"/>
                <w:szCs w:val="14"/>
                <w:color w:val="auto"/>
                <w:w w:val="97"/>
              </w:rPr>
              <w:t>Weighted Average</w:t>
            </w:r>
          </w:p>
        </w:tc>
      </w:tr>
      <w:tr>
        <w:trPr>
          <w:trHeight w:val="167"/>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color w:val="auto"/>
              </w:rPr>
              <w:t>Warrants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Remaining Life</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15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2,659,417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Issued</w:t>
            </w:r>
          </w:p>
        </w:tc>
        <w:tc>
          <w:tcPr>
            <w:tcW w:w="2900" w:type="dxa"/>
            <w:vAlign w:val="bottom"/>
            <w:gridSpan w:val="3"/>
          </w:tcPr>
          <w:p>
            <w:pPr>
              <w:jc w:val="right"/>
              <w:ind w:right="400"/>
              <w:spacing w:after="0"/>
              <w:rPr>
                <w:sz w:val="20"/>
                <w:szCs w:val="20"/>
                <w:color w:val="auto"/>
              </w:rPr>
            </w:pPr>
            <w:r>
              <w:rPr>
                <w:rFonts w:ascii="Arial" w:cs="Arial" w:eastAsia="Arial" w:hAnsi="Arial"/>
                <w:sz w:val="18"/>
                <w:szCs w:val="18"/>
                <w:color w:val="auto"/>
              </w:rPr>
              <w:t>86,730,975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0.54</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4.30</w:t>
            </w: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2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(37,079,990)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0.25</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360"/>
              <w:spacing w:after="0"/>
              <w:rPr>
                <w:sz w:val="20"/>
                <w:szCs w:val="20"/>
                <w:color w:val="auto"/>
              </w:rPr>
            </w:pPr>
            <w:r>
              <w:rPr>
                <w:rFonts w:ascii="Arial" w:cs="Arial" w:eastAsia="Arial" w:hAnsi="Arial"/>
                <w:sz w:val="18"/>
                <w:szCs w:val="18"/>
                <w:color w:val="auto"/>
              </w:rPr>
              <w:t>Extinguished or expired</w:t>
            </w:r>
          </w:p>
        </w:tc>
        <w:tc>
          <w:tcPr>
            <w:tcW w:w="15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(203,905)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2.39</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7"/>
        </w:trPr>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52,106,497</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0.74</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4.24</w:t>
            </w:r>
          </w:p>
        </w:tc>
      </w:tr>
      <w:tr>
        <w:trPr>
          <w:trHeight w:val="20"/>
        </w:trPr>
        <w:tc>
          <w:tcPr>
            <w:tcW w:w="3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2900" w:type="dxa"/>
            <w:vAlign w:val="bottom"/>
            <w:gridSpan w:val="3"/>
          </w:tcPr>
          <w:p>
            <w:pPr>
              <w:jc w:val="right"/>
              <w:ind w:right="1340"/>
              <w:spacing w:after="0"/>
              <w:rPr>
                <w:sz w:val="20"/>
                <w:szCs w:val="20"/>
                <w:color w:val="auto"/>
              </w:rPr>
            </w:pPr>
            <w:r>
              <w:rPr>
                <w:rFonts w:ascii="Arial" w:cs="Arial" w:eastAsia="Arial" w:hAnsi="Arial"/>
                <w:sz w:val="18"/>
                <w:szCs w:val="18"/>
                <w:color w:val="auto"/>
              </w:rPr>
              <w:t>F-22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00"/>
          </w:cols>
          <w:pgMar w:left="240" w:top="121" w:right="11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a warrant holder exercised 4,820,000 of Series A warrants at $0.10 per warrant for a total of $482,000.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24,639,995 of Series B warrants at $0.20 per warrant for a total of $4,928,000.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7,620,000 of Series C warrants at $0.50 per warrant for a total of $3,810,000.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derivative liabilities associated with these warrants in the amount of $16,835,000 were credited to additional paid-in capital.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March 19, 2014, the Company adopted the 2014 Omnibus Stock Option Plan (“2014 Plan”). The 2014 Plan was amended in February 2015 to provide for grants to consultants, and again in November 2015 to (i) increase the number of shares reserved for issuance under the Plan by 5.0 million shares to 7.0 million shares. Options granted under the Plan shall be at prices and for terms as determined by the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December 31, 2015 and 2014 and changes during the years is presented below: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color w:val="auto"/>
              </w:rPr>
              <w:t>Number of</w:t>
            </w:r>
          </w:p>
        </w:tc>
        <w:tc>
          <w:tcPr>
            <w:tcW w:w="1680" w:type="dxa"/>
            <w:vAlign w:val="bottom"/>
            <w:gridSpan w:val="3"/>
          </w:tcPr>
          <w:p>
            <w:pPr>
              <w:spacing w:after="0"/>
              <w:rPr>
                <w:sz w:val="20"/>
                <w:szCs w:val="20"/>
                <w:color w:val="auto"/>
              </w:rPr>
            </w:pPr>
            <w:r>
              <w:rPr>
                <w:rFonts w:ascii="Arial" w:cs="Arial" w:eastAsia="Arial" w:hAnsi="Arial"/>
                <w:sz w:val="14"/>
                <w:szCs w:val="14"/>
                <w:color w:val="auto"/>
              </w:rPr>
              <w:t>Weighted Average</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Weighted Average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20" w:type="dxa"/>
            <w:vAlign w:val="bottom"/>
            <w:gridSpan w:val="3"/>
          </w:tcPr>
          <w:p>
            <w:pPr>
              <w:jc w:val="right"/>
              <w:ind w:right="8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Remaining Life</w:t>
            </w:r>
          </w:p>
        </w:tc>
        <w:tc>
          <w:tcPr>
            <w:tcW w:w="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2014</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6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ind w:left="654"/>
              <w:spacing w:after="0"/>
              <w:rPr>
                <w:sz w:val="20"/>
                <w:szCs w:val="20"/>
                <w:color w:val="auto"/>
              </w:rPr>
            </w:pPr>
            <w:r>
              <w:rPr>
                <w:rFonts w:ascii="Arial" w:cs="Arial" w:eastAsia="Arial" w:hAnsi="Arial"/>
                <w:sz w:val="18"/>
                <w:szCs w:val="18"/>
                <w:color w:val="auto"/>
                <w:w w:val="91"/>
              </w:rPr>
              <w:t>5.04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Issued</w:t>
            </w: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Cancelled/Forfeited</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620" w:type="dxa"/>
            <w:vAlign w:val="bottom"/>
          </w:tcPr>
          <w:p>
            <w:pPr>
              <w:spacing w:after="0"/>
              <w:rPr>
                <w:sz w:val="19"/>
                <w:szCs w:val="19"/>
                <w:color w:val="auto"/>
              </w:rPr>
            </w:pPr>
          </w:p>
        </w:tc>
        <w:tc>
          <w:tcPr>
            <w:tcW w:w="1060" w:type="dxa"/>
            <w:vAlign w:val="bottom"/>
            <w:tcBorders>
              <w:top w:val="single" w:sz="8" w:color="auto"/>
            </w:tcBorders>
          </w:tcPr>
          <w:p>
            <w:pPr>
              <w:jc w:val="center"/>
              <w:ind w:left="654"/>
              <w:spacing w:after="0"/>
              <w:rPr>
                <w:sz w:val="20"/>
                <w:szCs w:val="20"/>
                <w:color w:val="auto"/>
              </w:rPr>
            </w:pPr>
            <w:r>
              <w:rPr>
                <w:rFonts w:ascii="Arial" w:cs="Arial" w:eastAsia="Arial" w:hAnsi="Arial"/>
                <w:sz w:val="18"/>
                <w:szCs w:val="18"/>
                <w:color w:val="auto"/>
                <w:w w:val="91"/>
              </w:rPr>
              <w:t>4.04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3,540,000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0.55</w:t>
            </w:r>
          </w:p>
        </w:tc>
        <w:tc>
          <w:tcPr>
            <w:tcW w:w="1360" w:type="dxa"/>
            <w:vAlign w:val="bottom"/>
            <w:gridSpan w:val="2"/>
            <w:shd w:val="clear" w:color="auto" w:fill="CCEEFF"/>
          </w:tcPr>
          <w:p>
            <w:pPr>
              <w:jc w:val="center"/>
              <w:ind w:left="354"/>
              <w:spacing w:after="0"/>
              <w:rPr>
                <w:sz w:val="20"/>
                <w:szCs w:val="20"/>
                <w:color w:val="auto"/>
              </w:rPr>
            </w:pPr>
            <w:r>
              <w:rPr>
                <w:rFonts w:ascii="Arial" w:cs="Arial" w:eastAsia="Arial" w:hAnsi="Arial"/>
                <w:sz w:val="18"/>
                <w:szCs w:val="18"/>
                <w:color w:val="auto"/>
                <w:w w:val="91"/>
              </w:rPr>
              <w:t>4.39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Cancelled/Forfeited</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(21,280)</w:t>
            </w: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17.00</w:t>
            </w:r>
          </w:p>
        </w:tc>
        <w:tc>
          <w:tcPr>
            <w:tcW w:w="1360" w:type="dxa"/>
            <w:vAlign w:val="bottom"/>
            <w:gridSpan w:val="2"/>
          </w:tcPr>
          <w:p>
            <w:pPr>
              <w:jc w:val="center"/>
              <w:ind w:left="29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3,584,150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91"/>
              </w:rPr>
              <w:t>9.69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at December 31, 2015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1,987,000</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620" w:type="dxa"/>
            <w:vAlign w:val="bottom"/>
          </w:tcPr>
          <w:p>
            <w:pPr>
              <w:spacing w:after="0"/>
              <w:rPr>
                <w:sz w:val="18"/>
                <w:szCs w:val="18"/>
                <w:color w:val="auto"/>
              </w:rPr>
            </w:pPr>
          </w:p>
        </w:tc>
        <w:tc>
          <w:tcPr>
            <w:tcW w:w="106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91"/>
              </w:rPr>
              <w:t>9.59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132,000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the Black-Scholes option-pricing model to value stock options granted in 2015:</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2960" w:type="dxa"/>
            <w:vAlign w:val="bottom"/>
            <w:gridSpan w:val="2"/>
          </w:tcPr>
          <w:p>
            <w:pPr>
              <w:jc w:val="center"/>
              <w:ind w:left="2374"/>
              <w:spacing w:after="0"/>
              <w:rPr>
                <w:sz w:val="20"/>
                <w:szCs w:val="20"/>
                <w:color w:val="auto"/>
              </w:rPr>
            </w:pPr>
            <w:r>
              <w:rPr>
                <w:rFonts w:ascii="Arial" w:cs="Arial" w:eastAsia="Arial" w:hAnsi="Arial"/>
                <w:sz w:val="14"/>
                <w:szCs w:val="14"/>
                <w:color w:val="auto"/>
                <w:w w:val="96"/>
              </w:rPr>
              <w:t>2015</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2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9.08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Weighted-average volatility</w:t>
            </w:r>
          </w:p>
        </w:tc>
        <w:tc>
          <w:tcPr>
            <w:tcW w:w="2960" w:type="dxa"/>
            <w:vAlign w:val="bottom"/>
            <w:gridSpan w:val="2"/>
          </w:tcPr>
          <w:p>
            <w:pPr>
              <w:jc w:val="center"/>
              <w:ind w:left="2374"/>
              <w:spacing w:after="0"/>
              <w:rPr>
                <w:sz w:val="20"/>
                <w:szCs w:val="20"/>
                <w:color w:val="auto"/>
              </w:rPr>
            </w:pPr>
            <w:r>
              <w:rPr>
                <w:rFonts w:ascii="Arial" w:cs="Arial" w:eastAsia="Arial" w:hAnsi="Arial"/>
                <w:sz w:val="18"/>
                <w:szCs w:val="18"/>
                <w:color w:val="auto"/>
                <w:w w:val="91"/>
              </w:rPr>
              <w:t>230%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960" w:type="dxa"/>
            <w:vAlign w:val="bottom"/>
            <w:gridSpan w:val="2"/>
            <w:shd w:val="clear" w:color="auto" w:fill="CCEEFF"/>
          </w:tcPr>
          <w:p>
            <w:pPr>
              <w:jc w:val="center"/>
              <w:ind w:left="2374"/>
              <w:spacing w:after="0"/>
              <w:rPr>
                <w:sz w:val="20"/>
                <w:szCs w:val="20"/>
                <w:color w:val="auto"/>
              </w:rPr>
            </w:pPr>
            <w:r>
              <w:rPr>
                <w:rFonts w:ascii="Arial" w:cs="Arial" w:eastAsia="Arial" w:hAnsi="Arial"/>
                <w:sz w:val="18"/>
                <w:szCs w:val="18"/>
                <w:color w:val="auto"/>
                <w:w w:val="90"/>
              </w:rPr>
              <w:t>2.10%</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960" w:type="dxa"/>
            <w:vAlign w:val="bottom"/>
            <w:gridSpan w:val="2"/>
          </w:tcPr>
          <w:p>
            <w:pPr>
              <w:jc w:val="center"/>
              <w:ind w:left="2394"/>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costs of $945,000 are expected to be recognized over the next 1.86 years.</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no income tax expense due to operating losses incurred for the years ended December 31, 2015 and 2014. Approximately $1.6 million in non-qualified stock options were cancelled during 2015 due to terminations that resulted in a reversal of the deferred tax asset of approximately $0.52 million. The cancellations did not result in a book income for December 31, 2015.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temporary differences that give rise to significant portions of the deferred tax assets as of December 31, 2015 and 2014 are as follows: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color w:val="auto"/>
                <w:w w:val="97"/>
              </w:rPr>
              <w:t>Year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40" w:type="dxa"/>
            <w:vAlign w:val="bottom"/>
            <w:gridSpan w:val="4"/>
          </w:tcPr>
          <w:p>
            <w:pPr>
              <w:ind w:left="1120"/>
              <w:spacing w:after="0"/>
              <w:rPr>
                <w:sz w:val="20"/>
                <w:szCs w:val="20"/>
                <w:color w:val="auto"/>
              </w:rPr>
            </w:pPr>
            <w:r>
              <w:rPr>
                <w:rFonts w:ascii="Arial" w:cs="Arial" w:eastAsia="Arial" w:hAnsi="Arial"/>
                <w:sz w:val="14"/>
                <w:szCs w:val="14"/>
                <w:color w:val="auto"/>
              </w:rPr>
              <w:t>December 31, 2015</w:t>
            </w:r>
          </w:p>
        </w:tc>
        <w:tc>
          <w:tcPr>
            <w:tcW w:w="1580" w:type="dxa"/>
            <w:vAlign w:val="bottom"/>
            <w:gridSpan w:val="4"/>
          </w:tcPr>
          <w:p>
            <w:pPr>
              <w:ind w:left="320"/>
              <w:spacing w:after="0"/>
              <w:rPr>
                <w:sz w:val="20"/>
                <w:szCs w:val="20"/>
                <w:color w:val="auto"/>
              </w:rPr>
            </w:pPr>
            <w:r>
              <w:rPr>
                <w:rFonts w:ascii="Arial" w:cs="Arial" w:eastAsia="Arial" w:hAnsi="Arial"/>
                <w:sz w:val="14"/>
                <w:szCs w:val="14"/>
                <w:color w:val="auto"/>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8,359,000</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10,433,000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License agreements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Technology licensing fee</w:t>
            </w:r>
          </w:p>
        </w:tc>
        <w:tc>
          <w:tcPr>
            <w:tcW w:w="1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Valuation allowance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(10,826,000)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(12,471,000)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assesses the likelihood that deferred tax assets will be realized. To the extent that realization is not likely, a valuation allowance is established.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Based upon the history of losses, management believes that it is more likely than not that future benefits of deferred tax assets will not be realized and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established a full valuation allowance for the years ended December 31, 2015 and 2014. The valuation allowance decreased by $1.6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The Company has research and development tax credit carryforwards of $117,000 to offset future federal income taxes. The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tax credit carryforwards begin to expire in 2029.</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has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2015 and 2014, the expected tax expense (benefit) based on the U. S. federal statutory rate is reconciled with the actual tax provision (benefit)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color w:val="auto"/>
                <w:w w:val="97"/>
              </w:rPr>
              <w:t>Year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r>
      <w:tr>
        <w:trPr>
          <w:trHeight w:val="167"/>
        </w:trPr>
        <w:tc>
          <w:tcPr>
            <w:tcW w:w="5640" w:type="dxa"/>
            <w:vAlign w:val="bottom"/>
          </w:tcPr>
          <w:p>
            <w:pPr>
              <w:spacing w:after="0"/>
              <w:rPr>
                <w:sz w:val="14"/>
                <w:szCs w:val="14"/>
                <w:color w:val="auto"/>
              </w:rPr>
            </w:pPr>
          </w:p>
        </w:tc>
        <w:tc>
          <w:tcPr>
            <w:tcW w:w="1500" w:type="dxa"/>
            <w:vAlign w:val="bottom"/>
            <w:gridSpan w:val="4"/>
          </w:tcPr>
          <w:p>
            <w:pPr>
              <w:jc w:val="right"/>
              <w:ind w:right="360"/>
              <w:spacing w:after="0"/>
              <w:rPr>
                <w:sz w:val="20"/>
                <w:szCs w:val="20"/>
                <w:color w:val="auto"/>
              </w:rPr>
            </w:pPr>
            <w:r>
              <w:rPr>
                <w:rFonts w:ascii="Arial" w:cs="Arial" w:eastAsia="Arial" w:hAnsi="Arial"/>
                <w:sz w:val="14"/>
                <w:szCs w:val="14"/>
                <w:color w:val="auto"/>
                <w:w w:val="91"/>
              </w:rPr>
              <w:t>December 31, 2015</w:t>
            </w:r>
          </w:p>
        </w:tc>
        <w:tc>
          <w:tcPr>
            <w:tcW w:w="1540" w:type="dxa"/>
            <w:vAlign w:val="bottom"/>
            <w:gridSpan w:val="4"/>
          </w:tcPr>
          <w:p>
            <w:pPr>
              <w:ind w:left="280"/>
              <w:spacing w:after="0"/>
              <w:rPr>
                <w:sz w:val="20"/>
                <w:szCs w:val="20"/>
                <w:color w:val="auto"/>
              </w:rPr>
            </w:pPr>
            <w:r>
              <w:rPr>
                <w:rFonts w:ascii="Arial" w:cs="Arial" w:eastAsia="Arial" w:hAnsi="Arial"/>
                <w:sz w:val="14"/>
                <w:szCs w:val="14"/>
                <w:color w:val="auto"/>
              </w:rPr>
              <w:t>December 31, 2014</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(11,582,000)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(10,449,000)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(199,000)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94"/>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Permanent differences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 Non-cash loss on extinguishment of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9,122,000</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Change in fair value of derivative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 Write off of net operating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3,591,000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Other permanent differences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(1,645,000)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1,265,000</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2015 and 2014, there were no unrecognized tax benefits. The Company recognizes accrued interest and penalties as income tax expense. No amounts were accrued for the payment of interest and penalties at December 31, 2015 and 2014. The Company is currently not aware of any issues under review that could result in significant payments, accruals or material deviation from its position in the next year.</w:t>
      </w:r>
    </w:p>
    <w:p>
      <w:pPr>
        <w:spacing w:after="0" w:line="30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CONTINGENCIES AND COMMITMENTS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has entered into an office property lease for one year expiring in July 2016. The minimum rental payments due under the agreement as at December 31, 2015 are $17,500.</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year ended December 31, 2015, the Company exercised its option to license certain intellectual property rights from Mayo Foundation under a license and assignment agreement. Under the agreement, the Company has agreed to:</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Make upfront license fee payments of $100,000 and $350,000 as partial consideration by March 21, 2016 and June 21, 2016, respectively;</w:t>
      </w:r>
    </w:p>
    <w:p>
      <w:pPr>
        <w:spacing w:after="0" w:line="142"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 annual license maintenance fees of $50,000 beginning on July 21, 2017 and every year thereafter until the Company starts paying 6% royalty on sales of the licensed product.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 milestone fees for each licensed product developed by the Company on achievement of certain events.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case of a fundamental transaction investors in the January and March 2015 financings could require the Company to pay them the Black Scholes value of their remaining warrants.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20"/>
          </w:cols>
          <w:pgMar w:left="24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71,046,767 Shares of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 2016]</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Until [[</w:t>
      </w:r>
      <w:r>
        <w:rPr>
          <w:rFonts w:ascii="Arial" w:cs="Arial" w:eastAsia="Arial" w:hAnsi="Arial"/>
          <w:sz w:val="18"/>
          <w:szCs w:val="18"/>
          <w:color w:val="auto"/>
        </w:rPr>
        <w:t>●</w:t>
      </w:r>
      <w:r>
        <w:rPr>
          <w:rFonts w:ascii="Arial" w:cs="Arial" w:eastAsia="Arial" w:hAnsi="Arial"/>
          <w:sz w:val="18"/>
          <w:szCs w:val="18"/>
          <w:b w:val="1"/>
          <w:bCs w:val="1"/>
          <w:color w:val="auto"/>
        </w:rPr>
        <w:t>], 2016]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4,838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Transfer agent and registrar’s fees and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103,838†</w:t>
            </w:r>
          </w:p>
        </w:tc>
      </w:tr>
    </w:tbl>
    <w:p>
      <w:pPr>
        <w:spacing w:after="0" w:line="214" w:lineRule="exact"/>
        <w:rPr>
          <w:sz w:val="20"/>
          <w:szCs w:val="20"/>
          <w:color w:val="auto"/>
        </w:rPr>
      </w:pPr>
    </w:p>
    <w:p>
      <w:pPr>
        <w:ind w:left="220" w:right="840" w:hanging="212"/>
        <w:spacing w:after="0" w:line="342" w:lineRule="auto"/>
        <w:tabs>
          <w:tab w:leader="none" w:pos="2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Estimated expenses are not presently known. The foregoing sets forth the general categories of expenses (other than underwriting discounts and commissions) that the Company anticipates it will incur in connection with the offering of securities under the registration statement.</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officers and directors are indemnified under Nevada law. Our Amended and Restated Articles of Incorporation and our By-laws are silent as to director and officer indemnification.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Nevada Revised Statute. The registrant is a Nevada corporation.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Section 78.138 of the Nevada Revised Statutes provides that a director or officer will not be personally liable to the corporation and its stockholders unless it is proven that (i) 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 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information regarding unregistered securities that were sold by us within the past three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2013 through December 31, 2013*</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May 21, 2013, the Company issued 2,936,618 shares of common stock to an investor in connection with the conversion of $60,000 of a promissory note.</w:t>
      </w:r>
    </w:p>
    <w:p>
      <w:pPr>
        <w:spacing w:after="0" w:line="24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May, 2013, the Company issued to an investor 2,000,000 share purchase warrants to acquire an equivalent number of common shares of the Company, at an exercise price of $0.06 per share for an exercise period of up to four years from the issuance date. The warrants were issued pursuant to a convertible debt with price adjustment features.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June 11, 2013, the Company issued 2,113,515 shares of common stock to an investor in connection with the conversion of $52,753.35 of a promissory note.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July 15, 2013, the Company issued 318,823 shares of common stock to an investor as a result of the adjustment from $0.025 to $0.0217 of the conversion price used to convert $52,753.35 of promissory note.</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During the period ended June 30, 2013, the Company issued 1,944,444 shares of its restricted common stock (of which 992,063 shares were issued during the period ended March 31, 2013) to an investor for partial conversion of September 18, 2012 Note at an average conversion price of $.036 per share.</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period ended June 30, 2013, the Company issued 18,464,921 shares of its restricted common stock to an investor for settlement of accounts payable in the amount of $510,572.</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period ended June 30, 2013, the Company issued 250,000 shares of its restricted common stock under a settlement agreement with a former director of the Company.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period ended June 30, 2013, the Company issued 5,050,133 shares of its restricted common stock to an investor and agreed to issue an additional 318,823 shares of its restricted common stock for conversion of October 9, 2012 Convertible Notes.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2013, an investor converted the November 1, 2012 Note and accrued interest into 512,822 common shares.</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period ended June 30, 2013, the Company issued 3,000,000 shares of its restricted common stock to an investor for conversion of the balances of the August 8, 2012 Note and November 20, 2013 Note at an average conversion price of $.021 per share.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July, 2013, one of the convertible note holders elected to convert $19,712, a portion of the note, into 1,600,000 shares of the Company at a conversion price of $0.0123.</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Subsequent to June 30, 2013, one of the related parties assigned a convertible note to a third party investor with amendments ratified by the Company. In July and August 2013, the note holder elected to convert $78,000, a portion of the note, into 6,469,824 shares of the Company at an average conversion price of $0.0121.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July 2013, the Company issued 5,000,000 shares to a creditor pursuant to a settlement agreement.</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July 2013, the Company entered into a securities purchase agreement with an investor to place a Convertible Note with a maturity date of one year after the issuance thereof in the aggregate principal amount of $125,000. The Company also issued 4,166,667 warrants to the note holder, exercisable at $0.03 per share with a five year term. Consideration under the notes consisted of $110,000 in cash proceeds after $4,000 payment of finders’ fee and an original issue discount of $11,000. The note holder has the option to convert a portion or all of the outstanding balance of the note including any accrued interest into shares of the Company’s common stock at a conversion rate of $0.072 per share or 70% of the average of the lowest closing bid prices in the 20 trading days prior to conversion. The note carries an interest rate of 8% per year unless the note is in default, in which case, the note will incur an interest rate of 18% per year.</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August and September 2013, the Company issued to an investor 3,600,000 shares and is obligated to issue additional 2,047,238 shares of its common stock for conversion of November 20, 2012 Convertible Note.</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Between July and September 30, 2013, the Company issued 10,818,783 shares of its common stock to an investor for conversion of June 19, 2013 Convertible Note. The fair value of the shares was determined to be $181,606 based on the average quoted market price of $0.0168 per share. The Company recorded $79,078 as loss on settlement of debt.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August, 2013, the Company issued 5,000,000 shares of its common stock to an investor for conversion of July 12, 2013 Convertible Note. The fair value of the shares was determined to be $52,500 based on the quoted market price of $0.0105 per share.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August and September 2013, the Company issued to an investor 8,000,000 shares of its common stock as part of the settlement agreement of February 8, 2013.</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September, 2013, the Company issued to an investor 1,000,000 shares of its common stock for partial conversion of September 18, 2012 Note at an average conversion price of $.005 per share.</w:t>
      </w:r>
    </w:p>
    <w:p>
      <w:pPr>
        <w:spacing w:after="0" w:line="170"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November, 2013, the Company entered into securities purchase agreements with investors to place convertible notes with a maturity date of six months after the issuance thereof in the aggregate principal amount of $143,000. Consideration under the notes consisted of $130,000 in cash proceeds and an original issue discount of 10%. The note holders have the option to convert a portion or all of the outstanding balance of the notes including any accrued interest into shares of the Company’s common stock at a conversion rate of the lesser of $0.01 per share or a conversion price available to any of the other debtors. The note carries no interest unless the note is in default, in which case, the note will incur an interest rate of 20% per year.</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November, 2013, the Company exchanged partial amount due to a related party into a convertible note with a maturity date of six months after the issuance thereof in the aggregate principal amount of $56,667. Consideration under the notes consisted of $51,000 of accounts payable and an original issue discount of 10%. The note was issued on the same terms as the notes issued to investors in November 2013. In November, 2013, one of the convertible note holders elected to convert $6,360, a portion of the note, into 1,200,000 shares of the Company at a conversion price of $0.0053.</w:t>
      </w:r>
    </w:p>
    <w:p>
      <w:pPr>
        <w:spacing w:after="0" w:line="198" w:lineRule="exact"/>
        <w:rPr>
          <w:sz w:val="20"/>
          <w:szCs w:val="20"/>
          <w:color w:val="auto"/>
        </w:rPr>
      </w:pPr>
    </w:p>
    <w:p>
      <w:pPr>
        <w:ind w:left="220" w:right="380" w:hanging="212"/>
        <w:spacing w:after="0" w:line="277" w:lineRule="auto"/>
        <w:tabs>
          <w:tab w:leader="none" w:pos="22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 The above 2013 share numbers reflect pre-reverse split shares. On February 18, 2014, we enacted a reverse split whereby each one hundred shares were exchanged for one share.</w:t>
      </w:r>
    </w:p>
    <w:p>
      <w:pPr>
        <w:spacing w:after="0" w:line="17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In November, 2013, the Company issued 12,000 shares of its common stock to an investor with a fair value of $13,340 for partial conversion of September 18, 2012 Note.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November, 2013, the Company issued 45,333 shares of its common stock to an investor with a fair value of $134,187 for partial conversion of April 18, 2013 Note.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2013, the Company entered into an advisory agreement with Consultant A to provide expertise in the areas of finance, corporate restructuring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corporate development to the Management and Board of TapImmune for a one year term. The advisory agreement provides for an advisory fee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per month from November 2013 to May 2014 for six months, extendable for additional six months subject to mutual agreement. The Company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grant 250,000 shares to the consultant post restructuring of the Company’s debt, of which, 150,000 were granted subsequent to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March, 2013, the Company received $242,950 for a private placement, for which it issued 34,707 shares and equal number of warrants. In December 2013, the Company entered into rescission agreements whereby the Company replaced the shares and warrants with December, 2013 Convertible Notes II and the 34,707 shares and warrants were returned to the treasury.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24, 2014, the Company issued 145,000 shares of our common stock to one person for the settlement of approximately $127,040 worth of debt, and on April 4, 2014, the Company issued 244,764 shares of common stock to the same person for the settlement of approximately $214,446 worth of debt. The Company made both of these issuances of unregistered equity securities in reliance on the registration exemption provided by Section 3(a)(10) of the Securities Act of 1933.</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1, 2014, the Company granted five-year warrants to purchase 100,000 shares of common stock to a consultant. Each of those warrants is exercisable at $3.65.</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January and February 2014, the Company converted debt totaling approximately $3,498,000 into 874,555 shares of Series A Convertible Preferred Stock. After the occurrence of the Company’s 100:1 reverse stock split, on February 20, 2014, the 874,555 shares of Series a Convertible Preferred Stock were converted into 4,372,774 shares of common stock. This debt included $746,696 of principal and interest due to related parties, which was converted into 933,370 common shares.</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February 2014, the Company converted debt totaling approximately $1,374,000 into 1,374,307 shares of Series B Convertible Preferred Stock. After the occurrence of the Company’s 100:1 reverse stock split, on February 20, 2014, the 1,374,307 shares of Series B Convertible Preferred Stock were converted into 9,620,150 shares of common stock.</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February 20, 2014, the Company issued 168,787 shares of common stock for: (i) 5,000 restricted common shares in exchange for legal fees, (ii) 150,000 restricted common shares pursuant to a consulting agreement, and (iii) 13,787 restricted common shares in exchange for legal fees.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2014, the Company entered into a one year media and investor relations service contract with a consultant. The contract provides for the Company to make a $100,000 payment on signing of the contract and 200,000 shares of restricted common stock, of which 100,000 are to be issued immediately and an additional 100,000 restricted common stock within 10 business days upon the Company’s successful listing on NASDAQ or NYSE MKT exchange.</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March 18, 2014, a third party entered into an option agreement with the Company to assign its technology license agreement (“License Agreement”) with Mayo Foundation for Medical Education and Research (“Mayo”) on the following terms: (i) the Company to issue 100,000 share purchase warrants of its common stock at a price of $4.00 per share for a five year term as compensation for receiving the option; (ii) on the Company exercising its option and completing the assignment, at the option of the third party, issuing additional 100,000 share purchase warrants of its common stock at a price of $4.00 per share for a five year term or 25% of the royalties that Mayo is to receive under the License Agreement; and (iii) pay the third party $400,000, the payments made by the third party to Mayo, either in cash or shares of the Company’s common stock equal to such amount divided by $4.00.</w:t>
      </w:r>
    </w:p>
    <w:p>
      <w:pPr>
        <w:spacing w:after="0" w:line="16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During the period ended March 31, 2014, the Company received subscription proceeds of $418,000 for 418,000 shares of Series B Convertible Preferred Stock. In February 2014, the 418,000 shares of Series B Convertible Preferred Stock were converted into 2,926,000 shares of common stock.</w:t>
      </w:r>
    </w:p>
    <w:p>
      <w:pPr>
        <w:spacing w:after="0" w:line="124"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During the period ended March 31, 2014, the Company issued 14,031,151 shares of our common stock with a fair value of $31,578,129 for conversion of convertible debt, accounts payable, loan, promissory note, Series B convertible preferred shares and accrued interest in the amount of $5,378,982. In these conversions, related parties converted $721,045 of notes, accounts payable and loan into 766,444 shares of our common stock</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the period ended March 31, 2014, the Company issued 198,443 shares of its common stock with a fair value of $1,013,799 for conversion of convertible debt, settlement of debt, and accrued interest in the amount of $163,225.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March 31, 2014, the Company issued 18,787 shares of its common stock with a fair value of $42,271 for legal services.</w:t>
      </w:r>
    </w:p>
    <w:p>
      <w:pPr>
        <w:spacing w:after="0" w:line="2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period ended March 31, 2014, the Company issued 150,000 shares of its common stock pursuant to an advisory agreement with a fair value of $337,500 as on February 20, 2014.</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period ended June 30, 2014, the Company settled the judgment against us by a former law firm by issuing 200,000 of our then outstanding Series B Convertible Preferred Stock, which in turn converted into common stock.</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March 24, 2014, the Company issued 145,000 shares of our common stock to one person for the settlement of approximately $127,040 worth of debt, and on April 4, 2014, the Company issued 244,764 shares of common stock to the same person for the settlement of approximately $214,446 worth of debt.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On April 28, 2014, the Company issued 15,000 shares of restricted common stock to CRS Media Group in exchange for investor relation services.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April and May 2014, the Company converted $328,419 of debt into 308,236 shares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2014, the Company issued 25,000 shares of common stock in exchange for legal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June 30, 2014, the Company issued 58,787 shares of its common stock with a fair value of $151,821 for legal services.</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period ended June 30, 2014, the Company issued 145,000 shares of its common stock pursuant to agreements with a fair value of $761,250 for settlement of accrued liability of $355,950.</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period ended June 30, 2014, the Company agreed to issue 12,500 shares of its common stock pursuant to an agreement with a fair value of $58,750. The shares have not yet been issued.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 ended June 30, 2014, the Company issued 845,075 shares of its common stock pursuant to settlement agreements with a creditor with a fair value of $2,981,231.</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period ended June 30, 2014, the Company issued 81,472 shares of its common stock with a fair value of $211,658 for conversion of convertible debt and accrued interest in the amount of $86,243.</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period ended June 30, 2014, the Company issued 46,443 shares of its common stock with a fair value of $204,349 for conversion of convertible debt and accrued interest in the amount of $32,510.</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period ended June 30, 2014, the Company received subscription proceeds of $165,000 for 165,000 units. Each unit consists of one common share and one share purchase warrant exercisable at $2.50 for a period of 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Between May 7, 2014 and May 27, 2014, the Company issued 140,000 shares of common stock in exchange for $333,150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2014, the Company issued 29,000 shares of common stock in exchange for the conversion of $40,670 of debt to JMJ Financial.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11, 2014, the Company issued 30,000 shares of common stock in exchange for $42,000 of services to Stockvest Inc.</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June 27, 2014, the Company issued an aggregate of 455,311 shares of common stock in exchange for the conversion of debt and the elimination of accrued liability of $2,302,294 to certain debt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July 2014, certain debt holder converted $16,950 of debt into 19,371 shares of common stock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August 2014 through to the date hereof, the Company issued 26,250 shares of common stock in exchange for $26,250 of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August 2014, the Company issued 265,000 shares of common stock and warrants to purchase 265,000 shares of common stock to six investors in exchange for $265,000.</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August 11, 2014, the Company entered into a Securities Purchase Agreement with a single institutional investor for the sale of 1,886,792 units at a purchase price of $1.06 per unit, for a total purchase price of $1,832,500, net of finders’ fee. Each unit consists of one common share and one share purchase warrant exercisable at $1.17 for a period of 5 years.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August 2014, the Company issued 120,000 shares of common stock and warrants to purchase 120,000 shares of common stock to its President and CEO in exchange for the conversion of due but unpaid compensation of $120,000.</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August 2014, the Company received subscription proceeds of $100,000 for 100,000 units. Each unit consists of one common share and one share purchase warrant exercisable at $2.50 for a period of 3 years. The Company issued an aggregate of 265,000 shares of common stock and warrants, of which, 165,000 shares and warrants were issued for the subscription proceeds received during the period ended June 2014.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period ended September 30, 2014, a note holder converted outstanding principal and accrued interest of $221,940 into 1,400,000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shares was determined to be $3,160,000 and the Company recorded a loss on settlement of debt of $2,938,060.</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period ended September 30, 2014, the Company received subscription proceeds of $265,000 for 265,000 units. Each unit consists of one share of common stock and one share purchase warrant exercisable at $2.50 for a period of 3 years. The Company also issued 5,250 shares of common stock as finders’ fee relating to the subscription proceeds.</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August, 2014, the Company issued 265,000 share purchase warrants to acquire an equivalent number of common shares of the Company, at an exercise price of $2.50 per share for an exercise period of up to three years from the issuance date. The warrants were issued pursuant to private placements and included within equity. The fair value of these warrants was determined to be $258,000, using the Black-Scholes Option Pricing Model with an expected life of 3 years, a risk free interest rate of 0.93%, a dividend yield of 0%, and an expected volatility of 153.8%.</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August, 2014, the Company issued 1,986,792 share purchase warrants to acquire an equivalent number of common shares of the Company, at an exercise price of $1.17 per share for an exercise period of up to five years from the issuance date. The warrants were issued pursuant to a private placement and included within equity. The fair value of these warrants was determined to be $2,269,000, using the Black-Scholes Option Pricing Model with an expected life of 5 years, a risk free interest rate of 1.58%, a dividend yield of 0%, and an expected volatility of 150.3%.</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2014, the Company issued 100,000 share purchase warrants to acquire an equivalent number of common shares of the Company, at an exercise price of $1.15 per share for an exercise period of up to five years from the issuance date. The warrants were issued pursuant to a service agreement. The fair value of these warrants was determined to be $105,000, using the Black-Scholes Option Pricing Model with an expected life of 5 years, a risk free interest rate of 1.63%, a dividend yield of 0%, and an expected volatility of 150.18%.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December 2, 2014 the Company issued 120,000 shares of common stock and warrants to purchase 120,000 shares of common stock to our President and CEO in exchange for the conversion of due but unpaid compensation of $120,000.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registered financings, where</w:t>
      </w:r>
    </w:p>
    <w:p>
      <w:pPr>
        <w:spacing w:after="0" w:line="131"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$1.50 per warrant to $0.10 per warrant,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$0.40 per warrant to $0.20 per warrant,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$1.00 per warrant to $0.50 per warrant,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a result of the restructuring agreement, we issued an additional 12,320,000 Series B warrants and 12,320,000 Series C Warrants. Set forth below is a description of the Warrants:</w:t>
      </w:r>
    </w:p>
    <w:p>
      <w:pPr>
        <w:spacing w:after="0" w:line="72" w:lineRule="exact"/>
        <w:rPr>
          <w:sz w:val="20"/>
          <w:szCs w:val="20"/>
          <w:color w:val="auto"/>
        </w:rPr>
      </w:pPr>
    </w:p>
    <w:p>
      <w:pPr>
        <w:ind w:left="460" w:right="140" w:hanging="452"/>
        <w:spacing w:after="0" w:line="314"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Series A and Series A-1 Warrants. </w:t>
      </w:r>
      <w:r>
        <w:rPr>
          <w:rFonts w:ascii="Arial" w:cs="Arial" w:eastAsia="Arial" w:hAnsi="Arial"/>
          <w:sz w:val="16"/>
          <w:szCs w:val="16"/>
          <w:color w:val="auto"/>
        </w:rPr>
        <w:t>The Series A and Series A-1 Warrants have a five year term and exercise prices of $0.10. They have a cashless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only if not freely tradable upon exercise. The Series A and Series A-1 Warrants have anti-dilution protection which provides that the exercise price of the Series A and Series A-1 warrants would adjust to the price of any securities sold by us below the warrant exercise price.</w:t>
      </w:r>
    </w:p>
    <w:p>
      <w:pPr>
        <w:spacing w:after="0" w:line="47" w:lineRule="exact"/>
        <w:rPr>
          <w:rFonts w:ascii="Arial" w:cs="Arial" w:eastAsia="Arial" w:hAnsi="Arial"/>
          <w:sz w:val="16"/>
          <w:szCs w:val="16"/>
          <w:color w:val="auto"/>
        </w:rPr>
      </w:pPr>
    </w:p>
    <w:p>
      <w:pPr>
        <w:ind w:left="460" w:hanging="452"/>
        <w:spacing w:after="0" w:line="282"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Series B and Series B-1 Warrants</w:t>
      </w:r>
      <w:r>
        <w:rPr>
          <w:rFonts w:ascii="Arial" w:cs="Arial" w:eastAsia="Arial" w:hAnsi="Arial"/>
          <w:sz w:val="18"/>
          <w:szCs w:val="18"/>
          <w:color w:val="auto"/>
        </w:rPr>
        <w:t>. The Series B and B-1 Warrants had a six month term and an exercise price of $0.20. These Series B and Series B-1</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were exercised prior to expiration.</w:t>
      </w:r>
    </w:p>
    <w:p>
      <w:pPr>
        <w:spacing w:after="0" w:line="67" w:lineRule="exact"/>
        <w:rPr>
          <w:rFonts w:ascii="Arial" w:cs="Arial" w:eastAsia="Arial" w:hAnsi="Arial"/>
          <w:sz w:val="18"/>
          <w:szCs w:val="18"/>
          <w:color w:val="auto"/>
        </w:rPr>
      </w:pPr>
    </w:p>
    <w:p>
      <w:pPr>
        <w:ind w:left="460" w:right="80" w:hanging="452"/>
        <w:spacing w:after="0" w:line="314"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Series C and Series C-1 Warrants</w:t>
      </w:r>
      <w:r>
        <w:rPr>
          <w:rFonts w:ascii="Arial" w:cs="Arial" w:eastAsia="Arial" w:hAnsi="Arial"/>
          <w:sz w:val="16"/>
          <w:szCs w:val="16"/>
          <w:color w:val="auto"/>
        </w:rPr>
        <w:t>. The Series C and Series C-1 Warrants have a 5 year term and an exercise price of $0.50. There is a mandatory</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if the stock trades at or above $1.00 for 10 trading days. These warrants have anti-dilution protection for subsequent securities issuances by us at prices below the exercise price which would require an adjustment to the warrant exercise price (excluding warrant exercises).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On June 3, 2015 the Company issued 300,000 shares to Caro Capital, LLC pursuant to an investor relations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24, 2015 the Company issued 34,871 shares to H.C. Wainwrights &amp; Co., LLC pursuant to its services as a placement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July 31, 2015 the Company issued 118,450 shares to Steven and Sanders and William Rosenstadt for legal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4, 2015 the Company issued 8,581 shares to H.C. Wainwright &amp; Co., LLC pursuant to its services as a placement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6, 2015 the Company issued 49,950 shares to Avid Advertising Inc. pursuant to its advertising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November 6, 2015 the Company issued 70,000 shares to Corporate Profile, LLC pursuant to an investor relations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February 2, 2016 the Company issued 150,000 shares to Caro Capital, LLC pursuant to an investor relations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March 1, 2016 the Company issued 100,000 shares to Proactive Capital Resource Group, LLC, pursuant to an investor relations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On March 9, 2016 the Company issued 25,000 shares to Financial Insights, pursuant to a financial consulting agreement.</w:t>
      </w:r>
    </w:p>
    <w:p>
      <w:pPr>
        <w:spacing w:after="0" w:line="22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On March 11, 2016 the Company issued 315,000 shares to Dr. Glynn Wilson, the Company’s Chairman and Chief Executive Officer, pursuant to his employment agreement. The Company withheld 86,782 shares for tax withholding, resulting in a net issuance of 228,218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March 23, 2016, the Company issued 40,000 shares to Gary Poelstra pursuant to an investor relations agreement.</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Except where otherwise indicated that a different exemption from registration was relied upon, the securities set forth above were issued in reliance on exemptions from registration under Section 4(2) of the Securities Act of 1933, as amended, including Rule 506 of Regulation D. These transactions qualified for exemption from registration because among other things, the transactions did not involve a public offering, each investor was an accredited investor, each investor had access to information about us and their investment, each investor took the securities for investment and not resale, there was no general solicitation or advertising in connection with the placement and we took appropriate measures to restrict the transfer of the securities.</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 Exhibit numbers correspond to the exhibit requirements of Regulation S-K.</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Articles of Incorporation dated February 3, 2009 as filed as Exhibit 3.1 to Form 8-K filed on February 6, 2009 and incorporated herein by reference.</w:t>
      </w:r>
    </w:p>
    <w:p>
      <w:pPr>
        <w:spacing w:after="0" w:line="6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Articles of Incorporation dated May 19, 1999 as filed as Exhibit 2.1 to the Registration Statement filed on Form 10-SB on September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1999 and incorporated herein by reference.</w:t>
      </w:r>
    </w:p>
    <w:p>
      <w:pPr>
        <w:spacing w:after="0" w:line="103"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the Company dated May 10, 2004 as filed as Exhibit 3.1 to the Company’s Quarterly Report on Form 10-QSB as filed on May 20, 2004 and incorporated herein by reference.</w:t>
      </w:r>
    </w:p>
    <w:p>
      <w:pPr>
        <w:spacing w:after="0" w:line="62" w:lineRule="exact"/>
        <w:rPr>
          <w:sz w:val="20"/>
          <w:szCs w:val="20"/>
          <w:color w:val="auto"/>
        </w:rPr>
      </w:pPr>
    </w:p>
    <w:p>
      <w:pPr>
        <w:ind w:left="920" w:right="200" w:hanging="737"/>
        <w:spacing w:after="0" w:line="277"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Securities Purchase Agreement, dated May 17, 2010, as filed as Exhibit 10.1 to our Current Report on Form 8-K as filed on May 18, 2010 and incorporated herein by reference.</w:t>
      </w:r>
    </w:p>
    <w:p>
      <w:pPr>
        <w:spacing w:after="0" w:line="62" w:lineRule="exact"/>
        <w:rPr>
          <w:sz w:val="20"/>
          <w:szCs w:val="20"/>
          <w:color w:val="auto"/>
        </w:rPr>
      </w:pPr>
    </w:p>
    <w:p>
      <w:pPr>
        <w:ind w:left="920" w:right="200" w:hanging="737"/>
        <w:spacing w:after="0" w:line="277" w:lineRule="auto"/>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Registration Rights Agreement, dated May 24, 2010, as filed as Exhibit 10.4 to our Current Report on Form 8-K as filed on May 18, 2010 and incorporated herein by reference.</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Security Agreement, dated May 24, 2010, as filed as Exhibit 10.3 to our Current Report on Form 8-K as filed on May 18, 2010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Senior Secured Convertible Note, as filed as Exhibit 10.2 to our Current Report on Form 8-K as filed on May 18, 2010 and incorporated herein by reference.</w:t>
      </w:r>
    </w:p>
    <w:p>
      <w:pPr>
        <w:spacing w:after="0" w:line="62" w:lineRule="exact"/>
        <w:rPr>
          <w:sz w:val="20"/>
          <w:szCs w:val="20"/>
          <w:color w:val="auto"/>
        </w:rPr>
      </w:pPr>
    </w:p>
    <w:p>
      <w:pPr>
        <w:ind w:left="920" w:right="360" w:hanging="737"/>
        <w:spacing w:after="0" w:line="277"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Form of Series A Warrants, as filed as Exhibit 10.5 to our Current Report on Form 8-K as filed on May 18, 2010 and incorporated herein by reference.</w:t>
      </w:r>
    </w:p>
    <w:p>
      <w:pPr>
        <w:spacing w:after="0" w:line="62"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Form of Series B Warrants, as filed as Exhibit 10.6 to our Current Report on Form 8-K as filed on May 18, 2010 and incorporated herein by reference.</w:t>
      </w:r>
    </w:p>
    <w:p>
      <w:pPr>
        <w:spacing w:after="0" w:line="62"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Form of Series C Warrants, as filed as Exhibit 10.7 to our Current Report on Form 8-K as filed on May 18, 2010 and incorporated herein by reference.</w:t>
      </w:r>
    </w:p>
    <w:p>
      <w:pPr>
        <w:spacing w:after="0" w:line="62" w:lineRule="exact"/>
        <w:rPr>
          <w:sz w:val="20"/>
          <w:szCs w:val="20"/>
          <w:color w:val="auto"/>
        </w:rPr>
      </w:pPr>
    </w:p>
    <w:p>
      <w:pPr>
        <w:ind w:left="920" w:right="140" w:hanging="737"/>
        <w:spacing w:after="0" w:line="277" w:lineRule="auto"/>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Securities Purchase Agreement, dated February 24, 2011, as filed as Exhibit 10.1 to our Current Report on Form 8-K as filed on March 2, 2011 and incorporated herein by reference.</w:t>
      </w:r>
    </w:p>
    <w:p>
      <w:pPr>
        <w:spacing w:after="0" w:line="62"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Form of Convertible Note, as filed as Exhibit 10.2 to our Current Report on Form 8-K as filed on March 2, 2011 and incorporated herein by reference.</w:t>
      </w:r>
    </w:p>
    <w:p>
      <w:pPr>
        <w:spacing w:after="0" w:line="62" w:lineRule="exact"/>
        <w:rPr>
          <w:sz w:val="20"/>
          <w:szCs w:val="20"/>
          <w:color w:val="auto"/>
        </w:rPr>
      </w:pPr>
    </w:p>
    <w:p>
      <w:pPr>
        <w:ind w:left="920" w:right="640" w:hanging="737"/>
        <w:spacing w:after="0" w:line="277" w:lineRule="auto"/>
        <w:tabs>
          <w:tab w:leader="none" w:pos="9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Security Agreement, dated February 24, 2011, as filed as Exhibit 10.3 to our Current Report on Form 8-K as filed on March 2, 2011 and incorporated herein by reference.</w:t>
      </w:r>
    </w:p>
    <w:p>
      <w:pPr>
        <w:spacing w:after="0" w:line="6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Form of Warrant, as filed as Exhibit 10.4 to our Current Report on Form 8-K as filed on March 2, 2011 and incorporated herein by reference.</w:t>
      </w:r>
    </w:p>
    <w:p>
      <w:pPr>
        <w:spacing w:after="0" w:line="117"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Form of Convertible Note in connection with the sale of same on April 12, 2011 filed as an Exhibit to the Company’s Annual Report on Form</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10-K as filed on April 18, 2011 and incorporated by reference herein.</w:t>
      </w:r>
    </w:p>
    <w:p>
      <w:pPr>
        <w:spacing w:after="0" w:line="103"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Security Agreement, dated April 12, 2011 filed as an Exhibit to the Company’s Annual Report on Form 10-K as filed on April 18, 2011 and incorporated by reference herein.</w:t>
      </w:r>
    </w:p>
    <w:p>
      <w:pPr>
        <w:spacing w:after="0" w:line="62" w:lineRule="exact"/>
        <w:rPr>
          <w:sz w:val="20"/>
          <w:szCs w:val="20"/>
          <w:color w:val="auto"/>
        </w:rPr>
      </w:pPr>
    </w:p>
    <w:p>
      <w:pPr>
        <w:ind w:left="920" w:right="400" w:hanging="737"/>
        <w:spacing w:after="0" w:line="277" w:lineRule="auto"/>
        <w:tabs>
          <w:tab w:leader="none" w:pos="9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Form of Securities Purchase Agreement in connection with the sale of Units on April 14, 2011 filed as an Exhibit to the Company’s Annual Report on Form 10-K as filed on April 18, 2011 and incorporated by reference herein.</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Form of Warrant in connection with Securities Purchase Agreement dated April 14, 2011 filed as an Exhibit to the Company’s Annual Report on Form 10-K as filed on April 18, 2011 and incorporated by reference herein.</w:t>
      </w:r>
    </w:p>
    <w:p>
      <w:pPr>
        <w:spacing w:after="0" w:line="62"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Form of Warrants issued in November 2009 private placements</w:t>
      </w:r>
    </w:p>
    <w:p>
      <w:pPr>
        <w:spacing w:after="0" w:line="117" w:lineRule="exact"/>
        <w:rPr>
          <w:sz w:val="20"/>
          <w:szCs w:val="20"/>
          <w:color w:val="auto"/>
        </w:rPr>
      </w:pPr>
    </w:p>
    <w:p>
      <w:pPr>
        <w:ind w:left="920" w:right="800" w:hanging="737"/>
        <w:spacing w:after="0" w:line="277" w:lineRule="auto"/>
        <w:tabs>
          <w:tab w:leader="none" w:pos="9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Form of Common Stock Purchase Warrant, as filed as Exhibit 4.1 to our Current Report on Form 8-K as filed on August 14, 2014 and incorporated herein by reference.</w:t>
      </w:r>
    </w:p>
    <w:p>
      <w:pPr>
        <w:spacing w:after="0" w:line="62" w:lineRule="exact"/>
        <w:rPr>
          <w:sz w:val="20"/>
          <w:szCs w:val="20"/>
          <w:color w:val="auto"/>
        </w:rPr>
      </w:pPr>
    </w:p>
    <w:p>
      <w:pPr>
        <w:ind w:left="920" w:right="440" w:hanging="737"/>
        <w:spacing w:after="0" w:line="277" w:lineRule="auto"/>
        <w:tabs>
          <w:tab w:leader="none" w:pos="9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Form of Placement Agent Warrant, as filed as Exhibit 4.2 to our Current Report on Form 8-K as filed on August 14, 2014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Form of Common Stock Purchase Warrants-Series A, as filed as Exhibit 4.1 to our Current Report on Form 8-K as filed on January 12, 2015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Form of Common Stock Purchase Warrants-Series B, as filed as Exhibit 4.2 to our Current Report on Form 8-K as filed on January 12, 2015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Form of Common Stock Purchase Warrants-Series C, as filed as Exhibit 4.3 to our Current Report on Form 8-K as filed on January 12, 2015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Form of Common Stock Purchase Warrants-Series D, as filed as Exhibit 4.4 to our Current Report on Form 8-K as filed on January 12, 2015 and incorporated herein by reference.</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Form of Common Stock Purchase Warrants-Series E, as filed as Exhibit 4.5 to our Current Report on Form 8-K as filed on January 12, 2015 and incorporated herein by reference.</w:t>
      </w:r>
    </w:p>
    <w:p>
      <w:pPr>
        <w:sectPr>
          <w:pgSz w:w="11900" w:h="16838" w:orient="portrait"/>
          <w:cols w:equalWidth="0" w:num="1">
            <w:col w:w="11380"/>
          </w:cols>
          <w:pgMar w:left="240" w:top="459" w:right="279" w:bottom="545"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920" w:right="360" w:hanging="737"/>
        <w:spacing w:after="0" w:line="277" w:lineRule="auto"/>
        <w:tabs>
          <w:tab w:leader="none" w:pos="9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Form of Placement Agent Common Stock Purchase Warrants-Series A, as filed as Exhibit 4.6 to our Current Report on Form 8-K as filed on January 12, 2015 and incorporated herein by reference.</w:t>
      </w:r>
    </w:p>
    <w:p>
      <w:pPr>
        <w:spacing w:after="0" w:line="62"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Form of Placement Agent Common Stock Purchase Warrants-Series B, as filed as Exhibit 4.7 to our Current Report on Form 8-K as filed on January 12, 2015 and incorporated herein by reference.</w:t>
      </w:r>
    </w:p>
    <w:p>
      <w:pPr>
        <w:spacing w:after="0" w:line="62" w:lineRule="exact"/>
        <w:rPr>
          <w:sz w:val="20"/>
          <w:szCs w:val="20"/>
          <w:color w:val="auto"/>
        </w:rPr>
      </w:pPr>
    </w:p>
    <w:p>
      <w:pPr>
        <w:ind w:left="920" w:right="380" w:hanging="737"/>
        <w:spacing w:after="0" w:line="277" w:lineRule="auto"/>
        <w:tabs>
          <w:tab w:leader="none" w:pos="9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Form of Placement Agent Common Stock Purchase Warrants-Series C, as filed as Exhibit 4.8 to our Current Report on Form 8-K as filed on January 12, 2015 and incorporated herein by reference.</w:t>
      </w:r>
    </w:p>
    <w:p>
      <w:pPr>
        <w:spacing w:after="0" w:line="62" w:lineRule="exact"/>
        <w:rPr>
          <w:sz w:val="20"/>
          <w:szCs w:val="20"/>
          <w:color w:val="auto"/>
        </w:rPr>
      </w:pPr>
    </w:p>
    <w:p>
      <w:pPr>
        <w:ind w:left="920" w:right="360" w:hanging="737"/>
        <w:spacing w:after="0" w:line="277" w:lineRule="auto"/>
        <w:tabs>
          <w:tab w:leader="none" w:pos="90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Form of Placement Agent Common Stock Purchase Warrants-Series D, as filed as Exhibit 4.9 to our Current Report on Form 8-K as filed on January 12, 2015 and incorporated herein by reference.</w:t>
      </w:r>
    </w:p>
    <w:p>
      <w:pPr>
        <w:spacing w:after="0" w:line="62" w:lineRule="exact"/>
        <w:rPr>
          <w:sz w:val="20"/>
          <w:szCs w:val="20"/>
          <w:color w:val="auto"/>
        </w:rPr>
      </w:pPr>
    </w:p>
    <w:p>
      <w:pPr>
        <w:ind w:left="920" w:right="300" w:hanging="737"/>
        <w:spacing w:after="0" w:line="277" w:lineRule="auto"/>
        <w:tabs>
          <w:tab w:leader="none" w:pos="90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Form of Placement Agent Common Stock Purchase Warrants-Series E, as filed as Exhibit 4.10 to our Current Report on Form 8-K as filed on January 12, 2015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Form of Common Stock Purchase Warrants-Series A-1, as filed as Exhibit 4.1 to our Current Report on Form 8-K as filed on March 10, 2015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Form of Common Stock Purchase Warrants-Series B-1, as filed as Exhibit 4.2 to our Current Report on Form 8-K as filed on March 10, 2015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Form of Common Stock Purchase Warrants-Series C-1, as filed as Exhibit 4.3 to our Current Report on Form 8-K as filed on March 10, 2015 and incorporated herein by reference.</w:t>
      </w:r>
    </w:p>
    <w:p>
      <w:pPr>
        <w:spacing w:after="0" w:line="62" w:lineRule="exact"/>
        <w:rPr>
          <w:sz w:val="20"/>
          <w:szCs w:val="20"/>
          <w:color w:val="auto"/>
        </w:rPr>
      </w:pPr>
    </w:p>
    <w:p>
      <w:pPr>
        <w:ind w:left="920" w:hanging="737"/>
        <w:spacing w:after="0" w:line="277" w:lineRule="auto"/>
        <w:tabs>
          <w:tab w:leader="none" w:pos="9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Form of Common Stock Purchase Warrants-Series D-1, as filed as Exhibit 4.4 to our Current Report on Form 8-K as filed on March 10, 2015 and incorporated herein by reference.</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Form of Common Stock Purchase Warrants-Series E-1, as filed as Exhibit 4.5 to our Current Report on Form 8-K as filed on March 10, 2015 and incorporated herein by reference.</w:t>
      </w:r>
    </w:p>
    <w:p>
      <w:pPr>
        <w:spacing w:after="0" w:line="62" w:lineRule="exact"/>
        <w:rPr>
          <w:sz w:val="20"/>
          <w:szCs w:val="20"/>
          <w:color w:val="auto"/>
        </w:rPr>
      </w:pPr>
    </w:p>
    <w:p>
      <w:pPr>
        <w:ind w:left="920" w:right="220" w:hanging="737"/>
        <w:spacing w:after="0" w:line="277" w:lineRule="auto"/>
        <w:tabs>
          <w:tab w:leader="none" w:pos="90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8"/>
          <w:szCs w:val="18"/>
          <w:color w:val="auto"/>
        </w:rPr>
        <w:t>Form of Placement Agent Common Stock Purchase Warrants-Series A-1, as filed as Exhibit 4.6 to our Current Report on Form 8-K as filed on March 10, 2015 and incorporated herein by reference.</w:t>
      </w:r>
    </w:p>
    <w:p>
      <w:pPr>
        <w:spacing w:after="0" w:line="62" w:lineRule="exact"/>
        <w:rPr>
          <w:sz w:val="20"/>
          <w:szCs w:val="20"/>
          <w:color w:val="auto"/>
        </w:rPr>
      </w:pPr>
    </w:p>
    <w:p>
      <w:pPr>
        <w:ind w:left="920" w:right="220" w:hanging="737"/>
        <w:spacing w:after="0" w:line="277" w:lineRule="auto"/>
        <w:tabs>
          <w:tab w:leader="none" w:pos="90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8"/>
          <w:szCs w:val="18"/>
          <w:color w:val="auto"/>
        </w:rPr>
        <w:t>Form of Placement Agent Common Stock Purchase Warrants-Series B-1, as filed as Exhibit 4.7 to our Current Report on Form 8-K as filed on March 10, 2015 and incorporated herein by reference.</w:t>
      </w:r>
    </w:p>
    <w:p>
      <w:pPr>
        <w:spacing w:after="0" w:line="62" w:lineRule="exact"/>
        <w:rPr>
          <w:sz w:val="20"/>
          <w:szCs w:val="20"/>
          <w:color w:val="auto"/>
        </w:rPr>
      </w:pPr>
    </w:p>
    <w:p>
      <w:pPr>
        <w:ind w:left="920" w:right="220" w:hanging="737"/>
        <w:spacing w:after="0" w:line="277" w:lineRule="auto"/>
        <w:tabs>
          <w:tab w:leader="none" w:pos="90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8"/>
          <w:szCs w:val="18"/>
          <w:color w:val="auto"/>
        </w:rPr>
        <w:t>Form of Placement Agent Common Stock Purchase Warrants-Series C-1, as filed as Exhibit 4.8 to our Current Report on Form 8-K as filed on March 10, 2015 and incorporated herein by reference.</w:t>
      </w:r>
    </w:p>
    <w:p>
      <w:pPr>
        <w:spacing w:after="0" w:line="62" w:lineRule="exact"/>
        <w:rPr>
          <w:sz w:val="20"/>
          <w:szCs w:val="20"/>
          <w:color w:val="auto"/>
        </w:rPr>
      </w:pPr>
    </w:p>
    <w:p>
      <w:pPr>
        <w:ind w:left="920" w:right="220" w:hanging="737"/>
        <w:spacing w:after="0" w:line="277" w:lineRule="auto"/>
        <w:tabs>
          <w:tab w:leader="none" w:pos="90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8"/>
          <w:szCs w:val="18"/>
          <w:color w:val="auto"/>
        </w:rPr>
        <w:t>Form of Placement Agent Common Stock Purchase Warrants-Series D-1, as filed as Exhibit 4.9 to our Current Report on Form 8-K as filed on March 10, 2015 and incorporated herein by reference.</w:t>
      </w:r>
    </w:p>
    <w:p>
      <w:pPr>
        <w:spacing w:after="0" w:line="62" w:lineRule="exact"/>
        <w:rPr>
          <w:sz w:val="20"/>
          <w:szCs w:val="20"/>
          <w:color w:val="auto"/>
        </w:rPr>
      </w:pPr>
    </w:p>
    <w:p>
      <w:pPr>
        <w:ind w:left="920" w:right="140" w:hanging="737"/>
        <w:spacing w:after="0" w:line="277" w:lineRule="auto"/>
        <w:tabs>
          <w:tab w:leader="none" w:pos="90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8"/>
          <w:szCs w:val="18"/>
          <w:color w:val="auto"/>
        </w:rPr>
        <w:t>Form of Placement Agent Common Stock Purchase Warrants-Series E-1, as filed as Exhibit 4.10 to our Current Report on Form 8-K as filed on March 10, 2015 and incorporated herein by reference.</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Executive Services Agreement with Denis Corin as filed as Exhibit 10.1 to our Quarterly Report on Form 10-QSB as filed on November 14,</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2007 and incorporated herein by reference.</w:t>
      </w:r>
    </w:p>
    <w:p>
      <w:pPr>
        <w:spacing w:after="0" w:line="103" w:lineRule="exact"/>
        <w:rPr>
          <w:sz w:val="20"/>
          <w:szCs w:val="20"/>
          <w:color w:val="auto"/>
        </w:rPr>
      </w:pPr>
    </w:p>
    <w:p>
      <w:pPr>
        <w:ind w:left="920" w:right="720" w:hanging="827"/>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Executive Services Agreement with Denis Corin as filed as Exhibit 10.2 to our Quarterly Report on Form 10-QSB as filed on November 14, 2007 and incorporated herein by reference.</w:t>
      </w:r>
    </w:p>
    <w:p>
      <w:pPr>
        <w:spacing w:after="0" w:line="62" w:lineRule="exact"/>
        <w:rPr>
          <w:sz w:val="20"/>
          <w:szCs w:val="20"/>
          <w:color w:val="auto"/>
        </w:rPr>
      </w:pPr>
    </w:p>
    <w:p>
      <w:pPr>
        <w:ind w:left="920" w:right="120" w:hanging="827"/>
        <w:spacing w:after="0" w:line="308"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License Agreement made March 6, 2000 between GeneMax Pharmaceuticals, UBC and Dr. Jefferies as filed as an Exhibit to our Annual Report on Form 10-KSB for the year ended December 31, 2004 as filed on April 15, 2005 and incorporated by reference herein.</w:t>
      </w:r>
    </w:p>
    <w:p>
      <w:pPr>
        <w:spacing w:after="0" w:line="38" w:lineRule="exact"/>
        <w:rPr>
          <w:sz w:val="20"/>
          <w:szCs w:val="20"/>
          <w:color w:val="auto"/>
        </w:rPr>
      </w:pPr>
    </w:p>
    <w:p>
      <w:pPr>
        <w:ind w:left="920" w:right="120" w:hanging="827"/>
        <w:spacing w:after="0" w:line="264"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Collaborative Research Agreement made September 1, 2000 between GeneMax Pharmaceuticals, GeneMax Pharmaceuticals Inc. and UBC as filed as an Exhibit to our Annual Report on Form 10-KSB for the year ended December 31, 2004 as filed on April 15, 2005 and incorporated by reference herein.</w:t>
      </w:r>
    </w:p>
    <w:p>
      <w:pPr>
        <w:spacing w:after="0" w:line="73" w:lineRule="exact"/>
        <w:rPr>
          <w:sz w:val="20"/>
          <w:szCs w:val="20"/>
          <w:color w:val="auto"/>
        </w:rPr>
      </w:pPr>
    </w:p>
    <w:p>
      <w:pPr>
        <w:jc w:val="center"/>
        <w:ind w:right="420"/>
        <w:spacing w:after="0" w:line="308" w:lineRule="auto"/>
        <w:rPr>
          <w:sz w:val="20"/>
          <w:szCs w:val="20"/>
          <w:color w:val="auto"/>
        </w:rPr>
      </w:pPr>
      <w:r>
        <w:rPr>
          <w:rFonts w:ascii="Arial" w:cs="Arial" w:eastAsia="Arial" w:hAnsi="Arial"/>
          <w:sz w:val="17"/>
          <w:szCs w:val="17"/>
          <w:color w:val="auto"/>
        </w:rPr>
        <w:t>10.5      Production Services Agreement made March 18, 2003 between the Company and Molecular Medicine as filed as an Exhibit to our Annual Report on Form 10-KSB for the year ended December 31, 2004 as filed on April 15, 2005 and incorporated by reference herein.</w:t>
      </w:r>
    </w:p>
    <w:p>
      <w:pPr>
        <w:spacing w:after="0" w:line="38" w:lineRule="exact"/>
        <w:rPr>
          <w:sz w:val="20"/>
          <w:szCs w:val="20"/>
          <w:color w:val="auto"/>
        </w:rPr>
      </w:pPr>
    </w:p>
    <w:p>
      <w:pPr>
        <w:ind w:left="920" w:hanging="827"/>
        <w:spacing w:after="0" w:line="342"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Biological Materials Transfer Agreement made October 21, 2003 between the Company and National Institutes of Health as filed as an Exhibit to our Annual Report on Form 10-KSB for the year ended December 31, 2004 as filed on April 15, 2005 and incorporated by reference herein.</w:t>
      </w:r>
    </w:p>
    <w:p>
      <w:pPr>
        <w:spacing w:after="0" w:line="16"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Option and Settlement Agreement made January 23, 2006 between GeneMax Pharmaceuticals, GeneMax Pharmaceuticals Inc. , UBC and Dr.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Jefferies as filed as an Exhibit to the Company’s Current Report on Form 8-K as filed on January 24, 2006 and incorporated by reference herein.</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40" w:type="dxa"/>
            <w:vAlign w:val="bottom"/>
            <w:vMerge w:val="restart"/>
          </w:tcPr>
          <w:p>
            <w:pPr>
              <w:ind w:left="264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2832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72" w:lineRule="exact"/>
        <w:rPr>
          <w:sz w:val="20"/>
          <w:szCs w:val="20"/>
          <w:color w:val="auto"/>
        </w:rPr>
      </w:pPr>
    </w:p>
    <w:p>
      <w:pPr>
        <w:ind w:left="920" w:right="640" w:hanging="827"/>
        <w:spacing w:after="0" w:line="277"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2009 Stock Incentive Plan as filed as Exhibit B to our Information Statement filed on Definitive Schedule 14-C on January 29, 2010 and incorporated herein by reference.</w:t>
      </w:r>
    </w:p>
    <w:p>
      <w:pPr>
        <w:spacing w:after="0" w:line="62" w:lineRule="exact"/>
        <w:rPr>
          <w:sz w:val="20"/>
          <w:szCs w:val="20"/>
          <w:color w:val="auto"/>
        </w:rPr>
      </w:pPr>
    </w:p>
    <w:p>
      <w:pPr>
        <w:ind w:left="920" w:right="220" w:hanging="827"/>
        <w:spacing w:after="0" w:line="308"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Technology Option Agreement, dated June 1, 2010, between TapImmune Inc. and Mayo Foundation for Education and Research as filed as an Exhibit to the Company’s Current Report on Form 8-K as filed on June 4, 2010 and incorporated by reference herein.</w:t>
      </w:r>
    </w:p>
    <w:p>
      <w:pPr>
        <w:spacing w:after="0" w:line="38" w:lineRule="exact"/>
        <w:rPr>
          <w:sz w:val="20"/>
          <w:szCs w:val="20"/>
          <w:color w:val="auto"/>
        </w:rPr>
      </w:pPr>
    </w:p>
    <w:p>
      <w:pPr>
        <w:ind w:left="920" w:right="40" w:hanging="827"/>
        <w:spacing w:after="0" w:line="277"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Securities Purchase Agreement, dated as of August 11, 2014, by and among the Company and the Purchasers, as filed as Exhibit 10.1 to our Current Report on Form 8-K as filed on August 14, 2014 and incorporated herein by reference.</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Placement Agency Agreement, dated as of July 29, 2014, by and between the Company and H. C. Wainwright &amp; Co., LLC, as filed as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10.2 to our Current Report on Form 8-K as filed on August 14, 2014 and incorporated herein by reference.</w:t>
      </w:r>
    </w:p>
    <w:p>
      <w:pPr>
        <w:spacing w:after="0" w:line="103" w:lineRule="exact"/>
        <w:rPr>
          <w:sz w:val="20"/>
          <w:szCs w:val="20"/>
          <w:color w:val="auto"/>
        </w:rPr>
      </w:pPr>
    </w:p>
    <w:p>
      <w:pPr>
        <w:ind w:left="920" w:hanging="827"/>
        <w:spacing w:after="0" w:line="277"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Securities Purchase Agreement, dated as of January 12, 2015, by and among the Company and the Purchasers, as filed as Exhibit 10.1 to our Current Report on Form 8-K as filed on January 12, 2015 and incorporated herein by reference.</w:t>
      </w:r>
    </w:p>
    <w:p>
      <w:pPr>
        <w:spacing w:after="0" w:line="62" w:lineRule="exact"/>
        <w:rPr>
          <w:sz w:val="20"/>
          <w:szCs w:val="20"/>
          <w:color w:val="auto"/>
        </w:rPr>
      </w:pPr>
    </w:p>
    <w:p>
      <w:pPr>
        <w:ind w:left="920" w:right="320" w:hanging="827"/>
        <w:spacing w:after="0" w:line="264"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Placement Agency Agreement, dated as of July 29, 2014 and Amended on January 12, 2015, by and between the Company and H. C. Wainwright &amp; Co., LLC, as filed as Exhibit 10.2 to our Current Report on Form 8-K as filed on January 12, 2015 and incorporated herein by reference.</w:t>
      </w:r>
    </w:p>
    <w:p>
      <w:pPr>
        <w:spacing w:after="0" w:line="73" w:lineRule="exact"/>
        <w:rPr>
          <w:sz w:val="20"/>
          <w:szCs w:val="20"/>
          <w:color w:val="auto"/>
        </w:rPr>
      </w:pPr>
    </w:p>
    <w:p>
      <w:pPr>
        <w:ind w:left="920" w:right="340" w:hanging="827"/>
        <w:spacing w:after="0" w:line="277"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Finders Agreement, dated as of January 12, 2015, by and between the Company and Olympus Securities LLC, as filed as Exhibit 10.3 to our Current Report on Form 8-K as filed on January 12, 2015 and incorporated herein by reference.</w:t>
      </w:r>
    </w:p>
    <w:p>
      <w:pPr>
        <w:spacing w:after="0" w:line="62" w:lineRule="exact"/>
        <w:rPr>
          <w:sz w:val="20"/>
          <w:szCs w:val="20"/>
          <w:color w:val="auto"/>
        </w:rPr>
      </w:pPr>
    </w:p>
    <w:p>
      <w:pPr>
        <w:ind w:left="920" w:right="140" w:hanging="827"/>
        <w:spacing w:after="0" w:line="277"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Securities Purchase Agreement, dated as of March 9, 2015, by and among the Company and Eastern Capital Limited, as filed as Exhibit 10.1 to our Current Report on Form 8-K as filed on March 10, 2015 and incorporated herein by reference.</w:t>
      </w:r>
    </w:p>
    <w:p>
      <w:pPr>
        <w:spacing w:after="0" w:line="62" w:lineRule="exact"/>
        <w:rPr>
          <w:sz w:val="20"/>
          <w:szCs w:val="20"/>
          <w:color w:val="auto"/>
        </w:rPr>
      </w:pPr>
    </w:p>
    <w:p>
      <w:pPr>
        <w:ind w:left="920" w:right="60" w:hanging="827"/>
        <w:spacing w:after="0" w:line="264"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Placement Agency Agreement, dated as of July 29, 2014, Amended on January 12, 2015, by and between the Company and H. C. Wainwright &amp; Co., LLC and Amended on March 9, 2015, by and between the Company and H. C. Wainwright &amp; Co., LLC, as filed as Exhibit 10.2 to our Current Report on Form 8-K as filed on March 10, 2015 and incorporated herein by reference.</w:t>
      </w:r>
    </w:p>
    <w:p>
      <w:pPr>
        <w:spacing w:after="0" w:line="7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Restructuring Agreement dated May 28, 2015 as filed as an Exhibit to the Company’s Current Report on Form 8-K as filed on June 3,</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2015 and incorporated by reference herein.</w:t>
      </w:r>
    </w:p>
    <w:p>
      <w:pPr>
        <w:spacing w:after="0" w:line="103" w:lineRule="exact"/>
        <w:rPr>
          <w:sz w:val="20"/>
          <w:szCs w:val="20"/>
          <w:color w:val="auto"/>
        </w:rPr>
      </w:pPr>
    </w:p>
    <w:p>
      <w:pPr>
        <w:ind w:left="920" w:right="80" w:hanging="827"/>
        <w:spacing w:after="0" w:line="277"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Amended and Restated Restructuring Agreement , dated as of June 2, 2015 as filed as an Exhibit to the Company’s Current Report on Form 8-K as filed on June 5, 2015 and incorporated by reference herein.</w:t>
      </w:r>
    </w:p>
    <w:p>
      <w:pPr>
        <w:spacing w:after="0" w:line="62" w:lineRule="exact"/>
        <w:rPr>
          <w:sz w:val="20"/>
          <w:szCs w:val="20"/>
          <w:color w:val="auto"/>
        </w:rPr>
      </w:pPr>
    </w:p>
    <w:p>
      <w:pPr>
        <w:ind w:left="920" w:right="180" w:hanging="827"/>
        <w:spacing w:after="0" w:line="277"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Consulting Agreement, dated February 10, 2015, between TapImmune Inc. and John Bonfiglio as filed as an Exhibit to the Company’s Current Report on Form 8-K as filed on, July 30, 2015 and incorporated by reference herein. **</w:t>
      </w:r>
    </w:p>
    <w:p>
      <w:pPr>
        <w:spacing w:after="0" w:line="62" w:lineRule="exact"/>
        <w:rPr>
          <w:sz w:val="20"/>
          <w:szCs w:val="20"/>
          <w:color w:val="auto"/>
        </w:rPr>
      </w:pPr>
    </w:p>
    <w:p>
      <w:pPr>
        <w:ind w:left="920" w:right="80" w:hanging="827"/>
        <w:spacing w:after="0" w:line="277"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License and Assignment Agreement, dated July 21, 2015, with The Mayo Foundation for Medical Education and Research filed as an Exhibit to the Company’s Quarterly Report on Form 10-Q as filed on August 14, 2015 and incorporated by reference herein.</w:t>
      </w:r>
    </w:p>
    <w:p>
      <w:pPr>
        <w:spacing w:after="0" w:line="62" w:lineRule="exact"/>
        <w:rPr>
          <w:sz w:val="20"/>
          <w:szCs w:val="20"/>
          <w:color w:val="auto"/>
        </w:rPr>
      </w:pPr>
    </w:p>
    <w:p>
      <w:pPr>
        <w:ind w:left="920" w:right="160" w:hanging="827"/>
        <w:spacing w:after="0" w:line="277"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2014 Omnibus Stock Ownership Plan filed as an Exhibit to the Company’s Quarterly Report on Form 10-Q as filed on November 16, 2015 and incorporated by reference herein. **</w:t>
      </w:r>
    </w:p>
    <w:p>
      <w:pPr>
        <w:spacing w:after="0" w:line="62" w:lineRule="exact"/>
        <w:rPr>
          <w:sz w:val="20"/>
          <w:szCs w:val="20"/>
          <w:color w:val="auto"/>
        </w:rPr>
      </w:pPr>
    </w:p>
    <w:p>
      <w:pPr>
        <w:ind w:left="920" w:right="120" w:hanging="827"/>
        <w:spacing w:after="0" w:line="277"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to 2014 Omnibus Stock Ownership Plan (February 10, 2015) filed as an Exhibit to the Company’s Quarterly Report on Form 10-Q as filed on November 16, 2015 and incorporated by reference herein. **</w:t>
      </w:r>
    </w:p>
    <w:p>
      <w:pPr>
        <w:spacing w:after="0" w:line="62" w:lineRule="exact"/>
        <w:rPr>
          <w:sz w:val="20"/>
          <w:szCs w:val="20"/>
          <w:color w:val="auto"/>
        </w:rPr>
      </w:pPr>
    </w:p>
    <w:p>
      <w:pPr>
        <w:ind w:left="920" w:right="100" w:hanging="827"/>
        <w:spacing w:after="0" w:line="277"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to 2014 Omnibus Stock Ownership Plan (November 6, 2015) filed as an Exhibit to the Company’s Quarterly Report on Form 10-Q as filed on November 16, 2015 and incorporated by reference herein. **</w:t>
      </w:r>
    </w:p>
    <w:p>
      <w:pPr>
        <w:spacing w:after="0" w:line="62" w:lineRule="exact"/>
        <w:rPr>
          <w:sz w:val="20"/>
          <w:szCs w:val="20"/>
          <w:color w:val="auto"/>
        </w:rPr>
      </w:pPr>
    </w:p>
    <w:p>
      <w:pPr>
        <w:ind w:left="920" w:right="460" w:hanging="827"/>
        <w:spacing w:after="0" w:line="277"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Stock Option Award Agreement – Key Employee filed as an Exhibit to the Company’s Quarterly Report on Form 10-Q as filed on November 16, 2015 and incorporated by reference herein. **</w:t>
      </w:r>
    </w:p>
    <w:p>
      <w:pPr>
        <w:spacing w:after="0" w:line="62" w:lineRule="exact"/>
        <w:rPr>
          <w:sz w:val="20"/>
          <w:szCs w:val="20"/>
          <w:color w:val="auto"/>
        </w:rPr>
      </w:pPr>
    </w:p>
    <w:p>
      <w:pPr>
        <w:ind w:left="920" w:right="40" w:hanging="827"/>
        <w:spacing w:after="0" w:line="277"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Stock Option Award Agreement – Non-employee Director filed as an Exhibit to the Company’s Quarterly Report on Form 10-Q as filed on November 16, 2015 and incorporated by reference herein. **</w:t>
      </w:r>
    </w:p>
    <w:p>
      <w:pPr>
        <w:spacing w:after="0" w:line="62" w:lineRule="exact"/>
        <w:rPr>
          <w:sz w:val="20"/>
          <w:szCs w:val="20"/>
          <w:color w:val="auto"/>
        </w:rPr>
      </w:pPr>
    </w:p>
    <w:p>
      <w:pPr>
        <w:ind w:left="920" w:right="760" w:hanging="827"/>
        <w:spacing w:after="0" w:line="277"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Form of Stock Option Award Agreement – Consultant filed as an Exhibit to the Company’s Quarterly Report on Form 10-Q as filed on November 16, 2015 and incorporated by reference herein. **</w:t>
      </w:r>
    </w:p>
    <w:p>
      <w:pPr>
        <w:spacing w:after="0" w:line="62" w:lineRule="exact"/>
        <w:rPr>
          <w:sz w:val="20"/>
          <w:szCs w:val="20"/>
          <w:color w:val="auto"/>
        </w:rPr>
      </w:pPr>
    </w:p>
    <w:p>
      <w:pPr>
        <w:ind w:left="920" w:right="520" w:hanging="827"/>
        <w:spacing w:after="0" w:line="277"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Restricted Stock Award Agreement – Consultant filed as an Exhibit to the Company’s Quarterly Report on Form 10-Q as filed on November 16, 2015 and incorporated by reference herein. **</w:t>
      </w:r>
    </w:p>
    <w:p>
      <w:pPr>
        <w:spacing w:after="0" w:line="62" w:lineRule="exact"/>
        <w:rPr>
          <w:sz w:val="20"/>
          <w:szCs w:val="20"/>
          <w:color w:val="auto"/>
        </w:rPr>
      </w:pPr>
    </w:p>
    <w:p>
      <w:pPr>
        <w:ind w:left="920" w:right="520" w:hanging="827"/>
        <w:spacing w:after="0" w:line="277"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Employment Agreement between TapImmune, Inc. and Dr. Glynn Wilson, dated November 12, 2015 filed as an Exhibit to the Company’s Quarterly Report on Form 10-Q as filed on November 16, 2015 and incorporated by reference herein. **</w:t>
      </w:r>
    </w:p>
    <w:p>
      <w:pPr>
        <w:spacing w:after="0" w:line="62" w:lineRule="exact"/>
        <w:rPr>
          <w:sz w:val="20"/>
          <w:szCs w:val="20"/>
          <w:color w:val="auto"/>
        </w:rPr>
      </w:pPr>
    </w:p>
    <w:p>
      <w:pPr>
        <w:ind w:left="920" w:right="540" w:hanging="827"/>
        <w:spacing w:after="0" w:line="308"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7"/>
          <w:szCs w:val="17"/>
          <w:color w:val="auto"/>
        </w:rPr>
        <w:t>Amendment to Consulting Agreement between TapImmune Inc. and John Bonfiglio dated as of June 12, 2015 as filed as an Exhibit to the Company’s Current Report on Form 8-K as filed on, February 16, 2016 and incorporated by reference herein. **</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10420" w:type="dxa"/>
            <w:vAlign w:val="bottom"/>
            <w:gridSpan w:val="3"/>
            <w:vMerge w:val="restart"/>
          </w:tcPr>
          <w:p>
            <w:pPr>
              <w:ind w:left="5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6"/>
                <w:szCs w:val="16"/>
                <w:color w:val="auto"/>
              </w:rPr>
            </w:pPr>
          </w:p>
        </w:tc>
        <w:tc>
          <w:tcPr>
            <w:tcW w:w="104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0"/>
              </w:rPr>
              <w:t>Second Amendment to the Consulting Agreement by and between TapImmune Inc. and John Bonfiglio dated as of February 10, 2016 as filed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7"/>
              </w:rPr>
              <w:t>as an Exhibit to the Company’s Current Report on Form 8-K as filed on February 16, 2016 and incorporated by reference herein. **</w:t>
            </w:r>
          </w:p>
        </w:tc>
        <w:tc>
          <w:tcPr>
            <w:tcW w:w="0" w:type="dxa"/>
            <w:vAlign w:val="bottom"/>
          </w:tcPr>
          <w:p>
            <w:pPr>
              <w:spacing w:after="0"/>
              <w:rPr>
                <w:sz w:val="1"/>
                <w:szCs w:val="1"/>
                <w:color w:val="auto"/>
              </w:rPr>
            </w:pPr>
          </w:p>
        </w:tc>
      </w:tr>
      <w:tr>
        <w:trPr>
          <w:trHeight w:val="31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9"/>
              </w:rPr>
              <w:t>Subsidiaries of TapImmune Inc. filed as an Exhibit to the Company’s Annual Report on Form 10-K as filed on April 18, 2011 and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 herein.</w:t>
            </w:r>
          </w:p>
        </w:tc>
        <w:tc>
          <w:tcPr>
            <w:tcW w:w="0" w:type="dxa"/>
            <w:vAlign w:val="bottom"/>
          </w:tcPr>
          <w:p>
            <w:pPr>
              <w:spacing w:after="0"/>
              <w:rPr>
                <w:sz w:val="1"/>
                <w:szCs w:val="1"/>
                <w:color w:val="auto"/>
              </w:rPr>
            </w:pP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Consent of Marcum LLP*</w:t>
            </w:r>
          </w:p>
        </w:tc>
        <w:tc>
          <w:tcPr>
            <w:tcW w:w="0" w:type="dxa"/>
            <w:vAlign w:val="bottom"/>
          </w:tcPr>
          <w:p>
            <w:pPr>
              <w:spacing w:after="0"/>
              <w:rPr>
                <w:sz w:val="1"/>
                <w:szCs w:val="1"/>
                <w:color w:val="auto"/>
              </w:rPr>
            </w:pPr>
          </w:p>
        </w:tc>
      </w:tr>
      <w:tr>
        <w:trPr>
          <w:trHeight w:val="31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2"/>
              </w:rPr>
              <w:t>Consent of Sanders Ortoli Vaughn-Flam Rosenstadt LLP (included in the opinion filed as Exhibit 5.1 to the Registration Statement filed on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w w:val="93"/>
              </w:rPr>
              <w:t>July 20, 2015 (File No. 333-205757) and the opinion filed as Exhibit 5.1 to the Post-Effective Amendment No. 2 to Registration Statement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filed on July 8, 2015 (File No. 333-196115))</w:t>
            </w:r>
          </w:p>
        </w:tc>
        <w:tc>
          <w:tcPr>
            <w:tcW w:w="0" w:type="dxa"/>
            <w:vAlign w:val="bottom"/>
          </w:tcPr>
          <w:p>
            <w:pPr>
              <w:spacing w:after="0"/>
              <w:rPr>
                <w:sz w:val="1"/>
                <w:szCs w:val="1"/>
                <w:color w:val="auto"/>
              </w:rPr>
            </w:pP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101.SCH</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 *</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42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Executive management contract or compensatory plan or arrangement.</w:t>
      </w:r>
    </w:p>
    <w:p>
      <w:pPr>
        <w:spacing w:after="0" w:line="9" w:lineRule="exact"/>
        <w:rPr>
          <w:rFonts w:ascii="Arial" w:cs="Arial" w:eastAsia="Arial" w:hAnsi="Arial"/>
          <w:sz w:val="18"/>
          <w:szCs w:val="18"/>
          <w:color w:val="auto"/>
        </w:rPr>
      </w:pPr>
    </w:p>
    <w:p>
      <w:pPr>
        <w:ind w:left="580" w:right="40" w:hanging="572"/>
        <w:spacing w:after="0" w:line="261"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submitted separately with the SEC.</w:t>
      </w:r>
    </w:p>
    <w:p>
      <w:pPr>
        <w:sectPr>
          <w:pgSz w:w="11900" w:h="16838" w:orient="portrait"/>
          <w:cols w:equalWidth="0" w:num="1">
            <w:col w:w="11340"/>
          </w:cols>
          <w:pgMar w:left="240" w:top="459" w:right="3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13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RULE 415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680" w:hanging="216"/>
        <w:spacing w:after="0"/>
        <w:tabs>
          <w:tab w:leader="none" w:pos="6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460" w:firstLine="4"/>
        <w:spacing w:after="0" w:line="293" w:lineRule="auto"/>
        <w:tabs>
          <w:tab w:leader="none" w:pos="722" w:val="left"/>
        </w:tabs>
        <w:numPr>
          <w:ilvl w:val="1"/>
          <w:numId w:val="8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left="460" w:right="240" w:firstLine="4"/>
        <w:spacing w:after="0" w:line="277" w:lineRule="auto"/>
        <w:tabs>
          <w:tab w:leader="none" w:pos="77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right="80" w:firstLine="8"/>
        <w:spacing w:after="0" w:line="264" w:lineRule="auto"/>
        <w:tabs>
          <w:tab w:leader="none" w:pos="2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as amended, each such post- effective amendment shall be deemed to be a new registration statement relating to the securities offered therein, and the offering of such securities at that time shall be deemed to be initial bona fide offering thereof.</w:t>
      </w:r>
    </w:p>
    <w:p>
      <w:pPr>
        <w:spacing w:after="0" w:line="181" w:lineRule="exact"/>
        <w:rPr>
          <w:rFonts w:ascii="Arial" w:cs="Arial" w:eastAsia="Arial" w:hAnsi="Arial"/>
          <w:sz w:val="18"/>
          <w:szCs w:val="18"/>
          <w:color w:val="auto"/>
        </w:rPr>
      </w:pPr>
    </w:p>
    <w:p>
      <w:pPr>
        <w:ind w:right="100" w:firstLine="8"/>
        <w:spacing w:after="0" w:line="277" w:lineRule="auto"/>
        <w:tabs>
          <w:tab w:leader="none" w:pos="2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sz w:val="20"/>
          <w:szCs w:val="20"/>
          <w:color w:val="auto"/>
        </w:rPr>
      </w:pPr>
    </w:p>
    <w:p>
      <w:pPr>
        <w:ind w:left="460" w:right="160" w:firstLine="4"/>
        <w:spacing w:after="0" w:line="277" w:lineRule="auto"/>
        <w:tabs>
          <w:tab w:leader="none" w:pos="755" w:val="left"/>
        </w:tabs>
        <w:numPr>
          <w:ilvl w:val="1"/>
          <w:numId w:val="8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60" w:right="20" w:firstLine="4"/>
        <w:spacing w:after="0" w:line="269" w:lineRule="auto"/>
        <w:tabs>
          <w:tab w:leader="none" w:pos="745" w:val="left"/>
        </w:tabs>
        <w:numPr>
          <w:ilvl w:val="1"/>
          <w:numId w:val="8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the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rFonts w:ascii="Arial" w:cs="Arial" w:eastAsia="Arial" w:hAnsi="Arial"/>
          <w:sz w:val="17"/>
          <w:szCs w:val="17"/>
          <w:color w:val="auto"/>
        </w:rPr>
      </w:pPr>
    </w:p>
    <w:p>
      <w:pPr>
        <w:ind w:firstLine="8"/>
        <w:spacing w:after="0" w:line="257" w:lineRule="auto"/>
        <w:tabs>
          <w:tab w:leader="none" w:pos="2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680" w:hanging="216"/>
        <w:spacing w:after="0"/>
        <w:tabs>
          <w:tab w:leader="none" w:pos="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0" w:firstLine="4"/>
        <w:spacing w:after="0" w:line="277" w:lineRule="auto"/>
        <w:tabs>
          <w:tab w:leader="none" w:pos="72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right="220" w:firstLine="4"/>
        <w:spacing w:after="0" w:line="277" w:lineRule="auto"/>
        <w:tabs>
          <w:tab w:leader="none" w:pos="7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portion of any other free writing prospectuses relating to the offering containing material information about the undersigned registrant or its securities provided by or on behalf of the undersigned registrant; and</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60" w:hanging="296"/>
        <w:spacing w:after="0"/>
        <w:tabs>
          <w:tab w:leader="none" w:pos="7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firstLine="8"/>
        <w:spacing w:after="0" w:line="271" w:lineRule="auto"/>
        <w:tabs>
          <w:tab w:leader="none" w:pos="2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2 to the Registration Statement to be signed on its behalf by the undersigned, thereunto duly authorized, on June 2,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Dr. Glynn Wilson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Chief Executive Officer (Principal Executive Officer),</w:t>
      </w:r>
    </w:p>
    <w:p>
      <w:pPr>
        <w:spacing w:after="0" w:line="21"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Chief Financial Officer (Principal Accounting Officer)</w:t>
      </w:r>
    </w:p>
    <w:p>
      <w:pPr>
        <w:spacing w:after="0" w:line="23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No. 2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4"/>
          </w:tcPr>
          <w:p>
            <w:pPr>
              <w:spacing w:after="0"/>
              <w:rPr>
                <w:sz w:val="20"/>
                <w:szCs w:val="20"/>
                <w:color w:val="auto"/>
              </w:rPr>
            </w:pPr>
            <w:r>
              <w:rPr>
                <w:rFonts w:ascii="Arial" w:cs="Arial" w:eastAsia="Arial" w:hAnsi="Arial"/>
                <w:sz w:val="14"/>
                <w:szCs w:val="14"/>
                <w:b w:val="1"/>
                <w:bCs w:val="1"/>
                <w:color w:val="auto"/>
              </w:rPr>
              <w:t>Signature</w:t>
            </w: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3920" w:type="dxa"/>
            <w:vAlign w:val="bottom"/>
            <w:gridSpan w:val="3"/>
          </w:tcPr>
          <w:p>
            <w:pPr>
              <w:jc w:val="center"/>
              <w:ind w:left="293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36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3920" w:type="dxa"/>
            <w:vAlign w:val="bottom"/>
            <w:gridSpan w:val="3"/>
          </w:tcPr>
          <w:p>
            <w:pPr>
              <w:jc w:val="center"/>
              <w:ind w:left="2933"/>
              <w:spacing w:after="0"/>
              <w:rPr>
                <w:sz w:val="20"/>
                <w:szCs w:val="20"/>
                <w:color w:val="auto"/>
              </w:rPr>
            </w:pPr>
            <w:r>
              <w:rPr>
                <w:rFonts w:ascii="Arial" w:cs="Arial" w:eastAsia="Arial" w:hAnsi="Arial"/>
                <w:sz w:val="18"/>
                <w:szCs w:val="18"/>
                <w:color w:val="auto"/>
                <w:w w:val="86"/>
              </w:rPr>
              <w:t>June 2, 2016</w:t>
            </w:r>
          </w:p>
        </w:tc>
      </w:tr>
      <w:tr>
        <w:trPr>
          <w:trHeight w:val="224"/>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Sherry Grisewood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Glynn Wilson</w:t>
            </w: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3920" w:type="dxa"/>
            <w:vAlign w:val="bottom"/>
            <w:gridSpan w:val="3"/>
          </w:tcPr>
          <w:p>
            <w:pPr>
              <w:jc w:val="center"/>
              <w:ind w:left="2933"/>
              <w:spacing w:after="0"/>
              <w:rPr>
                <w:sz w:val="20"/>
                <w:szCs w:val="20"/>
                <w:color w:val="auto"/>
              </w:rPr>
            </w:pPr>
            <w:r>
              <w:rPr>
                <w:rFonts w:ascii="Arial" w:cs="Arial" w:eastAsia="Arial" w:hAnsi="Arial"/>
                <w:sz w:val="18"/>
                <w:szCs w:val="18"/>
                <w:color w:val="auto"/>
                <w:w w:val="86"/>
              </w:rPr>
              <w:t>June 2, 2016</w:t>
            </w:r>
          </w:p>
        </w:tc>
      </w:tr>
      <w:tr>
        <w:trPr>
          <w:trHeight w:val="224"/>
        </w:trPr>
        <w:tc>
          <w:tcPr>
            <w:tcW w:w="4280" w:type="dxa"/>
            <w:vAlign w:val="bottom"/>
            <w:gridSpan w:val="4"/>
          </w:tcPr>
          <w:p>
            <w:pPr>
              <w:spacing w:after="0"/>
              <w:rPr>
                <w:sz w:val="20"/>
                <w:szCs w:val="20"/>
                <w:color w:val="auto"/>
              </w:rPr>
            </w:pPr>
            <w:r>
              <w:rPr>
                <w:rFonts w:ascii="Arial" w:cs="Arial" w:eastAsia="Arial" w:hAnsi="Arial"/>
                <w:sz w:val="18"/>
                <w:szCs w:val="18"/>
                <w:color w:val="auto"/>
              </w:rPr>
              <w:t>Dr. Glynn Wilson</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80" w:type="dxa"/>
            <w:vAlign w:val="bottom"/>
            <w:gridSpan w:val="4"/>
          </w:tcPr>
          <w:p>
            <w:pPr>
              <w:ind w:left="2100"/>
              <w:spacing w:after="0"/>
              <w:rPr>
                <w:sz w:val="20"/>
                <w:szCs w:val="20"/>
                <w:color w:val="auto"/>
              </w:rPr>
            </w:pPr>
            <w:r>
              <w:rPr>
                <w:rFonts w:ascii="Arial" w:cs="Arial" w:eastAsia="Arial" w:hAnsi="Arial"/>
                <w:sz w:val="18"/>
                <w:szCs w:val="18"/>
                <w:color w:val="auto"/>
              </w:rPr>
              <w:t>*</w:t>
            </w: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3920" w:type="dxa"/>
            <w:vAlign w:val="bottom"/>
            <w:gridSpan w:val="3"/>
          </w:tcPr>
          <w:p>
            <w:pPr>
              <w:jc w:val="center"/>
              <w:ind w:left="2933"/>
              <w:spacing w:after="0"/>
              <w:rPr>
                <w:sz w:val="20"/>
                <w:szCs w:val="20"/>
                <w:color w:val="auto"/>
              </w:rPr>
            </w:pPr>
            <w:r>
              <w:rPr>
                <w:rFonts w:ascii="Arial" w:cs="Arial" w:eastAsia="Arial" w:hAnsi="Arial"/>
                <w:sz w:val="18"/>
                <w:szCs w:val="18"/>
                <w:color w:val="auto"/>
                <w:w w:val="86"/>
              </w:rPr>
              <w:t>June 2, 2016</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David Laskow-Pooley</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80" w:type="dxa"/>
            <w:vAlign w:val="bottom"/>
            <w:gridSpan w:val="4"/>
          </w:tcPr>
          <w:p>
            <w:pPr>
              <w:ind w:left="2100"/>
              <w:spacing w:after="0"/>
              <w:rPr>
                <w:sz w:val="20"/>
                <w:szCs w:val="20"/>
                <w:color w:val="auto"/>
              </w:rPr>
            </w:pPr>
            <w:r>
              <w:rPr>
                <w:rFonts w:ascii="Arial" w:cs="Arial" w:eastAsia="Arial" w:hAnsi="Arial"/>
                <w:sz w:val="18"/>
                <w:szCs w:val="18"/>
                <w:color w:val="auto"/>
              </w:rPr>
              <w:t>*</w:t>
            </w: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3920" w:type="dxa"/>
            <w:vAlign w:val="bottom"/>
            <w:gridSpan w:val="3"/>
          </w:tcPr>
          <w:p>
            <w:pPr>
              <w:jc w:val="center"/>
              <w:ind w:left="2933"/>
              <w:spacing w:after="0"/>
              <w:rPr>
                <w:sz w:val="20"/>
                <w:szCs w:val="20"/>
                <w:color w:val="auto"/>
              </w:rPr>
            </w:pPr>
            <w:r>
              <w:rPr>
                <w:rFonts w:ascii="Arial" w:cs="Arial" w:eastAsia="Arial" w:hAnsi="Arial"/>
                <w:sz w:val="18"/>
                <w:szCs w:val="18"/>
                <w:color w:val="auto"/>
                <w:w w:val="86"/>
              </w:rPr>
              <w:t>June 2, 2016</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Mark Reddish</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8"/>
        </w:trPr>
        <w:tc>
          <w:tcPr>
            <w:tcW w:w="4280" w:type="dxa"/>
            <w:vAlign w:val="bottom"/>
            <w:gridSpan w:val="4"/>
          </w:tcPr>
          <w:p>
            <w:pPr>
              <w:ind w:left="2100"/>
              <w:spacing w:after="0"/>
              <w:rPr>
                <w:sz w:val="20"/>
                <w:szCs w:val="20"/>
                <w:color w:val="auto"/>
              </w:rPr>
            </w:pPr>
            <w:r>
              <w:rPr>
                <w:rFonts w:ascii="Arial" w:cs="Arial" w:eastAsia="Arial" w:hAnsi="Arial"/>
                <w:sz w:val="18"/>
                <w:szCs w:val="18"/>
                <w:color w:val="auto"/>
              </w:rPr>
              <w:t>*</w:t>
            </w: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3920" w:type="dxa"/>
            <w:vAlign w:val="bottom"/>
            <w:gridSpan w:val="3"/>
          </w:tcPr>
          <w:p>
            <w:pPr>
              <w:jc w:val="center"/>
              <w:ind w:left="2933"/>
              <w:spacing w:after="0"/>
              <w:rPr>
                <w:sz w:val="20"/>
                <w:szCs w:val="20"/>
                <w:color w:val="auto"/>
              </w:rPr>
            </w:pPr>
            <w:r>
              <w:rPr>
                <w:rFonts w:ascii="Arial" w:cs="Arial" w:eastAsia="Arial" w:hAnsi="Arial"/>
                <w:sz w:val="18"/>
                <w:szCs w:val="18"/>
                <w:color w:val="auto"/>
                <w:w w:val="86"/>
              </w:rPr>
              <w:t>June 2, 2016</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Dr. John Bonfiglio</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80" w:type="dxa"/>
            <w:vAlign w:val="bottom"/>
            <w:gridSpan w:val="4"/>
          </w:tcPr>
          <w:p>
            <w:pPr>
              <w:ind w:left="2100"/>
              <w:spacing w:after="0"/>
              <w:rPr>
                <w:sz w:val="20"/>
                <w:szCs w:val="20"/>
                <w:color w:val="auto"/>
              </w:rPr>
            </w:pPr>
            <w:r>
              <w:rPr>
                <w:rFonts w:ascii="Arial" w:cs="Arial" w:eastAsia="Arial" w:hAnsi="Arial"/>
                <w:sz w:val="18"/>
                <w:szCs w:val="18"/>
                <w:color w:val="auto"/>
              </w:rPr>
              <w:t>*</w:t>
            </w:r>
          </w:p>
        </w:tc>
        <w:tc>
          <w:tcPr>
            <w:tcW w:w="28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3920" w:type="dxa"/>
            <w:vAlign w:val="bottom"/>
            <w:gridSpan w:val="3"/>
          </w:tcPr>
          <w:p>
            <w:pPr>
              <w:jc w:val="center"/>
              <w:ind w:left="2933"/>
              <w:spacing w:after="0"/>
              <w:rPr>
                <w:sz w:val="20"/>
                <w:szCs w:val="20"/>
                <w:color w:val="auto"/>
              </w:rPr>
            </w:pPr>
            <w:r>
              <w:rPr>
                <w:rFonts w:ascii="Arial" w:cs="Arial" w:eastAsia="Arial" w:hAnsi="Arial"/>
                <w:sz w:val="18"/>
                <w:szCs w:val="18"/>
                <w:color w:val="auto"/>
                <w:w w:val="86"/>
              </w:rPr>
              <w:t>June 2, 2016</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Frederick Wasserman</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80" w:type="dxa"/>
            <w:vAlign w:val="bottom"/>
            <w:gridSpan w:val="4"/>
          </w:tcPr>
          <w:p>
            <w:pPr>
              <w:spacing w:after="0"/>
              <w:rPr>
                <w:sz w:val="20"/>
                <w:szCs w:val="20"/>
                <w:color w:val="auto"/>
              </w:rPr>
            </w:pPr>
            <w:r>
              <w:rPr>
                <w:rFonts w:ascii="Arial" w:cs="Arial" w:eastAsia="Arial" w:hAnsi="Arial"/>
                <w:sz w:val="18"/>
                <w:szCs w:val="18"/>
                <w:color w:val="auto"/>
              </w:rPr>
              <w:t>*By:  /s/ Glynn Wilson, Attorney-In-Fact</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6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Glynn Wilson (appointed Attorney-In-Fact</w:t>
            </w:r>
          </w:p>
        </w:tc>
        <w:tc>
          <w:tcPr>
            <w:tcW w:w="300" w:type="dxa"/>
            <w:vAlign w:val="bottom"/>
            <w:tcBorders>
              <w:top w:val="single" w:sz="8" w:color="auto"/>
            </w:tcBorders>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60" w:type="dxa"/>
            <w:vAlign w:val="bottom"/>
            <w:gridSpan w:val="2"/>
          </w:tcPr>
          <w:p>
            <w:pPr>
              <w:ind w:left="100"/>
              <w:spacing w:after="0"/>
              <w:rPr>
                <w:sz w:val="20"/>
                <w:szCs w:val="20"/>
                <w:color w:val="auto"/>
              </w:rPr>
            </w:pPr>
            <w:r>
              <w:rPr>
                <w:rFonts w:ascii="Arial" w:cs="Arial" w:eastAsia="Arial" w:hAnsi="Arial"/>
                <w:sz w:val="18"/>
                <w:szCs w:val="18"/>
                <w:color w:val="auto"/>
                <w:w w:val="92"/>
              </w:rPr>
              <w:t>pursuant to power of attorney dated May 12, 2016)</w:t>
            </w: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ectPr>
          <w:pgSz w:w="11900" w:h="16838" w:orient="portrait"/>
          <w:cols w:equalWidth="0" w:num="1">
            <w:col w:w="11180"/>
          </w:cols>
          <w:pgMar w:left="240" w:top="459" w:right="479" w:bottom="1440" w:gutter="0" w:footer="0" w:header="0"/>
        </w:sectPr>
      </w:pPr>
    </w:p>
    <w:bookmarkStart w:id="120" w:name="page121"/>
    <w:bookmarkEnd w:id="120"/>
    <w:p>
      <w:pPr>
        <w:jc w:val="center"/>
        <w:ind w:right="-99"/>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inclusion by reference in the Registration Statement of TapImmune, Inc. on Form S-1/A (File No. 333-205757) of our report dated April 14, 2016, which includes an explanatory paragraph as to the Company’s ability to continue as a going concern, with respect to our audits of the consolidated financial statements of TapImmune, Inc. as of December 31, 2015 and 2014 and for the years ended December 31, 2015 and 2014,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5"/>
          <w:szCs w:val="15"/>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EW</w:t>
      </w:r>
      <w:r>
        <w:rPr>
          <w:rFonts w:ascii="Arial" w:cs="Arial" w:eastAsia="Arial" w:hAnsi="Arial"/>
          <w:sz w:val="18"/>
          <w:szCs w:val="18"/>
          <w:color w:val="auto"/>
        </w:rPr>
        <w:t xml:space="preserve"> Y</w:t>
      </w:r>
      <w:r>
        <w:rPr>
          <w:rFonts w:ascii="Arial" w:cs="Arial" w:eastAsia="Arial" w:hAnsi="Arial"/>
          <w:sz w:val="15"/>
          <w:szCs w:val="15"/>
          <w:color w:val="auto"/>
        </w:rPr>
        <w:t>ORK</w:t>
      </w:r>
      <w:r>
        <w:rPr>
          <w:rFonts w:ascii="Arial" w:cs="Arial" w:eastAsia="Arial" w:hAnsi="Arial"/>
          <w:sz w:val="18"/>
          <w:szCs w:val="18"/>
          <w:color w:val="auto"/>
        </w:rPr>
        <w:t>,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 2016</w:t>
      </w:r>
    </w:p>
    <w:p>
      <w:pPr>
        <w:sectPr>
          <w:pgSz w:w="11900" w:h="16838" w:orient="portrait"/>
          <w:cols w:equalWidth="0" w:num="1">
            <w:col w:w="11320"/>
          </w:cols>
          <w:pgMar w:left="240" w:top="125"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5"/>
          <w:szCs w:val="25"/>
          <w:b w:val="1"/>
          <w:bCs w:val="1"/>
          <w:color w:val="auto"/>
        </w:rPr>
        <w:t>SHUMAKER, LOOP &amp; KENDRICK, LLP</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Attorneys at Law</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 of America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101 E. Kennedy Blvd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Suite 2800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Tampa, Florida 33602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AUL</w:t>
      </w:r>
      <w:r>
        <w:rPr>
          <w:rFonts w:ascii="Arial" w:cs="Arial" w:eastAsia="Arial" w:hAnsi="Arial"/>
          <w:sz w:val="18"/>
          <w:szCs w:val="18"/>
          <w:color w:val="auto"/>
        </w:rPr>
        <w:t xml:space="preserve"> R. L</w:t>
      </w:r>
      <w:r>
        <w:rPr>
          <w:rFonts w:ascii="Arial" w:cs="Arial" w:eastAsia="Arial" w:hAnsi="Arial"/>
          <w:sz w:val="15"/>
          <w:szCs w:val="15"/>
          <w:color w:val="auto"/>
        </w:rPr>
        <w:t>YNCH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813.227.2251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plynch@slk-law.com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2,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Suzanne Hayes, Assistant Director, Office of Healthcare and Insurance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Joseph McCann, Staff Attorney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Michael Gershon, Staff Attorney</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TapImmune Inc.</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Post-Effective Amendment No. 1 to Form S-1</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Filed May 12, 2016</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File No. 333-205757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behalf of our client, TapImmune Inc. (“TapImmune”), we are submitting this letter in response to the written comments of the staff (the “Staff”) of the Securities and Exchange Commission (the “Commission”), dated May 26, 2016 (the “Comment Letter”), with respect to Post-Effective Amendment No. 1 to Form S-1 filed by TapImmune with the Commission on May 12, 2016 (SEC File No. 333-205757) (the “Form S-1).</w:t>
      </w:r>
    </w:p>
    <w:p>
      <w:pPr>
        <w:spacing w:after="0" w:line="166"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connection with this letter responding to the Staff’s comments, TapImmune is filing Post-Effective Amendment No. 2 to the Form S-1, and we have sent to Michael Gershon via electronic mail a courtesy copy of the changed pages from the Amendment No. 1 showing the changes described in this letter.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Set forth below are the headings and text of the comments raised in the Comment Letter, followed by the filing persons’ responses thereto.</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 Summary, page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offered by selling stockholders, page 5</w:t>
      </w:r>
    </w:p>
    <w:p>
      <w:pPr>
        <w:spacing w:after="0" w:line="131" w:lineRule="exact"/>
        <w:rPr>
          <w:sz w:val="20"/>
          <w:szCs w:val="20"/>
          <w:color w:val="auto"/>
        </w:rPr>
      </w:pPr>
    </w:p>
    <w:p>
      <w:pPr>
        <w:ind w:left="580" w:right="220" w:hanging="572"/>
        <w:spacing w:after="0" w:line="264" w:lineRule="auto"/>
        <w:tabs>
          <w:tab w:leader="none" w:pos="580"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statement on page 5 that the common stock offered by selling stockholders is 122,077,529 shares. However, on the cover page of your filing, you indicate that you are registering 71,046,767 shares. Accordingly, please revise to ensure that the number of shares presented in the registration statement is consistent throughout all parts of the filing.</w:t>
      </w:r>
    </w:p>
    <w:p>
      <w:pPr>
        <w:spacing w:after="0" w:line="73" w:lineRule="exact"/>
        <w:rPr>
          <w:rFonts w:ascii="Arial" w:cs="Arial" w:eastAsia="Arial" w:hAnsi="Arial"/>
          <w:sz w:val="18"/>
          <w:szCs w:val="18"/>
          <w:i w:val="1"/>
          <w:iCs w:val="1"/>
          <w:color w:val="auto"/>
        </w:rPr>
      </w:pPr>
    </w:p>
    <w:p>
      <w:pPr>
        <w:ind w:left="580" w:right="18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We have revised page 5 to state that the number of shares offered by the Selling Stockholders is 71,046,767 shares, and the number of shares that would be outstanding after the offering, assuming the exercise of all of the outstanding warrants issued in August 2014 and all outstanding Series A Warrants, Series A-1 Warrants, Series C Warrants, Series C-1 Warrants, Series D Warrants, Series D-1 Warrants, Series E Warrants and Series E-1 Warrants, and that the Company does not issue any other shares of common stock, would be 122,077,529 shares.</w:t>
      </w:r>
    </w:p>
    <w:p>
      <w:pPr>
        <w:sectPr>
          <w:pgSz w:w="11900" w:h="16838" w:orient="portrait"/>
          <w:cols w:equalWidth="0" w:num="1">
            <w:col w:w="11400"/>
          </w:cols>
          <w:pgMar w:left="240" w:top="117"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Statements</w:t>
      </w:r>
    </w:p>
    <w:p>
      <w:pPr>
        <w:spacing w:after="0" w:line="131" w:lineRule="exact"/>
        <w:rPr>
          <w:sz w:val="20"/>
          <w:szCs w:val="20"/>
          <w:color w:val="auto"/>
        </w:rPr>
      </w:pPr>
    </w:p>
    <w:p>
      <w:pPr>
        <w:ind w:left="580" w:right="160" w:hanging="572"/>
        <w:spacing w:after="0" w:line="483" w:lineRule="auto"/>
        <w:tabs>
          <w:tab w:leader="none" w:pos="577"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Please update the registration statement to include financial statements and related disclosures for the quarterly period ended March 31, 2016. </w:t>
      </w:r>
      <w:r>
        <w:rPr>
          <w:rFonts w:ascii="Arial" w:cs="Arial" w:eastAsia="Arial" w:hAnsi="Arial"/>
          <w:sz w:val="16"/>
          <w:szCs w:val="16"/>
          <w:color w:val="auto"/>
        </w:rPr>
        <w:t>We have included the financial statements for the quarterly period ended March 31, 2016, and updated the MD&amp;A section and the business section.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131" w:lineRule="exact"/>
        <w:rPr>
          <w:sz w:val="20"/>
          <w:szCs w:val="20"/>
          <w:color w:val="auto"/>
        </w:rPr>
      </w:pPr>
    </w:p>
    <w:p>
      <w:pPr>
        <w:ind w:left="90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feel free to contact me at (813) 227-2251 with any questions or comments you may have.</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Paul R. Lynch</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R. Lynch</w:t>
      </w:r>
    </w:p>
    <w:p>
      <w:pPr>
        <w:spacing w:after="0" w:line="252" w:lineRule="exact"/>
        <w:rPr>
          <w:sz w:val="20"/>
          <w:szCs w:val="20"/>
          <w:color w:val="auto"/>
        </w:rPr>
      </w:pPr>
    </w:p>
    <w:p>
      <w:pPr>
        <w:ind w:left="460" w:right="7820" w:hanging="452"/>
        <w:spacing w:after="0" w:line="258" w:lineRule="auto"/>
        <w:tabs>
          <w:tab w:leader="none" w:pos="449" w:val="left"/>
        </w:tabs>
        <w:numPr>
          <w:ilvl w:val="0"/>
          <w:numId w:val="93"/>
        </w:numPr>
        <w:rPr>
          <w:rFonts w:ascii="Arial" w:cs="Arial" w:eastAsia="Arial" w:hAnsi="Arial"/>
          <w:sz w:val="18"/>
          <w:szCs w:val="18"/>
          <w:color w:val="auto"/>
        </w:rPr>
      </w:pPr>
      <w:r>
        <w:rPr>
          <w:rFonts w:ascii="Arial" w:cs="Arial" w:eastAsia="Arial" w:hAnsi="Arial"/>
          <w:sz w:val="18"/>
          <w:szCs w:val="18"/>
          <w:color w:val="auto"/>
        </w:rPr>
        <w:t>Dr. Glynn Wilson, Chief Executive Officer TapImmune Inc.</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Mark C. Catchur, Esquire</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lowerRoman"/>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1)"/>
      <w:numFmt w:val="decimal"/>
      <w:start w:val="1"/>
    </w:lvl>
  </w:abstractNum>
  <w:abstractNum w:abstractNumId="6">
    <w:nsid w:val="749ABB43"/>
    <w:multiLevelType w:val="hybridMultilevel"/>
    <w:lvl w:ilvl="0">
      <w:lvlJc w:val="left"/>
      <w:lvlText w:val="(%1)"/>
      <w:numFmt w:val="lowerRoman"/>
      <w:start w:val="3"/>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1)"/>
      <w:numFmt w:val="decimal"/>
      <w:start w:val="1"/>
    </w:lvl>
  </w:abstractNum>
  <w:abstractNum w:abstractNumId="24">
    <w:nsid w:val="354FE9F9"/>
    <w:multiLevelType w:val="hybridMultilevel"/>
    <w:lvl w:ilvl="0">
      <w:lvlJc w:val="left"/>
      <w:lvlText w:val="(%1)"/>
      <w:numFmt w:val="decimal"/>
      <w:start w:val="3"/>
    </w:lvl>
    <w:lvl w:ilvl="1">
      <w:lvlJc w:val="left"/>
      <w:lvlText w:val="(%2)"/>
      <w:numFmt w:val="lowerRoman"/>
      <w:start w:val="1"/>
    </w:lvl>
  </w:abstractNum>
  <w:abstractNum w:abstractNumId="25">
    <w:nsid w:val="15B5AF5C"/>
    <w:multiLevelType w:val="hybridMultilevel"/>
    <w:lvl w:ilvl="0">
      <w:lvlJc w:val="left"/>
      <w:lvlText w:val="(%1)"/>
      <w:numFmt w:val="decimal"/>
      <w:start w:val="4"/>
    </w:lvl>
    <w:lvl w:ilvl="1">
      <w:lvlJc w:val="left"/>
      <w:lvlText w:val="(%2)"/>
      <w:numFmt w:val="lowerRoman"/>
      <w:start w:val="1"/>
    </w:lvl>
  </w:abstractNum>
  <w:abstractNum w:abstractNumId="26">
    <w:nsid w:val="741226BB"/>
    <w:multiLevelType w:val="hybridMultilevel"/>
    <w:lvl w:ilvl="0">
      <w:lvlJc w:val="left"/>
      <w:lvlText w:val="(%1)"/>
      <w:numFmt w:val="decimal"/>
      <w:start w:val="5"/>
    </w:lvl>
    <w:lvl w:ilvl="1">
      <w:lvlJc w:val="left"/>
      <w:lvlText w:val="(%2)"/>
      <w:numFmt w:val="lowerRoman"/>
      <w:start w:val="1"/>
    </w:lvl>
  </w:abstractNum>
  <w:abstractNum w:abstractNumId="27">
    <w:nsid w:val="D34B6A8"/>
    <w:multiLevelType w:val="hybridMultilevel"/>
    <w:lvl w:ilvl="0">
      <w:lvlJc w:val="left"/>
      <w:lvlText w:val="(%1)"/>
      <w:numFmt w:val="decimal"/>
      <w:start w:val="6"/>
    </w:lvl>
    <w:lvl w:ilvl="1">
      <w:lvlJc w:val="left"/>
      <w:lvlText w:val="(%2)"/>
      <w:numFmt w:val="lowerRoman"/>
      <w:start w:val="1"/>
    </w:lvl>
  </w:abstractNum>
  <w:abstractNum w:abstractNumId="28">
    <w:nsid w:val="10233C99"/>
    <w:multiLevelType w:val="hybridMultilevel"/>
    <w:lvl w:ilvl="0">
      <w:lvlJc w:val="left"/>
      <w:lvlText w:val="(%1)"/>
      <w:numFmt w:val="decimal"/>
      <w:start w:val="7"/>
    </w:lvl>
    <w:lvl w:ilvl="1">
      <w:lvlJc w:val="left"/>
      <w:lvlText w:val="(%2)"/>
      <w:numFmt w:val="lowerRoman"/>
      <w:start w:val="1"/>
    </w:lvl>
  </w:abstractNum>
  <w:abstractNum w:abstractNumId="29">
    <w:nsid w:val="3F6AB60F"/>
    <w:multiLevelType w:val="hybridMultilevel"/>
    <w:lvl w:ilvl="0">
      <w:lvlJc w:val="left"/>
      <w:lvlText w:val="(%1)"/>
      <w:numFmt w:val="decimal"/>
      <w:start w:val="8"/>
    </w:lvl>
  </w:abstractNum>
  <w:abstractNum w:abstractNumId="30">
    <w:nsid w:val="61574095"/>
    <w:multiLevelType w:val="hybridMultilevel"/>
    <w:lvl w:ilvl="0">
      <w:lvlJc w:val="left"/>
      <w:lvlText w:val="(%1)"/>
      <w:numFmt w:val="lowerRoman"/>
      <w:start w:val="1"/>
    </w:lvl>
  </w:abstractNum>
  <w:abstractNum w:abstractNumId="31">
    <w:nsid w:val="7E0C57B1"/>
    <w:multiLevelType w:val="hybridMultilevel"/>
    <w:lvl w:ilvl="0">
      <w:lvlJc w:val="left"/>
      <w:lvlText w:val="(%1)"/>
      <w:numFmt w:val="decimal"/>
      <w:start w:val="9"/>
    </w:lvl>
  </w:abstractNum>
  <w:abstractNum w:abstractNumId="32">
    <w:nsid w:val="77AE35EB"/>
    <w:multiLevelType w:val="hybridMultilevel"/>
    <w:lvl w:ilvl="0">
      <w:lvlJc w:val="left"/>
      <w:lvlText w:val="(%1)"/>
      <w:numFmt w:val="decimal"/>
      <w:start w:val="10"/>
    </w:lvl>
  </w:abstractNum>
  <w:abstractNum w:abstractNumId="33">
    <w:nsid w:val="579BE4F1"/>
    <w:multiLevelType w:val="hybridMultilevel"/>
    <w:lvl w:ilvl="0">
      <w:lvlJc w:val="left"/>
      <w:lvlText w:val="(%1)"/>
      <w:numFmt w:val="decimal"/>
      <w:start w:val="11"/>
    </w:lvl>
  </w:abstractNum>
  <w:abstractNum w:abstractNumId="34">
    <w:nsid w:val="310C50B3"/>
    <w:multiLevelType w:val="hybridMultilevel"/>
    <w:lvl w:ilvl="0">
      <w:lvlJc w:val="left"/>
      <w:lvlText w:val="(%1)"/>
      <w:numFmt w:val="decimal"/>
      <w:start w:val="12"/>
    </w:lvl>
    <w:lvl w:ilvl="1">
      <w:lvlJc w:val="left"/>
      <w:lvlText w:val="(%2)"/>
      <w:numFmt w:val="lowerRoman"/>
      <w:start w:val="2"/>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1"/>
      <w:numFmt w:val="upperLetter"/>
      <w:start w:val="35"/>
    </w:lvl>
  </w:abstractNum>
  <w:abstractNum w:abstractNumId="39">
    <w:nsid w:val="4AD084E9"/>
    <w:multiLevelType w:val="hybridMultilevel"/>
    <w:lvl w:ilvl="0">
      <w:lvlJc w:val="left"/>
      <w:lvlText w:val="(%1)"/>
      <w:numFmt w:val="lowerRoman"/>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lowerRoman"/>
      <w:start w:val="6"/>
    </w:lvl>
  </w:abstractNum>
  <w:abstractNum w:abstractNumId="48">
    <w:nsid w:val="799D0247"/>
    <w:multiLevelType w:val="hybridMultilevel"/>
    <w:lvl w:ilvl="0">
      <w:lvlJc w:val="left"/>
      <w:lvlText w:val="(%1)"/>
      <w:numFmt w:val="lowerRoman"/>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lvl w:ilvl="1">
      <w:lvlJc w:val="left"/>
      <w:lvlText w:val="(%2)"/>
      <w:numFmt w:val="lowerLetter"/>
      <w:start w:val="26"/>
    </w:lvl>
    <w:lvl w:ilvl="2">
      <w:lvlJc w:val="left"/>
      <w:lvlText w:val="(%3)"/>
      <w:numFmt w:val="lowerRoman"/>
      <w:start w:val="1"/>
    </w:lvl>
    <w:lvl w:ilvl="3">
      <w:lvlJc w:val="left"/>
      <w:lvlText w:val="(%4)"/>
      <w:numFmt w:val="decimal"/>
      <w:start w:val="1"/>
    </w:lvl>
  </w:abstractNum>
  <w:abstractNum w:abstractNumId="51">
    <w:nsid w:val="168E121F"/>
    <w:multiLevelType w:val="hybridMultilevel"/>
    <w:lvl w:ilvl="0">
      <w:lvlJc w:val="left"/>
      <w:lvlText w:val="(%1)"/>
      <w:numFmt w:val="decimal"/>
      <w:start w:val="3"/>
    </w:lvl>
  </w:abstractNum>
  <w:abstractNum w:abstractNumId="52">
    <w:nsid w:val="1EBA5D23"/>
    <w:multiLevelType w:val="hybridMultilevel"/>
    <w:lvl w:ilvl="0">
      <w:lvlJc w:val="left"/>
      <w:lvlText w:val="%1"/>
      <w:numFmt w:val="lowerRoman"/>
      <w:start w:val="1"/>
    </w:lvl>
    <w:lvl w:ilvl="1">
      <w:lvlJc w:val="left"/>
      <w:lvlText w:val="(%2)"/>
      <w:numFmt w:val="upperLetter"/>
      <w:start w:val="61"/>
    </w:lvl>
  </w:abstractNum>
  <w:abstractNum w:abstractNumId="53">
    <w:nsid w:val="661E3F1E"/>
    <w:multiLevelType w:val="hybridMultilevel"/>
    <w:lvl w:ilvl="0">
      <w:lvlJc w:val="left"/>
      <w:lvlText w:val="(%1)"/>
      <w:numFmt w:val="lowerRoman"/>
      <w:start w:val="2"/>
    </w:lvl>
    <w:lvl w:ilvl="1">
      <w:lvlJc w:val="left"/>
      <w:lvlText w:val="%2"/>
      <w:numFmt w:val="upperLetter"/>
      <w:start w:val="1"/>
    </w:lvl>
  </w:abstractNum>
  <w:abstractNum w:abstractNumId="54">
    <w:nsid w:val="5DC79EA8"/>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1)"/>
      <w:numFmt w:val="lowerRoman"/>
      <w:start w:val="4"/>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10"/>
    </w:lvl>
  </w:abstractNum>
  <w:abstractNum w:abstractNumId="70">
    <w:nsid w:val="14330624"/>
    <w:multiLevelType w:val="hybridMultilevel"/>
    <w:lvl w:ilvl="0">
      <w:lvlJc w:val="left"/>
      <w:lvlText w:val="(%1)"/>
      <w:numFmt w:val="decimal"/>
      <w:start w:val="12"/>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1."/>
      <w:numFmt w:val="upperLetter"/>
      <w:start w:val="1"/>
    </w:lvl>
  </w:abstractNum>
  <w:abstractNum w:abstractNumId="83">
    <w:nsid w:val="14E17E33"/>
    <w:multiLevelType w:val="hybridMultilevel"/>
    <w:lvl w:ilvl="0">
      <w:lvlJc w:val="left"/>
      <w:lvlText w:val="(%1)"/>
      <w:numFmt w:val="decimal"/>
      <w:start w:val="1"/>
    </w:lvl>
    <w:lvl w:ilvl="1">
      <w:lvlJc w:val="left"/>
      <w:lvlText w:val="(%2)"/>
      <w:numFmt w:val="lowerRoman"/>
      <w:start w:val="1"/>
    </w:lvl>
  </w:abstractNum>
  <w:abstractNum w:abstractNumId="84">
    <w:nsid w:val="3222E7CD"/>
    <w:multiLevelType w:val="hybridMultilevel"/>
    <w:lvl w:ilvl="0">
      <w:lvlJc w:val="left"/>
      <w:lvlText w:val="%1"/>
      <w:numFmt w:val="decimal"/>
      <w:start w:val="1"/>
    </w:lvl>
    <w:lvl w:ilvl="1">
      <w:lvlJc w:val="left"/>
      <w:lvlText w:val="(%2)"/>
      <w:numFmt w:val="upperLetter"/>
      <w:start w:val="1"/>
    </w:lvl>
  </w:abstractNum>
  <w:abstractNum w:abstractNumId="85">
    <w:nsid w:val="74DE0EE3"/>
    <w:multiLevelType w:val="hybridMultilevel"/>
    <w:lvl w:ilvl="0">
      <w:lvlJc w:val="left"/>
      <w:lvlText w:val="(%1)"/>
      <w:numFmt w:val="decimal"/>
      <w:start w:val="5"/>
    </w:lvl>
    <w:lvl w:ilvl="1">
      <w:lvlJc w:val="left"/>
      <w:lvlText w:val="%2"/>
      <w:numFmt w:val="upperLetter"/>
      <w:start w:val="1"/>
    </w:lvl>
  </w:abstractNum>
  <w:abstractNum w:abstractNumId="86">
    <w:nsid w:val="68EBC550"/>
    <w:multiLevelType w:val="hybridMultilevel"/>
    <w:lvl w:ilvl="0">
      <w:lvlJc w:val="left"/>
      <w:lvlText w:val="(%1)"/>
      <w:numFmt w:val="lowerRoman"/>
      <w:start w:val="1"/>
    </w:lvl>
  </w:abstractNum>
  <w:abstractNum w:abstractNumId="87">
    <w:nsid w:val="2DF6D648"/>
    <w:multiLevelType w:val="hybridMultilevel"/>
    <w:lvl w:ilvl="0">
      <w:lvlJc w:val="left"/>
      <w:lvlText w:val="%1"/>
      <w:numFmt w:val="lowerLetter"/>
      <w:start w:val="1"/>
    </w:lvl>
    <w:lvl w:ilvl="1">
      <w:lvlJc w:val="left"/>
      <w:lvlText w:val="(%2)"/>
      <w:numFmt w:val="lowerRoman"/>
      <w:start w:val="4"/>
    </w:lvl>
  </w:abstractNum>
  <w:abstractNum w:abstractNumId="88">
    <w:nsid w:val="46B7D447"/>
    <w:multiLevelType w:val="hybridMultilevel"/>
    <w:lvl w:ilvl="0">
      <w:lvlJc w:val="left"/>
      <w:lvlText w:val="(%1)"/>
      <w:numFmt w:val="lowerLetter"/>
      <w:start w:val="8"/>
    </w:lvl>
    <w:lvl w:ilvl="1">
      <w:lvlJc w:val="left"/>
      <w:lvlText w:val="%2"/>
      <w:numFmt w:val="lowerRoman"/>
      <w:start w:val="1"/>
    </w:lvl>
  </w:abstractNum>
  <w:abstractNum w:abstractNumId="89">
    <w:nsid w:val="4A2AC315"/>
    <w:multiLevelType w:val="hybridMultilevel"/>
    <w:lvl w:ilvl="0">
      <w:lvlJc w:val="left"/>
      <w:lvlText w:val="%1."/>
      <w:numFmt w:val="decimal"/>
      <w:start w:val="1"/>
    </w:lvl>
  </w:abstractNum>
  <w:abstractNum w:abstractNumId="90">
    <w:nsid w:val="39EE015C"/>
    <w:multiLevelType w:val="hybridMultilevel"/>
    <w:lvl w:ilvl="0">
      <w:lvlJc w:val="left"/>
      <w:lvlText w:val="%1."/>
      <w:numFmt w:val="decimal"/>
      <w:start w:val="2"/>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2020-01-20T15:08:02Z</dcterms:created>
  <dcterms:modified xsi:type="dcterms:W3CDTF">2020-01-20T15:08:02Z</dcterms:modified>
</cp:coreProperties>
</file>