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391795</wp:posOffset>
            </wp:positionV>
            <wp:extent cx="726376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36195"/>
                    </a:xfrm>
                    <a:prstGeom prst="rect">
                      <a:avLst/>
                    </a:prstGeom>
                    <a:noFill/>
                  </pic:spPr>
                </pic:pic>
              </a:graphicData>
            </a:graphic>
          </wp:anchor>
        </w:drawing>
        <w:t>July 8, 2015</w:t>
      </w:r>
    </w:p>
    <w:p>
      <w:pPr>
        <w:spacing w:after="0" w:line="235" w:lineRule="exact"/>
        <w:rPr>
          <w:sz w:val="24"/>
          <w:szCs w:val="24"/>
          <w:color w:val="auto"/>
        </w:rPr>
      </w:pPr>
    </w:p>
    <w:p>
      <w:pPr>
        <w:ind w:left="1"/>
        <w:spacing w:after="0"/>
        <w:rPr>
          <w:sz w:val="20"/>
          <w:szCs w:val="20"/>
          <w:color w:val="auto"/>
        </w:rPr>
      </w:pPr>
      <w:r>
        <w:rPr>
          <w:rFonts w:ascii="Arial" w:cs="Arial" w:eastAsia="Arial" w:hAnsi="Arial"/>
          <w:sz w:val="16"/>
          <w:szCs w:val="16"/>
          <w:color w:val="auto"/>
        </w:rPr>
        <w:t>Mr. Jeffery Riedler</w:t>
      </w:r>
    </w:p>
    <w:p>
      <w:pPr>
        <w:spacing w:after="0" w:line="24" w:lineRule="exact"/>
        <w:rPr>
          <w:sz w:val="24"/>
          <w:szCs w:val="24"/>
          <w:color w:val="auto"/>
        </w:rPr>
      </w:pPr>
    </w:p>
    <w:p>
      <w:pPr>
        <w:ind w:left="1"/>
        <w:spacing w:after="0"/>
        <w:rPr>
          <w:sz w:val="20"/>
          <w:szCs w:val="20"/>
          <w:color w:val="auto"/>
        </w:rPr>
      </w:pPr>
      <w:r>
        <w:rPr>
          <w:rFonts w:ascii="Arial" w:cs="Arial" w:eastAsia="Arial" w:hAnsi="Arial"/>
          <w:sz w:val="16"/>
          <w:szCs w:val="16"/>
          <w:color w:val="auto"/>
        </w:rPr>
        <w:t>Assistant Director</w:t>
      </w:r>
    </w:p>
    <w:p>
      <w:pPr>
        <w:spacing w:after="0" w:line="13" w:lineRule="exact"/>
        <w:rPr>
          <w:sz w:val="24"/>
          <w:szCs w:val="24"/>
          <w:color w:val="auto"/>
        </w:rPr>
      </w:pPr>
    </w:p>
    <w:p>
      <w:pPr>
        <w:ind w:left="1"/>
        <w:spacing w:after="0"/>
        <w:rPr>
          <w:sz w:val="20"/>
          <w:szCs w:val="20"/>
          <w:color w:val="auto"/>
        </w:rPr>
      </w:pPr>
      <w:r>
        <w:rPr>
          <w:rFonts w:ascii="Arial" w:cs="Arial" w:eastAsia="Arial" w:hAnsi="Arial"/>
          <w:sz w:val="16"/>
          <w:szCs w:val="16"/>
          <w:color w:val="auto"/>
        </w:rPr>
        <w:t>Division of Corporation Finance</w:t>
      </w:r>
    </w:p>
    <w:p>
      <w:pPr>
        <w:spacing w:after="0" w:line="13" w:lineRule="exact"/>
        <w:rPr>
          <w:sz w:val="24"/>
          <w:szCs w:val="24"/>
          <w:color w:val="auto"/>
        </w:rPr>
      </w:pPr>
    </w:p>
    <w:p>
      <w:pPr>
        <w:ind w:left="1"/>
        <w:spacing w:after="0"/>
        <w:rPr>
          <w:sz w:val="20"/>
          <w:szCs w:val="20"/>
          <w:color w:val="auto"/>
        </w:rPr>
      </w:pPr>
      <w:r>
        <w:rPr>
          <w:rFonts w:ascii="Arial" w:cs="Arial" w:eastAsia="Arial" w:hAnsi="Arial"/>
          <w:sz w:val="16"/>
          <w:szCs w:val="16"/>
          <w:color w:val="auto"/>
        </w:rPr>
        <w:t>Mail Stop 7010</w:t>
      </w:r>
    </w:p>
    <w:p>
      <w:pPr>
        <w:spacing w:after="0" w:line="13" w:lineRule="exact"/>
        <w:rPr>
          <w:sz w:val="24"/>
          <w:szCs w:val="24"/>
          <w:color w:val="auto"/>
        </w:rPr>
      </w:pPr>
    </w:p>
    <w:p>
      <w:pPr>
        <w:ind w:left="1"/>
        <w:spacing w:after="0"/>
        <w:rPr>
          <w:sz w:val="20"/>
          <w:szCs w:val="20"/>
          <w:color w:val="auto"/>
        </w:rPr>
      </w:pPr>
      <w:r>
        <w:rPr>
          <w:rFonts w:ascii="Arial" w:cs="Arial" w:eastAsia="Arial" w:hAnsi="Arial"/>
          <w:sz w:val="16"/>
          <w:szCs w:val="16"/>
          <w:color w:val="auto"/>
        </w:rPr>
        <w:t>Washington, D.C. 20549-7010</w:t>
      </w:r>
    </w:p>
    <w:p>
      <w:pPr>
        <w:spacing w:after="0" w:line="195" w:lineRule="exact"/>
        <w:rPr>
          <w:sz w:val="24"/>
          <w:szCs w:val="24"/>
          <w:color w:val="auto"/>
        </w:rPr>
      </w:pPr>
    </w:p>
    <w:p>
      <w:pPr>
        <w:ind w:left="1"/>
        <w:spacing w:after="0"/>
        <w:tabs>
          <w:tab w:leader="none" w:pos="641"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TapImmune Inc. (the “Company”)</w:t>
      </w:r>
    </w:p>
    <w:p>
      <w:pPr>
        <w:spacing w:after="0" w:line="28"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Post-Effective Amendment No. 1 to Form S-3 on Form S-1</w:t>
      </w:r>
    </w:p>
    <w:p>
      <w:pPr>
        <w:spacing w:after="0" w:line="13"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Filed June 19, 2015</w:t>
      </w:r>
    </w:p>
    <w:p>
      <w:pPr>
        <w:spacing w:after="0" w:line="13"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File No. 333-196115</w:t>
      </w:r>
    </w:p>
    <w:p>
      <w:pPr>
        <w:spacing w:after="0" w:line="224" w:lineRule="exact"/>
        <w:rPr>
          <w:sz w:val="24"/>
          <w:szCs w:val="24"/>
          <w:color w:val="auto"/>
        </w:rPr>
      </w:pPr>
    </w:p>
    <w:p>
      <w:pPr>
        <w:ind w:left="1"/>
        <w:spacing w:after="0"/>
        <w:rPr>
          <w:sz w:val="20"/>
          <w:szCs w:val="20"/>
          <w:color w:val="auto"/>
        </w:rPr>
      </w:pPr>
      <w:r>
        <w:rPr>
          <w:rFonts w:ascii="Arial" w:cs="Arial" w:eastAsia="Arial" w:hAnsi="Arial"/>
          <w:sz w:val="16"/>
          <w:szCs w:val="16"/>
          <w:color w:val="auto"/>
        </w:rPr>
        <w:t>Dear Mr. Riedler:</w:t>
      </w:r>
    </w:p>
    <w:p>
      <w:pPr>
        <w:spacing w:after="0" w:line="210" w:lineRule="exact"/>
        <w:rPr>
          <w:sz w:val="24"/>
          <w:szCs w:val="24"/>
          <w:color w:val="auto"/>
        </w:rPr>
      </w:pPr>
    </w:p>
    <w:p>
      <w:pPr>
        <w:jc w:val="both"/>
        <w:ind w:left="1" w:firstLine="591"/>
        <w:spacing w:after="0" w:line="272" w:lineRule="auto"/>
        <w:rPr>
          <w:sz w:val="20"/>
          <w:szCs w:val="20"/>
          <w:color w:val="auto"/>
        </w:rPr>
      </w:pPr>
      <w:r>
        <w:rPr>
          <w:rFonts w:ascii="Arial" w:cs="Arial" w:eastAsia="Arial" w:hAnsi="Arial"/>
          <w:sz w:val="16"/>
          <w:szCs w:val="16"/>
          <w:color w:val="auto"/>
        </w:rPr>
        <w:t>The Company filed a Post-Effective Amendment No. 1 (“POS-AM No. 1”) to the Company’s registration statement (No. 333-196115, the “Registration Statement”) on Form S-3 on Form S-1 on June 19, 2015. You commented on POS-AM No. 1 in a letter dated July 2, 2015. The Company sets forth the comment in your letter in italics followed by its response.</w:t>
      </w:r>
    </w:p>
    <w:p>
      <w:pPr>
        <w:spacing w:after="0" w:line="187" w:lineRule="exact"/>
        <w:rPr>
          <w:sz w:val="24"/>
          <w:szCs w:val="24"/>
          <w:color w:val="auto"/>
        </w:rPr>
      </w:pPr>
    </w:p>
    <w:p>
      <w:pPr>
        <w:jc w:val="both"/>
        <w:ind w:left="1" w:firstLine="591"/>
        <w:spacing w:after="0" w:line="272" w:lineRule="auto"/>
        <w:rPr>
          <w:sz w:val="20"/>
          <w:szCs w:val="20"/>
          <w:color w:val="auto"/>
        </w:rPr>
      </w:pPr>
      <w:r>
        <w:rPr>
          <w:rFonts w:ascii="Arial" w:cs="Arial" w:eastAsia="Arial" w:hAnsi="Arial"/>
          <w:sz w:val="16"/>
          <w:szCs w:val="16"/>
          <w:color w:val="auto"/>
        </w:rPr>
        <w:t>Simultaneous with the submission of this response, the Company will file Post-Effective Amendment No. 2 to the Registration Statement (“POS-AM No. 2”), and will submit as Appendix A to this letter, a copy of POS-AM No. 2 with revision marks so that you can better see and understand the changes that have been made in response to your comments from POS-AM No. 1.</w:t>
      </w:r>
    </w:p>
    <w:p>
      <w:pPr>
        <w:spacing w:after="0" w:line="159"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COMMENT:</w:t>
      </w:r>
    </w:p>
    <w:p>
      <w:pPr>
        <w:spacing w:after="0" w:line="239" w:lineRule="exact"/>
        <w:rPr>
          <w:sz w:val="24"/>
          <w:szCs w:val="24"/>
          <w:color w:val="auto"/>
        </w:rPr>
      </w:pPr>
    </w:p>
    <w:p>
      <w:pPr>
        <w:ind w:left="1"/>
        <w:spacing w:after="0"/>
        <w:rPr>
          <w:sz w:val="20"/>
          <w:szCs w:val="20"/>
          <w:color w:val="auto"/>
        </w:rPr>
      </w:pPr>
      <w:r>
        <w:rPr>
          <w:rFonts w:ascii="Arial" w:cs="Arial" w:eastAsia="Arial" w:hAnsi="Arial"/>
          <w:sz w:val="16"/>
          <w:szCs w:val="16"/>
          <w:u w:val="single" w:color="auto"/>
          <w:color w:val="auto"/>
        </w:rPr>
        <w:t>General</w:t>
      </w:r>
    </w:p>
    <w:p>
      <w:pPr>
        <w:spacing w:after="0" w:line="235" w:lineRule="exact"/>
        <w:rPr>
          <w:sz w:val="24"/>
          <w:szCs w:val="24"/>
          <w:color w:val="auto"/>
        </w:rPr>
      </w:pPr>
    </w:p>
    <w:p>
      <w:pPr>
        <w:jc w:val="both"/>
        <w:ind w:left="1" w:hanging="1"/>
        <w:spacing w:after="0" w:line="272" w:lineRule="auto"/>
        <w:tabs>
          <w:tab w:leader="none" w:pos="171"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in addition to the shares of common stock originally registered under your Form S-3 which was declared effective on July 23, 2014, you are also registering shares of common stock underlying additional warrants which were issued subject to an Amended and Restated Restructuring Agreement and shares of common stock issued to a shareholder on March 9, 2015 as follows:</w:t>
      </w:r>
    </w:p>
    <w:p>
      <w:pPr>
        <w:spacing w:after="0" w:line="187" w:lineRule="exact"/>
        <w:rPr>
          <w:rFonts w:ascii="Arial" w:cs="Arial" w:eastAsia="Arial" w:hAnsi="Arial"/>
          <w:sz w:val="16"/>
          <w:szCs w:val="16"/>
          <w:i w:val="1"/>
          <w:iCs w:val="1"/>
          <w:color w:val="auto"/>
        </w:rPr>
      </w:pPr>
    </w:p>
    <w:p>
      <w:pPr>
        <w:ind w:left="581" w:hanging="286"/>
        <w:spacing w:after="0"/>
        <w:tabs>
          <w:tab w:leader="none" w:pos="581"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7,320,000 shares of common stock issuable upon exercise of an additional 7,320,000 Series B Warrants issued subject to the Restructuring Agreement;</w:t>
      </w:r>
    </w:p>
    <w:p>
      <w:pPr>
        <w:spacing w:after="0" w:line="234" w:lineRule="exact"/>
        <w:rPr>
          <w:rFonts w:ascii="Arial" w:cs="Arial" w:eastAsia="Arial" w:hAnsi="Arial"/>
          <w:sz w:val="16"/>
          <w:szCs w:val="16"/>
          <w:i w:val="1"/>
          <w:iCs w:val="1"/>
          <w:color w:val="auto"/>
        </w:rPr>
      </w:pPr>
    </w:p>
    <w:p>
      <w:pPr>
        <w:ind w:left="581" w:hanging="286"/>
        <w:spacing w:after="0"/>
        <w:tabs>
          <w:tab w:leader="none" w:pos="581"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7,320,000 shares of common stock issuable upon exercise of an additional 7,320,000 Series C Warrants issued subject to the Restructuring Agreement;</w:t>
      </w:r>
    </w:p>
    <w:p>
      <w:pPr>
        <w:spacing w:after="0" w:line="234" w:lineRule="exact"/>
        <w:rPr>
          <w:rFonts w:ascii="Arial" w:cs="Arial" w:eastAsia="Arial" w:hAnsi="Arial"/>
          <w:sz w:val="16"/>
          <w:szCs w:val="16"/>
          <w:i w:val="1"/>
          <w:iCs w:val="1"/>
          <w:color w:val="auto"/>
        </w:rPr>
      </w:pPr>
    </w:p>
    <w:p>
      <w:pPr>
        <w:ind w:left="581" w:hanging="286"/>
        <w:spacing w:after="0"/>
        <w:tabs>
          <w:tab w:leader="none" w:pos="581" w:val="left"/>
        </w:tabs>
        <w:numPr>
          <w:ilvl w:val="1"/>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5,000,000 shares of common stock issuable upon exercise of an additional 5,000,000 Series B-1 Warrants issued subject to the Restructuring Agreement;</w:t>
      </w:r>
    </w:p>
    <w:p>
      <w:pPr>
        <w:spacing w:after="0" w:line="246" w:lineRule="exact"/>
        <w:rPr>
          <w:rFonts w:ascii="Arial" w:cs="Arial" w:eastAsia="Arial" w:hAnsi="Arial"/>
          <w:sz w:val="15"/>
          <w:szCs w:val="15"/>
          <w:i w:val="1"/>
          <w:iCs w:val="1"/>
          <w:color w:val="auto"/>
        </w:rPr>
      </w:pPr>
    </w:p>
    <w:p>
      <w:pPr>
        <w:ind w:left="581" w:hanging="286"/>
        <w:spacing w:after="0" w:line="288" w:lineRule="auto"/>
        <w:tabs>
          <w:tab w:leader="none" w:pos="581"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5,000,000 shares of common stock issued to a shareholder upon its exercise on June 16, 2015 of 5,000,000 Series C-1 Warrants issued subject to the Restructuring Agreement; and</w:t>
      </w:r>
    </w:p>
    <w:p>
      <w:pPr>
        <w:spacing w:after="0" w:line="174" w:lineRule="exact"/>
        <w:rPr>
          <w:rFonts w:ascii="Arial" w:cs="Arial" w:eastAsia="Arial" w:hAnsi="Arial"/>
          <w:sz w:val="16"/>
          <w:szCs w:val="16"/>
          <w:i w:val="1"/>
          <w:iCs w:val="1"/>
          <w:color w:val="auto"/>
        </w:rPr>
      </w:pPr>
    </w:p>
    <w:p>
      <w:pPr>
        <w:ind w:left="581" w:hanging="286"/>
        <w:spacing w:after="0"/>
        <w:tabs>
          <w:tab w:leader="none" w:pos="581"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5,000,000 shares of common stock issued to a shareholder in March 2015.</w:t>
      </w:r>
    </w:p>
    <w:p>
      <w:pPr>
        <w:spacing w:after="0" w:line="235" w:lineRule="exact"/>
        <w:rPr>
          <w:sz w:val="24"/>
          <w:szCs w:val="24"/>
          <w:color w:val="auto"/>
        </w:rPr>
      </w:pPr>
    </w:p>
    <w:p>
      <w:pPr>
        <w:jc w:val="both"/>
        <w:ind w:left="1"/>
        <w:spacing w:after="0" w:line="284" w:lineRule="auto"/>
        <w:rPr>
          <w:sz w:val="20"/>
          <w:szCs w:val="20"/>
          <w:color w:val="auto"/>
        </w:rPr>
      </w:pPr>
      <w:r>
        <w:rPr>
          <w:rFonts w:ascii="Arial" w:cs="Arial" w:eastAsia="Arial" w:hAnsi="Arial"/>
          <w:sz w:val="15"/>
          <w:szCs w:val="15"/>
          <w:i w:val="1"/>
          <w:iCs w:val="1"/>
          <w:color w:val="auto"/>
        </w:rPr>
        <w:t>As noted in your Form 8-K filed on June 3, 2015, the warrants and the shares underlying the warrants identified above were issued pursuant to an exemption from registration under Section 4(a)(2) of the Securities Act. The private placement transaction and your proposed resale offering of underlying shares are distinct from the publicly registered transactions described in the shelf offering prospectus on Form S-3 filed in May 2014 and the subsequent prospectus supplements reflecting offerings in August 2014, January 2015, and March 2015. As such, the shares issued in the private placement transaction may not be registered for resale through a post-effective amendment to the prior Form S-3. Accordingly, please remove all of the securities listed above from registration on this post-effective amendment. If you would like to register these shares of common stock underlying the private placement transaction, you may do so on a separate registration statement on 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72637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4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RESPONSE:</w:t>
      </w:r>
    </w:p>
    <w:p>
      <w:pPr>
        <w:spacing w:after="0" w:line="239" w:lineRule="exact"/>
        <w:rPr>
          <w:sz w:val="20"/>
          <w:szCs w:val="20"/>
          <w:color w:val="auto"/>
        </w:rPr>
      </w:pPr>
    </w:p>
    <w:p>
      <w:pPr>
        <w:jc w:val="both"/>
        <w:ind w:right="160"/>
        <w:spacing w:after="0" w:line="272" w:lineRule="auto"/>
        <w:rPr>
          <w:sz w:val="20"/>
          <w:szCs w:val="20"/>
          <w:color w:val="auto"/>
        </w:rPr>
      </w:pPr>
      <w:r>
        <w:rPr>
          <w:rFonts w:ascii="Arial" w:cs="Arial" w:eastAsia="Arial" w:hAnsi="Arial"/>
          <w:sz w:val="16"/>
          <w:szCs w:val="16"/>
          <w:color w:val="auto"/>
        </w:rPr>
        <w:t>As set out in greater detail below, the 93,126,792 shares (or shares underlying warrants) of common stock included in POS-AM No. 1 included (i) 68,486,792 shares from transactions completed under the Registration Statement and (ii) 24,640,000 shares from transactions not completed under the Registration Statement. We have revised the POS-AM No. 2 to only include those shares that were issued in transactions completed under the Registration Statement.</w:t>
      </w:r>
    </w:p>
    <w:p>
      <w:pPr>
        <w:spacing w:after="0" w:line="187" w:lineRule="exact"/>
        <w:rPr>
          <w:sz w:val="20"/>
          <w:szCs w:val="20"/>
          <w:color w:val="auto"/>
        </w:rPr>
      </w:pPr>
    </w:p>
    <w:p>
      <w:pPr>
        <w:ind w:left="880" w:hanging="232"/>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From transactions completed under the Registration Statement</w:t>
      </w:r>
    </w:p>
    <w:p>
      <w:pPr>
        <w:spacing w:after="0" w:line="210"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Of the 93,126,792 shares of common stock included in POS-Am No. 1, 68,486,792 were shares (or shares underlying warrants) sold in transactions under the Registration Statement in (a) August 2014, (b) January 2015 and (c) March 2015.</w:t>
      </w:r>
    </w:p>
    <w:p>
      <w:pPr>
        <w:spacing w:after="0" w:line="174" w:lineRule="exact"/>
        <w:rPr>
          <w:sz w:val="20"/>
          <w:szCs w:val="20"/>
          <w:color w:val="auto"/>
        </w:rPr>
      </w:pPr>
    </w:p>
    <w:p>
      <w:pPr>
        <w:ind w:left="880" w:hanging="259"/>
        <w:spacing w:after="0" w:line="324"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August 2014, the Company sold 1,886,792 units under the Registration Statement, with each unit consisting of (1) a share of common stock and (2) a warrant to purchase a share of common stock. 1,886,792 shares of common stock underlying those warrants were included in the POS-AM No. 1.</w:t>
      </w:r>
    </w:p>
    <w:p>
      <w:pPr>
        <w:spacing w:after="0" w:line="150" w:lineRule="exact"/>
        <w:rPr>
          <w:rFonts w:ascii="Arial" w:cs="Arial" w:eastAsia="Arial" w:hAnsi="Arial"/>
          <w:sz w:val="15"/>
          <w:szCs w:val="15"/>
          <w:color w:val="auto"/>
        </w:rPr>
      </w:pPr>
    </w:p>
    <w:p>
      <w:pPr>
        <w:jc w:val="both"/>
        <w:ind w:left="880" w:hanging="268"/>
        <w:spacing w:after="0" w:line="267"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2015, the Company sold 7,320,000 units under the Registration Statement, with each Unit consisting of (1) a share of common stock, (2) a Series A warrant to purchase a share of common stock, (3) a Series B warrant to purchase a share of common stock, (4) a Series C warrant to purchase a share of common stock, (5) a Series D warrant to purchase a share of common stock and (6) a Series E warrant to purchase a share of common stock. The 36,600,000 shares underlying the Series A to Series E warrants were included in the POS-AM No. 1.</w:t>
      </w:r>
    </w:p>
    <w:p>
      <w:pPr>
        <w:spacing w:after="0" w:line="191" w:lineRule="exact"/>
        <w:rPr>
          <w:rFonts w:ascii="Arial" w:cs="Arial" w:eastAsia="Arial" w:hAnsi="Arial"/>
          <w:sz w:val="16"/>
          <w:szCs w:val="16"/>
          <w:color w:val="auto"/>
        </w:rPr>
      </w:pPr>
    </w:p>
    <w:p>
      <w:pPr>
        <w:jc w:val="both"/>
        <w:ind w:left="880" w:hanging="259"/>
        <w:spacing w:after="0" w:line="265"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March 2015, the Company sold 5,000,000 units under the Registration Statement, with each Unit consisting of (1) a share of common stock, (2) a Series A-1 warrant to purchase a share of common stock, (3) a Series B-1 warrant to purchase a share of common stock, (4) a Series C-1 warrant to purchase a share of common stock, (5) a Series D-1 warrant to purchase a share of common stock and (6) a Series E-1 warrant to purchase a share of common stock. The 5,000,000 shares (the Company notes that your comment mistakenly mentioned that these shares were issued pursuant to a private placement) and the 25,000,000 shares underlying the Series A-1 to Series E-1 warrants were included in the POS-AM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487045</wp:posOffset>
            </wp:positionV>
            <wp:extent cx="726376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2" w:name="page3"/>
    <w:bookmarkEnd w:id="2"/>
    <w:p>
      <w:pPr>
        <w:ind w:left="1"/>
        <w:spacing w:after="0"/>
        <w:rPr>
          <w:sz w:val="20"/>
          <w:szCs w:val="20"/>
          <w:color w:val="auto"/>
        </w:rPr>
      </w:pPr>
      <w:r>
        <w:rPr>
          <w:rFonts w:ascii="Arial" w:cs="Arial" w:eastAsia="Arial" w:hAnsi="Arial"/>
          <w:sz w:val="16"/>
          <w:szCs w:val="16"/>
          <w:color w:val="auto"/>
        </w:rPr>
        <w:t>The Company has included all of these shares from transactions completed under the Registration Statement in the POS-AM No. 2.</w:t>
      </w:r>
    </w:p>
    <w:p>
      <w:pPr>
        <w:spacing w:after="0" w:line="235" w:lineRule="exact"/>
        <w:rPr>
          <w:sz w:val="20"/>
          <w:szCs w:val="20"/>
          <w:color w:val="auto"/>
        </w:rPr>
      </w:pPr>
    </w:p>
    <w:p>
      <w:pPr>
        <w:ind w:left="881" w:hanging="277"/>
        <w:spacing w:after="0"/>
        <w:tabs>
          <w:tab w:leader="none" w:pos="88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From transactions not completed under the Registration Statement</w:t>
      </w:r>
    </w:p>
    <w:p>
      <w:pPr>
        <w:spacing w:after="0" w:line="235" w:lineRule="exact"/>
        <w:rPr>
          <w:sz w:val="20"/>
          <w:szCs w:val="20"/>
          <w:color w:val="auto"/>
        </w:rPr>
      </w:pPr>
    </w:p>
    <w:p>
      <w:pPr>
        <w:ind w:left="1" w:right="100"/>
        <w:spacing w:after="0" w:line="324" w:lineRule="auto"/>
        <w:rPr>
          <w:sz w:val="20"/>
          <w:szCs w:val="20"/>
          <w:color w:val="auto"/>
        </w:rPr>
      </w:pPr>
      <w:r>
        <w:rPr>
          <w:rFonts w:ascii="Arial" w:cs="Arial" w:eastAsia="Arial" w:hAnsi="Arial"/>
          <w:sz w:val="15"/>
          <w:szCs w:val="15"/>
          <w:color w:val="auto"/>
        </w:rPr>
        <w:t>Of the 93,126,792 shares of common stock included in POS-Am No. 1, 24,640,000 were shares (or shares underlying warrants) issued pursuant to transactions that were not under the Registration Statement as the result of (a) restructuring agreements and (b) the exercise of warrants that were issued under the restructuring agreement.</w:t>
      </w:r>
    </w:p>
    <w:p>
      <w:pPr>
        <w:spacing w:after="0" w:line="150" w:lineRule="exact"/>
        <w:rPr>
          <w:sz w:val="20"/>
          <w:szCs w:val="20"/>
          <w:color w:val="auto"/>
        </w:rPr>
      </w:pPr>
    </w:p>
    <w:p>
      <w:pPr>
        <w:jc w:val="both"/>
        <w:ind w:left="881" w:hanging="259"/>
        <w:spacing w:after="0" w:line="299" w:lineRule="auto"/>
        <w:tabs>
          <w:tab w:leader="none" w:pos="88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June 2014, the Company entered into restructuring agreements pursuant to which it issued an additional (1) 7,320,000 Series B warrants, (2) 7,320,000 Series C warrants, (3) 5,000,000 Series B-1 warrants and (4) 5,000,000 Series C-1 warrants (which Series C-1 warrants were subsequently exercised as set out in paragraph (b) below). 19,640,000 shares underlying the additional Series B, Series C and Series B-1 warrants were included in the POS-AM No. 1.</w:t>
      </w:r>
    </w:p>
    <w:p>
      <w:pPr>
        <w:spacing w:after="0" w:line="168" w:lineRule="exact"/>
        <w:rPr>
          <w:rFonts w:ascii="Arial" w:cs="Arial" w:eastAsia="Arial" w:hAnsi="Arial"/>
          <w:sz w:val="15"/>
          <w:szCs w:val="15"/>
          <w:color w:val="auto"/>
        </w:rPr>
      </w:pPr>
    </w:p>
    <w:p>
      <w:pPr>
        <w:ind w:left="881" w:hanging="268"/>
        <w:spacing w:after="0" w:line="288" w:lineRule="auto"/>
        <w:tabs>
          <w:tab w:leader="none" w:pos="88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2015, the 5,000,000 additional Series C-1 warrants were exercised and the Company issued 5,000,000 shares in connection with this exercise. These 5,000,000 shares were included in the POS-AM No. 1.</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has removed all of these shares from transactions not completed under the Registration Statement from the POS-AM No. 2.</w:t>
      </w:r>
    </w:p>
    <w:p>
      <w:pPr>
        <w:spacing w:after="0" w:line="235" w:lineRule="exact"/>
        <w:rPr>
          <w:sz w:val="20"/>
          <w:szCs w:val="20"/>
          <w:color w:val="auto"/>
        </w:rPr>
      </w:pPr>
    </w:p>
    <w:p>
      <w:pPr>
        <w:jc w:val="both"/>
        <w:ind w:left="1"/>
        <w:spacing w:after="0" w:line="286" w:lineRule="auto"/>
        <w:rPr>
          <w:sz w:val="20"/>
          <w:szCs w:val="20"/>
          <w:color w:val="auto"/>
        </w:rPr>
      </w:pPr>
      <w:r>
        <w:rPr>
          <w:rFonts w:ascii="Arial" w:cs="Arial" w:eastAsia="Arial" w:hAnsi="Arial"/>
          <w:sz w:val="15"/>
          <w:szCs w:val="15"/>
          <w:color w:val="auto"/>
        </w:rPr>
        <w:t>In addition to the above responses to your comments, the Company hereby acknowledges that (i) should the U.S. Securities and Exchange Commission (the “Commission”) or its staff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staff comments and the declaration of effectiveness as a defense in any proceeding initiated by the Commission or any person under the federal securities laws of the United States.</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6"/>
          <w:szCs w:val="16"/>
          <w:color w:val="auto"/>
        </w:rPr>
        <w:t>If you have any questions with the above, please contact me.</w:t>
      </w:r>
    </w:p>
    <w:p>
      <w:pPr>
        <w:spacing w:after="0" w:line="200" w:lineRule="exact"/>
        <w:rPr>
          <w:sz w:val="20"/>
          <w:szCs w:val="20"/>
          <w:color w:val="auto"/>
        </w:rPr>
      </w:pPr>
    </w:p>
    <w:p>
      <w:pPr>
        <w:spacing w:after="0" w:line="257" w:lineRule="exact"/>
        <w:rPr>
          <w:sz w:val="20"/>
          <w:szCs w:val="20"/>
          <w:color w:val="auto"/>
        </w:rPr>
      </w:pPr>
    </w:p>
    <w:p>
      <w:pPr>
        <w:ind w:left="5281"/>
        <w:spacing w:after="0"/>
        <w:rPr>
          <w:sz w:val="20"/>
          <w:szCs w:val="20"/>
          <w:color w:val="auto"/>
        </w:rPr>
      </w:pPr>
      <w:r>
        <w:rPr>
          <w:rFonts w:ascii="Arial" w:cs="Arial" w:eastAsia="Arial" w:hAnsi="Arial"/>
          <w:sz w:val="16"/>
          <w:szCs w:val="16"/>
          <w:color w:val="auto"/>
        </w:rPr>
        <w:t>Sincerely,</w:t>
      </w:r>
    </w:p>
    <w:p>
      <w:pPr>
        <w:spacing w:after="0" w:line="21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TapImmune Inc.</w:t>
      </w: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16"/>
          <w:szCs w:val="16"/>
          <w:u w:val="single" w:color="auto"/>
          <w:color w:val="auto"/>
        </w:rPr>
        <w:t>/s/ Glynn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 w:right="9800" w:hanging="1"/>
        <w:spacing w:after="0" w:line="288" w:lineRule="auto"/>
        <w:tabs>
          <w:tab w:leader="none" w:pos="644" w:val="left"/>
        </w:tabs>
        <w:numPr>
          <w:ilvl w:val="0"/>
          <w:numId w:val="6"/>
        </w:numPr>
        <w:rPr>
          <w:rFonts w:ascii="Arial" w:cs="Arial" w:eastAsia="Arial" w:hAnsi="Arial"/>
          <w:sz w:val="16"/>
          <w:szCs w:val="16"/>
          <w:color w:val="auto"/>
        </w:rPr>
      </w:pPr>
      <w:r>
        <w:rPr>
          <w:rFonts w:ascii="Arial" w:cs="Arial" w:eastAsia="Arial" w:hAnsi="Arial"/>
          <w:sz w:val="16"/>
          <w:szCs w:val="16"/>
          <w:color w:val="auto"/>
        </w:rPr>
        <w:t>Johnny Gharib Bryan Pitko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726376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pacing w:after="0" w:line="179" w:lineRule="exact"/>
        <w:rPr>
          <w:sz w:val="20"/>
          <w:szCs w:val="20"/>
          <w:color w:val="auto"/>
        </w:rPr>
      </w:pPr>
    </w:p>
    <w:p>
      <w:pPr>
        <w:ind w:left="10221"/>
        <w:spacing w:after="0"/>
        <w:rPr>
          <w:sz w:val="20"/>
          <w:szCs w:val="20"/>
          <w:color w:val="auto"/>
        </w:rPr>
      </w:pPr>
      <w:r>
        <w:rPr>
          <w:rFonts w:ascii="Arial" w:cs="Arial" w:eastAsia="Arial" w:hAnsi="Arial"/>
          <w:sz w:val="19"/>
          <w:szCs w:val="19"/>
          <w:b w:val="1"/>
          <w:bCs w:val="1"/>
          <w:color w:val="auto"/>
        </w:rPr>
        <w:t>APPENDIX 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filed with the Securities and Exchange Commission on July 8, 2015</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Registration No. 333-196115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POST-EFFECTIVE AMENDMENT NO. 2 TO FORM S-3/A 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12" w:lineRule="exact"/>
        <w:rPr>
          <w:sz w:val="20"/>
          <w:szCs w:val="20"/>
          <w:color w:val="auto"/>
        </w:rPr>
      </w:pPr>
    </w:p>
    <w:tbl>
      <w:tblPr>
        <w:tblLayout w:type="fixed"/>
        <w:tblInd w:w="281"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40" w:type="dxa"/>
            <w:vAlign w:val="bottom"/>
            <w:gridSpan w:val="8"/>
          </w:tcPr>
          <w:p>
            <w:pPr>
              <w:jc w:val="center"/>
              <w:ind w:right="4320"/>
              <w:spacing w:after="0"/>
              <w:rPr>
                <w:sz w:val="20"/>
                <w:szCs w:val="20"/>
                <w:color w:val="auto"/>
              </w:rPr>
            </w:pPr>
            <w:r>
              <w:rPr>
                <w:rFonts w:ascii="Arial" w:cs="Arial" w:eastAsia="Arial" w:hAnsi="Arial"/>
                <w:sz w:val="16"/>
                <w:szCs w:val="16"/>
                <w:b w:val="1"/>
                <w:bCs w:val="1"/>
                <w:color w:val="auto"/>
              </w:rPr>
              <w:t>TAPIMMUNE INC.</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20" w:type="dxa"/>
            <w:vAlign w:val="bottom"/>
            <w:gridSpan w:val="9"/>
          </w:tcPr>
          <w:p>
            <w:pPr>
              <w:jc w:val="center"/>
              <w:ind w:right="3200"/>
              <w:spacing w:after="0"/>
              <w:rPr>
                <w:sz w:val="20"/>
                <w:szCs w:val="20"/>
                <w:color w:val="auto"/>
              </w:rPr>
            </w:pPr>
            <w:r>
              <w:rPr>
                <w:rFonts w:ascii="Arial" w:cs="Arial" w:eastAsia="Arial" w:hAnsi="Arial"/>
                <w:sz w:val="16"/>
                <w:szCs w:val="16"/>
                <w:color w:val="auto"/>
                <w:w w:val="93"/>
              </w:rPr>
              <w:t>(Name of Issuer in Its Charter)</w:t>
            </w:r>
          </w:p>
        </w:tc>
        <w:tc>
          <w:tcPr>
            <w:tcW w:w="0" w:type="dxa"/>
            <w:vAlign w:val="bottom"/>
          </w:tcPr>
          <w:p>
            <w:pPr>
              <w:spacing w:after="0"/>
              <w:rPr>
                <w:sz w:val="1"/>
                <w:szCs w:val="1"/>
                <w:color w:val="auto"/>
              </w:rPr>
            </w:pPr>
          </w:p>
        </w:tc>
      </w:tr>
      <w:tr>
        <w:trPr>
          <w:trHeight w:val="580"/>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6"/>
          </w:tcPr>
          <w:p>
            <w:pPr>
              <w:jc w:val="center"/>
              <w:ind w:right="4700"/>
              <w:spacing w:after="0"/>
              <w:rPr>
                <w:sz w:val="20"/>
                <w:szCs w:val="20"/>
                <w:color w:val="auto"/>
              </w:rPr>
            </w:pPr>
            <w:r>
              <w:rPr>
                <w:rFonts w:ascii="Arial" w:cs="Arial" w:eastAsia="Arial" w:hAnsi="Arial"/>
                <w:sz w:val="16"/>
                <w:szCs w:val="16"/>
                <w:b w:val="1"/>
                <w:bCs w:val="1"/>
                <w:color w:val="auto"/>
                <w:w w:val="91"/>
              </w:rPr>
              <w:t>Nevada</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20" w:type="dxa"/>
            <w:vAlign w:val="bottom"/>
            <w:gridSpan w:val="9"/>
          </w:tcPr>
          <w:p>
            <w:pPr>
              <w:jc w:val="center"/>
              <w:ind w:right="3100"/>
              <w:spacing w:after="0"/>
              <w:rPr>
                <w:sz w:val="20"/>
                <w:szCs w:val="20"/>
                <w:color w:val="auto"/>
              </w:rPr>
            </w:pPr>
            <w:r>
              <w:rPr>
                <w:rFonts w:ascii="Arial" w:cs="Arial" w:eastAsia="Arial" w:hAnsi="Arial"/>
                <w:sz w:val="16"/>
                <w:szCs w:val="16"/>
                <w:color w:val="auto"/>
                <w:w w:val="95"/>
              </w:rPr>
              <w:t>(State or other jurisdiction of incorporation)</w:t>
            </w:r>
          </w:p>
        </w:tc>
        <w:tc>
          <w:tcPr>
            <w:tcW w:w="0" w:type="dxa"/>
            <w:vAlign w:val="bottom"/>
          </w:tcPr>
          <w:p>
            <w:pPr>
              <w:spacing w:after="0"/>
              <w:rPr>
                <w:sz w:val="1"/>
                <w:szCs w:val="1"/>
                <w:color w:val="auto"/>
              </w:rPr>
            </w:pPr>
          </w:p>
        </w:tc>
      </w:tr>
      <w:tr>
        <w:trPr>
          <w:trHeight w:val="177"/>
        </w:trPr>
        <w:tc>
          <w:tcPr>
            <w:tcW w:w="1440" w:type="dxa"/>
            <w:vAlign w:val="bottom"/>
          </w:tcPr>
          <w:p>
            <w:pPr>
              <w:spacing w:after="0"/>
              <w:rPr>
                <w:sz w:val="15"/>
                <w:szCs w:val="15"/>
                <w:color w:val="auto"/>
              </w:rPr>
            </w:pPr>
          </w:p>
        </w:tc>
        <w:tc>
          <w:tcPr>
            <w:tcW w:w="3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5"/>
              </w:rPr>
              <w:t>2836</w:t>
            </w:r>
          </w:p>
        </w:tc>
        <w:tc>
          <w:tcPr>
            <w:tcW w:w="1860" w:type="dxa"/>
            <w:vAlign w:val="bottom"/>
          </w:tcPr>
          <w:p>
            <w:pPr>
              <w:spacing w:after="0"/>
              <w:rPr>
                <w:sz w:val="15"/>
                <w:szCs w:val="15"/>
                <w:color w:val="auto"/>
              </w:rPr>
            </w:pPr>
          </w:p>
        </w:tc>
        <w:tc>
          <w:tcPr>
            <w:tcW w:w="5280" w:type="dxa"/>
            <w:vAlign w:val="bottom"/>
            <w:gridSpan w:val="7"/>
          </w:tcPr>
          <w:p>
            <w:pPr>
              <w:spacing w:after="0"/>
              <w:rPr>
                <w:sz w:val="15"/>
                <w:szCs w:val="15"/>
                <w:color w:val="auto"/>
              </w:rPr>
            </w:pPr>
          </w:p>
        </w:tc>
        <w:tc>
          <w:tcPr>
            <w:tcW w:w="1540" w:type="dxa"/>
            <w:vAlign w:val="bottom"/>
            <w:gridSpan w:val="2"/>
          </w:tcPr>
          <w:p>
            <w:pPr>
              <w:jc w:val="right"/>
              <w:ind w:right="740"/>
              <w:spacing w:after="0" w:line="177" w:lineRule="exact"/>
              <w:rPr>
                <w:sz w:val="20"/>
                <w:szCs w:val="20"/>
                <w:color w:val="auto"/>
              </w:rPr>
            </w:pPr>
            <w:r>
              <w:rPr>
                <w:rFonts w:ascii="Arial" w:cs="Arial" w:eastAsia="Arial" w:hAnsi="Arial"/>
                <w:sz w:val="16"/>
                <w:szCs w:val="16"/>
                <w:b w:val="1"/>
                <w:bCs w:val="1"/>
                <w:color w:val="auto"/>
                <w:w w:val="91"/>
              </w:rPr>
              <w:t>88-0277072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gridSpan w:val="3"/>
          </w:tcPr>
          <w:p>
            <w:pPr>
              <w:jc w:val="center"/>
              <w:ind w:right="420"/>
              <w:spacing w:after="0"/>
              <w:rPr>
                <w:sz w:val="20"/>
                <w:szCs w:val="20"/>
                <w:color w:val="auto"/>
              </w:rPr>
            </w:pPr>
            <w:r>
              <w:rPr>
                <w:rFonts w:ascii="Arial" w:cs="Arial" w:eastAsia="Arial" w:hAnsi="Arial"/>
                <w:sz w:val="16"/>
                <w:szCs w:val="16"/>
                <w:color w:val="auto"/>
                <w:w w:val="94"/>
              </w:rPr>
              <w:t>(Primary Standard Industrial Classification Code</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
          </w:tcPr>
          <w:p>
            <w:pPr>
              <w:jc w:val="center"/>
              <w:ind w:left="1978"/>
              <w:spacing w:after="0"/>
              <w:rPr>
                <w:sz w:val="20"/>
                <w:szCs w:val="20"/>
                <w:color w:val="auto"/>
              </w:rPr>
            </w:pPr>
            <w:r>
              <w:rPr>
                <w:rFonts w:ascii="Arial" w:cs="Arial" w:eastAsia="Arial" w:hAnsi="Arial"/>
                <w:sz w:val="16"/>
                <w:szCs w:val="16"/>
                <w:color w:val="auto"/>
                <w:w w:val="96"/>
              </w:rPr>
              <w:t>(IRS Employer Identification No.)</w:t>
            </w:r>
          </w:p>
        </w:tc>
        <w:tc>
          <w:tcPr>
            <w:tcW w:w="0" w:type="dxa"/>
            <w:vAlign w:val="bottom"/>
          </w:tcPr>
          <w:p>
            <w:pPr>
              <w:spacing w:after="0"/>
              <w:rPr>
                <w:sz w:val="1"/>
                <w:szCs w:val="1"/>
                <w:color w:val="auto"/>
              </w:rPr>
            </w:pPr>
          </w:p>
        </w:tc>
      </w:tr>
      <w:tr>
        <w:trPr>
          <w:trHeight w:val="208"/>
        </w:trPr>
        <w:tc>
          <w:tcPr>
            <w:tcW w:w="3640" w:type="dxa"/>
            <w:vAlign w:val="bottom"/>
            <w:gridSpan w:val="3"/>
          </w:tcPr>
          <w:p>
            <w:pPr>
              <w:jc w:val="center"/>
              <w:ind w:right="420"/>
              <w:spacing w:after="0"/>
              <w:rPr>
                <w:sz w:val="20"/>
                <w:szCs w:val="20"/>
                <w:color w:val="auto"/>
              </w:rPr>
            </w:pPr>
            <w:r>
              <w:rPr>
                <w:rFonts w:ascii="Arial" w:cs="Arial" w:eastAsia="Arial" w:hAnsi="Arial"/>
                <w:sz w:val="16"/>
                <w:szCs w:val="16"/>
                <w:color w:val="auto"/>
                <w:w w:val="93"/>
              </w:rPr>
              <w:t>Number)</w:t>
            </w:r>
          </w:p>
        </w:tc>
        <w:tc>
          <w:tcPr>
            <w:tcW w:w="6820" w:type="dxa"/>
            <w:vAlign w:val="bottom"/>
            <w:gridSpan w:val="9"/>
            <w:vMerge w:val="restart"/>
          </w:tcPr>
          <w:p>
            <w:pPr>
              <w:jc w:val="center"/>
              <w:ind w:right="3100"/>
              <w:spacing w:after="0"/>
              <w:rPr>
                <w:sz w:val="20"/>
                <w:szCs w:val="20"/>
                <w:color w:val="auto"/>
              </w:rPr>
            </w:pPr>
            <w:r>
              <w:rPr>
                <w:rFonts w:ascii="Arial" w:cs="Arial" w:eastAsia="Arial" w:hAnsi="Arial"/>
                <w:sz w:val="16"/>
                <w:szCs w:val="16"/>
                <w:b w:val="1"/>
                <w:bCs w:val="1"/>
                <w:color w:val="auto"/>
                <w:w w:val="91"/>
              </w:rPr>
              <w:t>1551 Eastlake Avenue East,</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8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40" w:type="dxa"/>
            <w:vAlign w:val="bottom"/>
            <w:gridSpan w:val="8"/>
          </w:tcPr>
          <w:p>
            <w:pPr>
              <w:jc w:val="center"/>
              <w:ind w:right="4180"/>
              <w:spacing w:after="0"/>
              <w:rPr>
                <w:sz w:val="20"/>
                <w:szCs w:val="20"/>
                <w:color w:val="auto"/>
              </w:rPr>
            </w:pPr>
            <w:r>
              <w:rPr>
                <w:rFonts w:ascii="Arial" w:cs="Arial" w:eastAsia="Arial" w:hAnsi="Arial"/>
                <w:sz w:val="16"/>
                <w:szCs w:val="16"/>
                <w:b w:val="1"/>
                <w:bCs w:val="1"/>
                <w:color w:val="auto"/>
                <w:w w:val="93"/>
              </w:rPr>
              <w:t>Suite 100, Seattle, WA</w:t>
            </w:r>
          </w:p>
        </w:tc>
        <w:tc>
          <w:tcPr>
            <w:tcW w:w="0" w:type="dxa"/>
            <w:vAlign w:val="bottom"/>
          </w:tcPr>
          <w:p>
            <w:pPr>
              <w:spacing w:after="0"/>
              <w:rPr>
                <w:sz w:val="1"/>
                <w:szCs w:val="1"/>
                <w:color w:val="auto"/>
              </w:rPr>
            </w:pPr>
          </w:p>
        </w:tc>
      </w:tr>
      <w:tr>
        <w:trPr>
          <w:trHeight w:val="177"/>
        </w:trPr>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040" w:type="dxa"/>
            <w:vAlign w:val="bottom"/>
            <w:tcBorders>
              <w:bottom w:val="single" w:sz="8" w:color="auto"/>
            </w:tcBorders>
            <w:gridSpan w:val="3"/>
          </w:tcPr>
          <w:p>
            <w:pPr>
              <w:jc w:val="center"/>
              <w:spacing w:after="0" w:line="177" w:lineRule="exact"/>
              <w:rPr>
                <w:sz w:val="20"/>
                <w:szCs w:val="20"/>
                <w:color w:val="auto"/>
              </w:rPr>
            </w:pPr>
            <w:r>
              <w:rPr>
                <w:rFonts w:ascii="Arial" w:cs="Arial" w:eastAsia="Arial" w:hAnsi="Arial"/>
                <w:sz w:val="16"/>
                <w:szCs w:val="16"/>
                <w:b w:val="1"/>
                <w:bCs w:val="1"/>
                <w:color w:val="auto"/>
                <w:w w:val="95"/>
              </w:rPr>
              <w:t>(206) 504-7278</w:t>
            </w: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Sierra Corporate Services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100 West Liberty Street, 10th Floor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Reno, Nevada 89501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Including Area Code, of Agent for Service)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Copies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William S. Rosenstadt</w:t>
      </w:r>
    </w:p>
    <w:p>
      <w:pPr>
        <w:sectPr>
          <w:pgSz w:w="11900" w:h="16838" w:orient="portrait"/>
          <w:cols w:equalWidth="0" w:num="1">
            <w:col w:w="11421"/>
          </w:cols>
          <w:pgMar w:left="239" w:top="657"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Sanders Ortoli Vaughn-Flam Rosenstadt LLP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501 Madison Avenue – 14th Floor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York, NY 10022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Telephone: 212-588-0022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Fax: 212-826-9307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As soon as practicable after this registration statement becomes effective.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Approximate date of commencement of proposed sale to the public</w:t>
      </w:r>
    </w:p>
    <w:p>
      <w:pPr>
        <w:spacing w:after="0" w:line="199"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x</w:t>
      </w:r>
    </w:p>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0"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If this Form is a post-effective amendment filed pursuant to Rule 462(c) under the Securities Act of 1933, check the following box and list the Securities Act registration statement number of the earlier effective registration statement for the same offering. o</w:t>
      </w:r>
    </w:p>
    <w:p>
      <w:pPr>
        <w:spacing w:after="0" w:line="150"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If this Form is a post-effective amendment filed pursuant to Rule 462(d) under the Securities Act of 1933, check the following box and list the Securities Act registration statement number of the earlier effective registration statement for the same offering. o</w:t>
      </w:r>
    </w:p>
    <w:p>
      <w:pPr>
        <w:spacing w:after="0" w:line="150"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ind w:left="580"/>
              <w:spacing w:after="0"/>
              <w:rPr>
                <w:sz w:val="20"/>
                <w:szCs w:val="20"/>
                <w:color w:val="auto"/>
              </w:rPr>
            </w:pPr>
            <w:r>
              <w:rPr>
                <w:rFonts w:ascii="Arial" w:cs="Arial" w:eastAsia="Arial" w:hAnsi="Arial"/>
                <w:sz w:val="16"/>
                <w:szCs w:val="16"/>
                <w:color w:val="auto"/>
              </w:rPr>
              <w:t>Large accelerated filer o</w:t>
            </w:r>
          </w:p>
        </w:tc>
        <w:tc>
          <w:tcPr>
            <w:tcW w:w="5480" w:type="dxa"/>
            <w:vAlign w:val="bottom"/>
          </w:tcPr>
          <w:p>
            <w:pPr>
              <w:ind w:left="740"/>
              <w:spacing w:after="0"/>
              <w:rPr>
                <w:sz w:val="20"/>
                <w:szCs w:val="20"/>
                <w:color w:val="auto"/>
              </w:rPr>
            </w:pPr>
            <w:r>
              <w:rPr>
                <w:rFonts w:ascii="Arial" w:cs="Arial" w:eastAsia="Arial" w:hAnsi="Arial"/>
                <w:sz w:val="16"/>
                <w:szCs w:val="16"/>
                <w:color w:val="auto"/>
              </w:rPr>
              <w:t>Accelerated filer o</w:t>
            </w:r>
          </w:p>
        </w:tc>
      </w:tr>
      <w:tr>
        <w:trPr>
          <w:trHeight w:val="208"/>
        </w:trPr>
        <w:tc>
          <w:tcPr>
            <w:tcW w:w="5940" w:type="dxa"/>
            <w:vAlign w:val="bottom"/>
          </w:tcPr>
          <w:p>
            <w:pPr>
              <w:ind w:left="580"/>
              <w:spacing w:after="0"/>
              <w:rPr>
                <w:sz w:val="20"/>
                <w:szCs w:val="20"/>
                <w:color w:val="auto"/>
              </w:rPr>
            </w:pPr>
            <w:r>
              <w:rPr>
                <w:rFonts w:ascii="Arial" w:cs="Arial" w:eastAsia="Arial" w:hAnsi="Arial"/>
                <w:sz w:val="16"/>
                <w:szCs w:val="16"/>
                <w:color w:val="auto"/>
              </w:rPr>
              <w:t>Non-accelerated filer o (Do not check if a smaller reporting company)</w:t>
            </w:r>
          </w:p>
        </w:tc>
        <w:tc>
          <w:tcPr>
            <w:tcW w:w="5480" w:type="dxa"/>
            <w:vAlign w:val="bottom"/>
          </w:tcPr>
          <w:p>
            <w:pPr>
              <w:ind w:left="740"/>
              <w:spacing w:after="0"/>
              <w:rPr>
                <w:sz w:val="20"/>
                <w:szCs w:val="20"/>
                <w:color w:val="auto"/>
              </w:rPr>
            </w:pPr>
            <w:r>
              <w:rPr>
                <w:rFonts w:ascii="Arial" w:cs="Arial" w:eastAsia="Arial" w:hAnsi="Arial"/>
                <w:sz w:val="16"/>
                <w:szCs w:val="16"/>
                <w:color w:val="auto"/>
              </w:rPr>
              <w:t>Smaller reporting company x</w:t>
            </w:r>
          </w:p>
        </w:tc>
      </w:tr>
      <w:tr>
        <w:trPr>
          <w:trHeight w:val="773"/>
        </w:trPr>
        <w:tc>
          <w:tcPr>
            <w:tcW w:w="59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4280" w:type="dxa"/>
            <w:vAlign w:val="bottom"/>
            <w:gridSpan w:val="7"/>
          </w:tcPr>
          <w:p>
            <w:pPr>
              <w:jc w:val="right"/>
              <w:ind w:right="820"/>
              <w:spacing w:after="0"/>
              <w:rPr>
                <w:sz w:val="20"/>
                <w:szCs w:val="20"/>
                <w:color w:val="auto"/>
              </w:rPr>
            </w:pPr>
            <w:r>
              <w:rPr>
                <w:rFonts w:ascii="Arial" w:cs="Arial" w:eastAsia="Arial" w:hAnsi="Arial"/>
                <w:sz w:val="16"/>
                <w:szCs w:val="16"/>
                <w:b w:val="1"/>
                <w:bCs w:val="1"/>
                <w:color w:val="auto"/>
              </w:rPr>
              <w:t>CALCULATION OF REGISTRATION FEE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79"/>
        </w:trPr>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6"/>
              </w:rPr>
              <w:t>Proposed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7"/>
        </w:trPr>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7"/>
              </w:rPr>
              <w:t>Maximum</w:t>
            </w: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Proposed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6"/>
              </w:rPr>
              <w:t>Offering</w:t>
            </w: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Maximum</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1"/>
              </w:rPr>
              <w:t>Price</w:t>
            </w: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Aggregate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78"/>
              <w:spacing w:after="0"/>
              <w:rPr>
                <w:sz w:val="20"/>
                <w:szCs w:val="20"/>
                <w:color w:val="auto"/>
              </w:rPr>
            </w:pPr>
            <w:r>
              <w:rPr>
                <w:rFonts w:ascii="Arial" w:cs="Arial" w:eastAsia="Arial" w:hAnsi="Arial"/>
                <w:sz w:val="16"/>
                <w:szCs w:val="16"/>
                <w:b w:val="1"/>
                <w:bCs w:val="1"/>
                <w:color w:val="auto"/>
                <w:w w:val="94"/>
              </w:rPr>
              <w:t>Amount of</w:t>
            </w:r>
          </w:p>
        </w:tc>
      </w:tr>
      <w:tr>
        <w:trPr>
          <w:trHeight w:val="197"/>
        </w:trPr>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Amount to Be</w:t>
            </w:r>
          </w:p>
        </w:tc>
        <w:tc>
          <w:tcPr>
            <w:tcW w:w="120" w:type="dxa"/>
            <w:vAlign w:val="bottom"/>
          </w:tcPr>
          <w:p>
            <w:pPr>
              <w:spacing w:after="0"/>
              <w:rPr>
                <w:sz w:val="17"/>
                <w:szCs w:val="17"/>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2"/>
              </w:rPr>
              <w:t>Per</w:t>
            </w: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Offering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58"/>
              <w:spacing w:after="0"/>
              <w:rPr>
                <w:sz w:val="20"/>
                <w:szCs w:val="20"/>
                <w:color w:val="auto"/>
              </w:rPr>
            </w:pPr>
            <w:r>
              <w:rPr>
                <w:rFonts w:ascii="Arial" w:cs="Arial" w:eastAsia="Arial" w:hAnsi="Arial"/>
                <w:sz w:val="16"/>
                <w:szCs w:val="16"/>
                <w:b w:val="1"/>
                <w:bCs w:val="1"/>
                <w:color w:val="auto"/>
                <w:w w:val="92"/>
              </w:rPr>
              <w:t>Registration</w:t>
            </w:r>
          </w:p>
        </w:tc>
      </w:tr>
      <w:tr>
        <w:trPr>
          <w:trHeight w:val="214"/>
        </w:trPr>
        <w:tc>
          <w:tcPr>
            <w:tcW w:w="3840" w:type="dxa"/>
            <w:vAlign w:val="bottom"/>
            <w:tcBorders>
              <w:bottom w:val="single" w:sz="8" w:color="auto"/>
            </w:tcBorders>
          </w:tcPr>
          <w:p>
            <w:pPr>
              <w:spacing w:after="0" w:line="213" w:lineRule="exact"/>
              <w:rPr>
                <w:sz w:val="20"/>
                <w:szCs w:val="20"/>
                <w:color w:val="auto"/>
              </w:rPr>
            </w:pPr>
            <w:r>
              <w:rPr>
                <w:rFonts w:ascii="Arial" w:cs="Arial" w:eastAsia="Arial" w:hAnsi="Arial"/>
                <w:sz w:val="16"/>
                <w:szCs w:val="16"/>
                <w:b w:val="1"/>
                <w:bCs w:val="1"/>
                <w:color w:val="auto"/>
                <w:w w:val="97"/>
              </w:rPr>
              <w:t>Title of Each Class of Securities to Be Registered</w:t>
            </w:r>
            <w:r>
              <w:rPr>
                <w:rFonts w:ascii="Arial" w:cs="Arial" w:eastAsia="Arial" w:hAnsi="Arial"/>
                <w:sz w:val="22"/>
                <w:szCs w:val="22"/>
                <w:b w:val="1"/>
                <w:bCs w:val="1"/>
                <w:color w:val="auto"/>
                <w:w w:val="97"/>
                <w:vertAlign w:val="superscript"/>
              </w:rPr>
              <w:t>(2)</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Registered</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94"/>
              </w:rPr>
              <w:t>Security (1)</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1"/>
              </w:rPr>
              <w:t>Price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6"/>
              </w:rPr>
              <w:t>Fee</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1"/>
        </w:trPr>
        <w:tc>
          <w:tcPr>
            <w:tcW w:w="3840" w:type="dxa"/>
            <w:vAlign w:val="bottom"/>
          </w:tcPr>
          <w:p>
            <w:pPr>
              <w:spacing w:after="0"/>
              <w:rPr>
                <w:sz w:val="20"/>
                <w:szCs w:val="20"/>
                <w:color w:val="auto"/>
              </w:rPr>
            </w:pPr>
            <w:r>
              <w:rPr>
                <w:rFonts w:ascii="Arial" w:cs="Arial" w:eastAsia="Arial" w:hAnsi="Arial"/>
                <w:sz w:val="16"/>
                <w:szCs w:val="16"/>
                <w:color w:val="auto"/>
              </w:rPr>
              <w:t>August 2014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1,886,792</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500"/>
              <w:spacing w:after="0"/>
              <w:rPr>
                <w:sz w:val="20"/>
                <w:szCs w:val="20"/>
                <w:color w:val="auto"/>
              </w:rPr>
            </w:pPr>
            <w:r>
              <w:rPr>
                <w:rFonts w:ascii="Arial" w:cs="Arial" w:eastAsia="Arial" w:hAnsi="Arial"/>
                <w:sz w:val="16"/>
                <w:szCs w:val="16"/>
                <w:color w:val="auto"/>
              </w:rPr>
              <w:t>_____</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________</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_____</w:t>
            </w: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A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7,320,000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B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7,320,000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C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7,320,000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D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7,320,000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E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7,320,000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A-1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5,000,000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B-1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5,000,000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C-1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5,000,000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D-1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5,000,000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Series E-1 Warrants</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5,000,000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4"/>
        </w:trPr>
        <w:tc>
          <w:tcPr>
            <w:tcW w:w="3840" w:type="dxa"/>
            <w:vAlign w:val="bottom"/>
          </w:tcPr>
          <w:p>
            <w:pPr>
              <w:spacing w:after="0"/>
              <w:rPr>
                <w:sz w:val="20"/>
                <w:szCs w:val="20"/>
                <w:color w:val="auto"/>
              </w:rPr>
            </w:pPr>
            <w:r>
              <w:rPr>
                <w:rFonts w:ascii="Arial" w:cs="Arial" w:eastAsia="Arial" w:hAnsi="Arial"/>
                <w:sz w:val="16"/>
                <w:szCs w:val="16"/>
                <w:color w:val="auto"/>
              </w:rPr>
              <w:t>Common Stock</w:t>
            </w:r>
          </w:p>
        </w:tc>
        <w:tc>
          <w:tcPr>
            <w:tcW w:w="2420" w:type="dxa"/>
            <w:vAlign w:val="bottom"/>
            <w:gridSpan w:val="3"/>
          </w:tcPr>
          <w:p>
            <w:pPr>
              <w:jc w:val="right"/>
              <w:spacing w:after="0"/>
              <w:rPr>
                <w:sz w:val="20"/>
                <w:szCs w:val="20"/>
                <w:color w:val="auto"/>
              </w:rPr>
            </w:pPr>
            <w:r>
              <w:rPr>
                <w:rFonts w:ascii="Arial" w:cs="Arial" w:eastAsia="Arial" w:hAnsi="Arial"/>
                <w:sz w:val="16"/>
                <w:szCs w:val="16"/>
                <w:color w:val="auto"/>
              </w:rPr>
              <w:t>5,000,000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3840" w:type="dxa"/>
            <w:vAlign w:val="bottom"/>
          </w:tcPr>
          <w:p>
            <w:pPr>
              <w:ind w:left="580"/>
              <w:spacing w:after="0"/>
              <w:rPr>
                <w:sz w:val="20"/>
                <w:szCs w:val="20"/>
                <w:color w:val="auto"/>
              </w:rPr>
            </w:pPr>
            <w:r>
              <w:rPr>
                <w:rFonts w:ascii="Arial" w:cs="Arial" w:eastAsia="Arial" w:hAnsi="Arial"/>
                <w:sz w:val="16"/>
                <w:szCs w:val="16"/>
                <w:color w:val="auto"/>
              </w:rPr>
              <w:t>Total:</w:t>
            </w:r>
          </w:p>
        </w:tc>
        <w:tc>
          <w:tcPr>
            <w:tcW w:w="1020" w:type="dxa"/>
            <w:vAlign w:val="bottom"/>
            <w:gridSpan w:val="2"/>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68,486,792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bl>
    <w:p>
      <w:pPr>
        <w:spacing w:after="0" w:line="173" w:lineRule="exact"/>
        <w:rPr>
          <w:sz w:val="20"/>
          <w:szCs w:val="20"/>
          <w:color w:val="auto"/>
        </w:rPr>
      </w:pPr>
    </w:p>
    <w:p>
      <w:pPr>
        <w:ind w:left="380" w:hanging="286"/>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 under the Securities Act of 1933, as amended.</w:t>
      </w:r>
    </w:p>
    <w:p>
      <w:pPr>
        <w:spacing w:after="0" w:line="24" w:lineRule="exact"/>
        <w:rPr>
          <w:rFonts w:ascii="Arial" w:cs="Arial" w:eastAsia="Arial" w:hAnsi="Arial"/>
          <w:sz w:val="16"/>
          <w:szCs w:val="16"/>
          <w:color w:val="auto"/>
        </w:rPr>
      </w:pPr>
    </w:p>
    <w:p>
      <w:pPr>
        <w:ind w:left="380" w:hanging="286"/>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were previously included in Registration Statement No. 333-196115 for which all filing fees were paid.</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878205</wp:posOffset>
            </wp:positionV>
            <wp:extent cx="726376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filed a registration statement on Form S-3 (Registration No. 333-196115) (as amended on July 21, 2014, the “Original Registration Statement”) declared effective by the Securities and Exchange Commission on July 23, 2014, which registered shares of our common stock, warrants and shares of our common stock underlying those warrants. In connection with the Original Registration Statement, we offered and sold shares of our common stock and warrants to purchase shares of our common stock pursuant to prospectus supplements filed with the U.S. Securities and Exchange Commission on August 13, 2014, January 12, 2015 and March 9, 2015. We are filing this Post-Effective Amendment No. 2 to Form S-3/A on Form S-1 to amend the Original Registration Statement (as amended by Post-Effective Amendment No.1 to Form S-3/A on Form S-1, filed on June 19, 2015) into a registration statement on Form S-1 to:</w:t>
      </w:r>
    </w:p>
    <w:p>
      <w:pPr>
        <w:spacing w:after="0" w:line="392" w:lineRule="exact"/>
        <w:rPr>
          <w:sz w:val="20"/>
          <w:szCs w:val="20"/>
          <w:color w:val="auto"/>
        </w:rPr>
      </w:pPr>
    </w:p>
    <w:p>
      <w:pPr>
        <w:ind w:left="580" w:hanging="286"/>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continue the registration of:</w:t>
      </w:r>
    </w:p>
    <w:p>
      <w:pPr>
        <w:spacing w:after="0" w:line="210" w:lineRule="exact"/>
        <w:rPr>
          <w:rFonts w:ascii="Arial" w:cs="Arial" w:eastAsia="Arial" w:hAnsi="Arial"/>
          <w:sz w:val="16"/>
          <w:szCs w:val="16"/>
          <w:color w:val="auto"/>
        </w:rPr>
      </w:pPr>
    </w:p>
    <w:p>
      <w:pPr>
        <w:ind w:left="880" w:hanging="290"/>
        <w:spacing w:after="0"/>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1,886,792 shares of common stock issuable upon exercise of warrants originally issued subject to a Prospectus Supplement dated August 13, 2014,</w:t>
      </w:r>
    </w:p>
    <w:p>
      <w:pPr>
        <w:spacing w:after="0" w:line="234" w:lineRule="exact"/>
        <w:rPr>
          <w:rFonts w:ascii="Arial" w:cs="Arial" w:eastAsia="Arial" w:hAnsi="Arial"/>
          <w:sz w:val="16"/>
          <w:szCs w:val="16"/>
          <w:color w:val="auto"/>
        </w:rPr>
      </w:pPr>
    </w:p>
    <w:p>
      <w:pPr>
        <w:ind w:left="880" w:right="380" w:hanging="290"/>
        <w:spacing w:after="0" w:line="288"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A Warrants originally issued subject to a Prospectus Supplement dated January 12, 2015,</w:t>
      </w:r>
    </w:p>
    <w:p>
      <w:pPr>
        <w:spacing w:after="0" w:line="174" w:lineRule="exact"/>
        <w:rPr>
          <w:rFonts w:ascii="Arial" w:cs="Arial" w:eastAsia="Arial" w:hAnsi="Arial"/>
          <w:sz w:val="16"/>
          <w:szCs w:val="16"/>
          <w:color w:val="auto"/>
        </w:rPr>
      </w:pPr>
    </w:p>
    <w:p>
      <w:pPr>
        <w:ind w:left="880" w:right="400" w:hanging="290"/>
        <w:spacing w:after="0" w:line="288"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B Warrants originally issued subject to a Prospectus Supplement dated January 12, 2015,</w:t>
      </w:r>
    </w:p>
    <w:p>
      <w:pPr>
        <w:spacing w:after="0" w:line="174" w:lineRule="exact"/>
        <w:rPr>
          <w:rFonts w:ascii="Arial" w:cs="Arial" w:eastAsia="Arial" w:hAnsi="Arial"/>
          <w:sz w:val="16"/>
          <w:szCs w:val="16"/>
          <w:color w:val="auto"/>
        </w:rPr>
      </w:pPr>
    </w:p>
    <w:p>
      <w:pPr>
        <w:ind w:left="880" w:right="400" w:hanging="290"/>
        <w:spacing w:after="0" w:line="288"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C Warrants originally issued subject to a Prospectus Supplement dated January 12, 2015,</w:t>
      </w:r>
    </w:p>
    <w:p>
      <w:pPr>
        <w:spacing w:after="0" w:line="174" w:lineRule="exact"/>
        <w:rPr>
          <w:rFonts w:ascii="Arial" w:cs="Arial" w:eastAsia="Arial" w:hAnsi="Arial"/>
          <w:sz w:val="16"/>
          <w:szCs w:val="16"/>
          <w:color w:val="auto"/>
        </w:rPr>
      </w:pPr>
    </w:p>
    <w:p>
      <w:pPr>
        <w:ind w:left="880" w:right="380" w:hanging="290"/>
        <w:spacing w:after="0" w:line="288"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D Warrants originally issued subject to a Prospectus Supplement dated January 12, 2015,</w:t>
      </w:r>
    </w:p>
    <w:p>
      <w:pPr>
        <w:spacing w:after="0" w:line="174" w:lineRule="exact"/>
        <w:rPr>
          <w:rFonts w:ascii="Arial" w:cs="Arial" w:eastAsia="Arial" w:hAnsi="Arial"/>
          <w:sz w:val="16"/>
          <w:szCs w:val="16"/>
          <w:color w:val="auto"/>
        </w:rPr>
      </w:pPr>
    </w:p>
    <w:p>
      <w:pPr>
        <w:ind w:left="880" w:hanging="290"/>
        <w:spacing w:after="0"/>
        <w:tabs>
          <w:tab w:leader="none" w:pos="880" w:val="left"/>
        </w:tabs>
        <w:numPr>
          <w:ilvl w:val="1"/>
          <w:numId w:val="8"/>
        </w:numPr>
        <w:rPr>
          <w:rFonts w:ascii="Arial" w:cs="Arial" w:eastAsia="Arial" w:hAnsi="Arial"/>
          <w:sz w:val="14"/>
          <w:szCs w:val="14"/>
          <w:color w:val="auto"/>
        </w:rPr>
      </w:pPr>
      <w:r>
        <w:rPr>
          <w:rFonts w:ascii="Arial" w:cs="Arial" w:eastAsia="Arial" w:hAnsi="Arial"/>
          <w:sz w:val="14"/>
          <w:szCs w:val="14"/>
          <w:color w:val="auto"/>
        </w:rPr>
        <w:t>7,320,000 shares of common stock issuable upon exercise of the Series E Warrants originally issued subject to a Prospectus Supplement dated January 12, 2015,</w:t>
      </w:r>
    </w:p>
    <w:p>
      <w:pPr>
        <w:spacing w:after="0" w:line="257" w:lineRule="exact"/>
        <w:rPr>
          <w:rFonts w:ascii="Arial" w:cs="Arial" w:eastAsia="Arial" w:hAnsi="Arial"/>
          <w:sz w:val="14"/>
          <w:szCs w:val="14"/>
          <w:color w:val="auto"/>
        </w:rPr>
      </w:pPr>
    </w:p>
    <w:p>
      <w:pPr>
        <w:ind w:left="880" w:hanging="290"/>
        <w:spacing w:after="0"/>
        <w:tabs>
          <w:tab w:leader="none" w:pos="880" w:val="left"/>
        </w:tabs>
        <w:numPr>
          <w:ilvl w:val="1"/>
          <w:numId w:val="8"/>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A-1 Warrants originally issued subject to a Prospectus Supplement dated March 9, 2015,</w:t>
      </w:r>
    </w:p>
    <w:p>
      <w:pPr>
        <w:spacing w:after="0" w:line="257" w:lineRule="exact"/>
        <w:rPr>
          <w:rFonts w:ascii="Arial" w:cs="Arial" w:eastAsia="Arial" w:hAnsi="Arial"/>
          <w:sz w:val="14"/>
          <w:szCs w:val="14"/>
          <w:color w:val="auto"/>
        </w:rPr>
      </w:pPr>
    </w:p>
    <w:p>
      <w:pPr>
        <w:ind w:left="880" w:hanging="290"/>
        <w:spacing w:after="0"/>
        <w:tabs>
          <w:tab w:leader="none" w:pos="880" w:val="left"/>
        </w:tabs>
        <w:numPr>
          <w:ilvl w:val="1"/>
          <w:numId w:val="8"/>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B-1 Warrants originally issued subject to a Prospectus Supplement dated March 9, 2015,</w:t>
      </w:r>
    </w:p>
    <w:p>
      <w:pPr>
        <w:spacing w:after="0" w:line="257" w:lineRule="exact"/>
        <w:rPr>
          <w:rFonts w:ascii="Arial" w:cs="Arial" w:eastAsia="Arial" w:hAnsi="Arial"/>
          <w:sz w:val="14"/>
          <w:szCs w:val="14"/>
          <w:color w:val="auto"/>
        </w:rPr>
      </w:pPr>
    </w:p>
    <w:p>
      <w:pPr>
        <w:ind w:left="880" w:hanging="290"/>
        <w:spacing w:after="0"/>
        <w:tabs>
          <w:tab w:leader="none" w:pos="880" w:val="left"/>
        </w:tabs>
        <w:numPr>
          <w:ilvl w:val="1"/>
          <w:numId w:val="8"/>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C-1 Warrants originally issued subject to a Prospectus Supplement dated March 9, 2015,</w:t>
      </w:r>
    </w:p>
    <w:p>
      <w:pPr>
        <w:spacing w:after="0" w:line="257" w:lineRule="exact"/>
        <w:rPr>
          <w:rFonts w:ascii="Arial" w:cs="Arial" w:eastAsia="Arial" w:hAnsi="Arial"/>
          <w:sz w:val="14"/>
          <w:szCs w:val="14"/>
          <w:color w:val="auto"/>
        </w:rPr>
      </w:pPr>
    </w:p>
    <w:p>
      <w:pPr>
        <w:ind w:left="880" w:hanging="290"/>
        <w:spacing w:after="0"/>
        <w:tabs>
          <w:tab w:leader="none" w:pos="880" w:val="left"/>
        </w:tabs>
        <w:numPr>
          <w:ilvl w:val="1"/>
          <w:numId w:val="8"/>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D-1 Warrants originally issued subject to a Prospectus Supplement dated March 9, 2015,</w:t>
      </w:r>
    </w:p>
    <w:p>
      <w:pPr>
        <w:spacing w:after="0" w:line="257" w:lineRule="exact"/>
        <w:rPr>
          <w:rFonts w:ascii="Arial" w:cs="Arial" w:eastAsia="Arial" w:hAnsi="Arial"/>
          <w:sz w:val="14"/>
          <w:szCs w:val="14"/>
          <w:color w:val="auto"/>
        </w:rPr>
      </w:pPr>
    </w:p>
    <w:p>
      <w:pPr>
        <w:ind w:left="880" w:right="60" w:hanging="290"/>
        <w:spacing w:after="0" w:line="288"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5,000,000 shares of common stock issuable upon exercise of the Series E-1 Warrants originally issued subject to a Prospectus Supplement dated March 9, 2015 and</w:t>
      </w:r>
    </w:p>
    <w:p>
      <w:pPr>
        <w:spacing w:after="0" w:line="174" w:lineRule="exact"/>
        <w:rPr>
          <w:rFonts w:ascii="Arial" w:cs="Arial" w:eastAsia="Arial" w:hAnsi="Arial"/>
          <w:sz w:val="16"/>
          <w:szCs w:val="16"/>
          <w:color w:val="auto"/>
        </w:rPr>
      </w:pPr>
    </w:p>
    <w:p>
      <w:pPr>
        <w:ind w:left="880" w:hanging="290"/>
        <w:spacing w:after="0"/>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5,000,000 shares of common stock originally issued subject to a Prospectus Supplement dated March 9, 2015,</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such warrants and shares underlying the warrants having been previously registered on the Original Registration Statement, and</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(ii) remove from registration the unsold portion of securities registered under the Original Registration Statement.</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765810</wp:posOffset>
            </wp:positionV>
            <wp:extent cx="726376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6"/>
          <w:szCs w:val="16"/>
          <w:b w:val="1"/>
          <w:bCs w:val="1"/>
          <w:i w:val="1"/>
          <w:i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Subject to Completion—Dated July 8, 2015</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300355</wp:posOffset>
            </wp:positionV>
            <wp:extent cx="2510790" cy="128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0790" cy="128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68,486,792 Shares of Common Stock</w:t>
      </w: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prospectus covers the resale of:</w:t>
      </w:r>
    </w:p>
    <w:p>
      <w:pPr>
        <w:spacing w:after="0" w:line="235" w:lineRule="exact"/>
        <w:rPr>
          <w:sz w:val="20"/>
          <w:szCs w:val="20"/>
          <w:color w:val="auto"/>
        </w:rPr>
      </w:pPr>
    </w:p>
    <w:p>
      <w:pPr>
        <w:ind w:left="1180" w:hanging="590"/>
        <w:spacing w:after="0"/>
        <w:tabs>
          <w:tab w:leader="none" w:pos="1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1,886,792 shares of common stock issuable upon exercise of warrants originally issued subject to a Prospectus Supplement dated August 13, 2014,</w:t>
      </w:r>
    </w:p>
    <w:p>
      <w:pPr>
        <w:spacing w:after="0" w:line="246" w:lineRule="exact"/>
        <w:rPr>
          <w:rFonts w:ascii="Arial" w:cs="Arial" w:eastAsia="Arial" w:hAnsi="Arial"/>
          <w:sz w:val="15"/>
          <w:szCs w:val="15"/>
          <w:color w:val="auto"/>
        </w:rPr>
      </w:pPr>
    </w:p>
    <w:p>
      <w:pPr>
        <w:ind w:left="1180" w:right="8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A Warrants originally issued subject to a Prospectus Supplement dated January 12, 2015,</w:t>
      </w:r>
    </w:p>
    <w:p>
      <w:pPr>
        <w:spacing w:after="0" w:line="174" w:lineRule="exact"/>
        <w:rPr>
          <w:rFonts w:ascii="Arial" w:cs="Arial" w:eastAsia="Arial" w:hAnsi="Arial"/>
          <w:sz w:val="16"/>
          <w:szCs w:val="16"/>
          <w:color w:val="auto"/>
        </w:rPr>
      </w:pPr>
    </w:p>
    <w:p>
      <w:pPr>
        <w:ind w:left="1180" w:right="10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B Warrants originally issued subject to a Prospectus Supplement dated January 12, 2015,</w:t>
      </w:r>
    </w:p>
    <w:p>
      <w:pPr>
        <w:spacing w:after="0" w:line="174" w:lineRule="exact"/>
        <w:rPr>
          <w:rFonts w:ascii="Arial" w:cs="Arial" w:eastAsia="Arial" w:hAnsi="Arial"/>
          <w:sz w:val="16"/>
          <w:szCs w:val="16"/>
          <w:color w:val="auto"/>
        </w:rPr>
      </w:pPr>
    </w:p>
    <w:p>
      <w:pPr>
        <w:ind w:left="1180" w:right="10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C Warrants originally issued subject to a Prospectus Supplement dated January 12, 2015,</w:t>
      </w:r>
    </w:p>
    <w:p>
      <w:pPr>
        <w:spacing w:after="0" w:line="174" w:lineRule="exact"/>
        <w:rPr>
          <w:rFonts w:ascii="Arial" w:cs="Arial" w:eastAsia="Arial" w:hAnsi="Arial"/>
          <w:sz w:val="16"/>
          <w:szCs w:val="16"/>
          <w:color w:val="auto"/>
        </w:rPr>
      </w:pPr>
    </w:p>
    <w:p>
      <w:pPr>
        <w:ind w:left="1180" w:right="8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D Warrants originally issued subject to a Prospectus Supplement dated January 12, 2015,</w:t>
      </w:r>
    </w:p>
    <w:p>
      <w:pPr>
        <w:spacing w:after="0" w:line="174" w:lineRule="exact"/>
        <w:rPr>
          <w:rFonts w:ascii="Arial" w:cs="Arial" w:eastAsia="Arial" w:hAnsi="Arial"/>
          <w:sz w:val="16"/>
          <w:szCs w:val="16"/>
          <w:color w:val="auto"/>
        </w:rPr>
      </w:pPr>
    </w:p>
    <w:p>
      <w:pPr>
        <w:ind w:left="1180" w:right="10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7,320,000 shares of common stock issuable upon exercise of the Series E Warrants originally issued subject to a Prospectus Supplement dated January 12, 2015,</w:t>
      </w:r>
    </w:p>
    <w:p>
      <w:pPr>
        <w:spacing w:after="0" w:line="174" w:lineRule="exact"/>
        <w:rPr>
          <w:rFonts w:ascii="Arial" w:cs="Arial" w:eastAsia="Arial" w:hAnsi="Arial"/>
          <w:sz w:val="16"/>
          <w:szCs w:val="16"/>
          <w:color w:val="auto"/>
        </w:rPr>
      </w:pPr>
    </w:p>
    <w:p>
      <w:pPr>
        <w:ind w:left="1180" w:right="12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5,000,000 shares of common stock issuable upon exercise of the Series A-1 Warrants originally issued subject to a Prospectus Supplement dated March 9, 2015,</w:t>
      </w:r>
    </w:p>
    <w:p>
      <w:pPr>
        <w:spacing w:after="0" w:line="149" w:lineRule="exact"/>
        <w:rPr>
          <w:rFonts w:ascii="Arial" w:cs="Arial" w:eastAsia="Arial" w:hAnsi="Arial"/>
          <w:sz w:val="16"/>
          <w:szCs w:val="16"/>
          <w:color w:val="auto"/>
        </w:rPr>
      </w:pPr>
    </w:p>
    <w:p>
      <w:pPr>
        <w:ind w:left="1180" w:right="12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5,000,000 shares of common stock issuable upon exercise of the Series B-1 Warrants originally issued subject to a Prospectus Supplement dated March 9, 2015,</w:t>
      </w:r>
    </w:p>
    <w:p>
      <w:pPr>
        <w:spacing w:after="0" w:line="174" w:lineRule="exact"/>
        <w:rPr>
          <w:rFonts w:ascii="Arial" w:cs="Arial" w:eastAsia="Arial" w:hAnsi="Arial"/>
          <w:sz w:val="16"/>
          <w:szCs w:val="16"/>
          <w:color w:val="auto"/>
        </w:rPr>
      </w:pPr>
    </w:p>
    <w:p>
      <w:pPr>
        <w:ind w:left="1180" w:right="12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5,000,000 shares of common stock issuable upon exercise of the Series C-1 Warrants originally issued subject to a Prospectus Supplement dated March 9, 2015,</w:t>
      </w:r>
    </w:p>
    <w:p>
      <w:pPr>
        <w:spacing w:after="0" w:line="174" w:lineRule="exact"/>
        <w:rPr>
          <w:rFonts w:ascii="Arial" w:cs="Arial" w:eastAsia="Arial" w:hAnsi="Arial"/>
          <w:sz w:val="16"/>
          <w:szCs w:val="16"/>
          <w:color w:val="auto"/>
        </w:rPr>
      </w:pPr>
    </w:p>
    <w:p>
      <w:pPr>
        <w:ind w:left="1180" w:right="12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5,000,000 shares of common stock issuable upon exercise of the Series D-1 Warrants originally issued subject to a Prospectus Supplement dated March 9, 2015,</w:t>
      </w:r>
    </w:p>
    <w:p>
      <w:pPr>
        <w:spacing w:after="0" w:line="174" w:lineRule="exact"/>
        <w:rPr>
          <w:rFonts w:ascii="Arial" w:cs="Arial" w:eastAsia="Arial" w:hAnsi="Arial"/>
          <w:sz w:val="16"/>
          <w:szCs w:val="16"/>
          <w:color w:val="auto"/>
        </w:rPr>
      </w:pPr>
    </w:p>
    <w:p>
      <w:pPr>
        <w:ind w:left="1180" w:right="140" w:hanging="590"/>
        <w:spacing w:after="0" w:line="288"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5,000,000 shares of common stock issuable upon exercise of the Series E-1 Warrants originally issued subject to a Prospectus Supplement dated March 9, 2015 and</w:t>
      </w:r>
    </w:p>
    <w:p>
      <w:pPr>
        <w:spacing w:after="0" w:line="174" w:lineRule="exact"/>
        <w:rPr>
          <w:rFonts w:ascii="Arial" w:cs="Arial" w:eastAsia="Arial" w:hAnsi="Arial"/>
          <w:sz w:val="16"/>
          <w:szCs w:val="16"/>
          <w:color w:val="auto"/>
        </w:rPr>
      </w:pPr>
    </w:p>
    <w:p>
      <w:pPr>
        <w:ind w:left="1180" w:hanging="590"/>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5,000,000 shares of common stock issued to a shareholder on March 9, 2015.</w:t>
      </w:r>
    </w:p>
    <w:p>
      <w:pPr>
        <w:spacing w:after="0" w:line="23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will not receive any proceeds from the resale of any of the shares of common stock being registered hereby sold by the selling stockholders. However, we may receive proceeds from the exercise of the warrants held by the selling stockholders.</w:t>
      </w:r>
    </w:p>
    <w:p>
      <w:pPr>
        <w:spacing w:after="0" w:line="150"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Our common stock is quoted on the OTCQB under the symbol “TPIV.” On July 2, 2015, the last reported sale price of our common stock on the OTCQB was $1.02 per share, and we had approximately 38,038,920 shares of common stock outstanding.</w:t>
      </w:r>
    </w:p>
    <w:p>
      <w:pPr>
        <w:spacing w:after="0" w:line="15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selling stockholders may offer all or part of the shares for resale from time to time through public or private transactions, at either prevailing market prices or at privately negotiated prices.</w:t>
      </w:r>
    </w:p>
    <w:p>
      <w:pPr>
        <w:spacing w:after="0" w:line="15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in our securities involves risks. You should review carefully the risks and uncertainties described under the heading “</w:t>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 on page 1.</w:t>
      </w:r>
    </w:p>
    <w:p>
      <w:pPr>
        <w:spacing w:after="0" w:line="222"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date of this prospectus is July ___, 2015</w:t>
      </w:r>
    </w:p>
    <w:p>
      <w:pPr>
        <w:sectPr>
          <w:pgSz w:w="11900" w:h="16838" w:orient="portrait"/>
          <w:cols w:equalWidth="0" w:num="1">
            <w:col w:w="11420"/>
          </w:cols>
          <w:pgMar w:left="240" w:top="706" w:right="239" w:bottom="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868680</wp:posOffset>
            </wp:positionV>
            <wp:extent cx="726376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8200" w:type="dxa"/>
            <w:vAlign w:val="bottom"/>
          </w:tcPr>
          <w:p>
            <w:pPr>
              <w:ind w:left="5100"/>
              <w:spacing w:after="0"/>
              <w:rPr>
                <w:sz w:val="20"/>
                <w:szCs w:val="20"/>
                <w:color w:val="auto"/>
              </w:rPr>
            </w:pPr>
            <w:r>
              <w:rPr>
                <w:rFonts w:ascii="Arial" w:cs="Arial" w:eastAsia="Arial" w:hAnsi="Arial"/>
                <w:sz w:val="16"/>
                <w:szCs w:val="16"/>
                <w:b w:val="1"/>
                <w:bCs w:val="1"/>
                <w:color w:val="auto"/>
              </w:rPr>
              <w:t>Table of Contents</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25"/>
        </w:trPr>
        <w:tc>
          <w:tcPr>
            <w:tcW w:w="8200" w:type="dxa"/>
            <w:vAlign w:val="bottom"/>
          </w:tcPr>
          <w:p>
            <w:pPr>
              <w:spacing w:after="0"/>
              <w:rPr>
                <w:sz w:val="24"/>
                <w:szCs w:val="24"/>
                <w:color w:val="auto"/>
              </w:rPr>
            </w:pPr>
          </w:p>
        </w:tc>
        <w:tc>
          <w:tcPr>
            <w:tcW w:w="3220" w:type="dxa"/>
            <w:vAlign w:val="bottom"/>
            <w:gridSpan w:val="2"/>
          </w:tcPr>
          <w:p>
            <w:pPr>
              <w:jc w:val="right"/>
              <w:ind w:right="918"/>
              <w:spacing w:after="0"/>
              <w:rPr>
                <w:sz w:val="20"/>
                <w:szCs w:val="20"/>
                <w:color w:val="auto"/>
              </w:rPr>
            </w:pPr>
            <w:r>
              <w:rPr>
                <w:rFonts w:ascii="Arial" w:cs="Arial" w:eastAsia="Arial" w:hAnsi="Arial"/>
                <w:sz w:val="16"/>
                <w:szCs w:val="16"/>
                <w:b w:val="1"/>
                <w:bCs w:val="1"/>
                <w:color w:val="auto"/>
              </w:rPr>
              <w:t>Page</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Prospectus Summary</w:t>
            </w:r>
          </w:p>
        </w:tc>
        <w:tc>
          <w:tcPr>
            <w:tcW w:w="188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i</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Risk Factors</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Selling Stockholders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Plan of Distribution</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Securities to be Registered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Business</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Market For Common Equity and Related Stockholder Matters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Management</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Transactions with Related Persons</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Executive Compensation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Beneficial Ownership of Principal Stockholders, Officers and Directors</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Legal Matters</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Disclosure of Commission Position of Indemnification For Securities Act Liabilities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Where You Can Find Additional Information</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Index to Financial Statements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4270"/>
        </w:trPr>
        <w:tc>
          <w:tcPr>
            <w:tcW w:w="82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PROSPECTUS SUMMARY</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principal product candidates are:</w:t>
      </w:r>
    </w:p>
    <w:p>
      <w:pPr>
        <w:spacing w:after="0" w:line="235" w:lineRule="exact"/>
        <w:rPr>
          <w:sz w:val="20"/>
          <w:szCs w:val="20"/>
          <w:color w:val="auto"/>
        </w:rPr>
      </w:pPr>
    </w:p>
    <w:p>
      <w:pPr>
        <w:ind w:left="1160" w:hanging="570"/>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new Her2/neu breast cancer immunotherapeutic vaccine technology in-licensed from the Mayo Clinic, MN,</w:t>
      </w:r>
    </w:p>
    <w:p>
      <w:pPr>
        <w:spacing w:after="0" w:line="24" w:lineRule="exact"/>
        <w:rPr>
          <w:rFonts w:ascii="Arial" w:cs="Arial" w:eastAsia="Arial" w:hAnsi="Arial"/>
          <w:sz w:val="16"/>
          <w:szCs w:val="16"/>
          <w:color w:val="auto"/>
        </w:rPr>
      </w:pPr>
    </w:p>
    <w:p>
      <w:pPr>
        <w:ind w:left="1160" w:hanging="570"/>
        <w:spacing w:after="0" w:line="257"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Folate Alpha Receptor immunotherapeutic vaccine comprised of a set of unique peptide epitopes targeting both breast cancer and ovarian cancer that we have an option to in-license from the Mayo Clinic,</w:t>
      </w:r>
    </w:p>
    <w:p>
      <w:pPr>
        <w:ind w:left="1160" w:hanging="570"/>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Polystart™, our proprietary immunotherapeutic, nucleic acid-based expression technology,</w:t>
      </w:r>
    </w:p>
    <w:p>
      <w:pPr>
        <w:spacing w:after="0" w:line="13" w:lineRule="exact"/>
        <w:rPr>
          <w:rFonts w:ascii="Arial" w:cs="Arial" w:eastAsia="Arial" w:hAnsi="Arial"/>
          <w:sz w:val="16"/>
          <w:szCs w:val="16"/>
          <w:color w:val="auto"/>
        </w:rPr>
      </w:pPr>
    </w:p>
    <w:p>
      <w:pPr>
        <w:ind w:left="1160" w:hanging="570"/>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TAP, a DNA technology expressing Transporter associated with Antigen Processing, and</w:t>
      </w:r>
    </w:p>
    <w:p>
      <w:pPr>
        <w:spacing w:after="0" w:line="13" w:lineRule="exact"/>
        <w:rPr>
          <w:rFonts w:ascii="Arial" w:cs="Arial" w:eastAsia="Arial" w:hAnsi="Arial"/>
          <w:sz w:val="16"/>
          <w:szCs w:val="16"/>
          <w:color w:val="auto"/>
        </w:rPr>
      </w:pPr>
    </w:p>
    <w:p>
      <w:pPr>
        <w:ind w:left="1160" w:hanging="570"/>
        <w:spacing w:after="0" w:line="274"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field of infectious diseases, use of our technology platforms to create and improve on therapeutic vaccines for pandemic diseases and national preparedness.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Folate Alpha Receptor</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This product candidate was generally well tolerated and safe and generated immune responses in the majority of patients in Phase I, and planning for Phase II is well underway</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6"/>
          <w:szCs w:val="16"/>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Her2/NEU</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strategy with respect to the peptide vaccines is to take them through Phase II clinical trials and then partner with pharmaceutical marketing organizations ahead of Phase III trials.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Polystart™</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We have undertaken preclinical studies with our Polystart™/PAA technology in connection with a vaccine candidate, and we have been encouraged by the results.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 w:name="page12"/>
    <w:bookmarkEnd w:id="11"/>
    <w:p>
      <w:pPr>
        <w:ind w:left="300"/>
        <w:spacing w:after="0"/>
        <w:rPr>
          <w:sz w:val="20"/>
          <w:szCs w:val="20"/>
          <w:color w:val="auto"/>
        </w:rPr>
      </w:pPr>
      <w:r>
        <w:rPr>
          <w:rFonts w:ascii="Arial" w:cs="Arial" w:eastAsia="Arial" w:hAnsi="Arial"/>
          <w:sz w:val="16"/>
          <w:szCs w:val="16"/>
          <w:b w:val="1"/>
          <w:bCs w:val="1"/>
          <w:i w:val="1"/>
          <w:iCs w:val="1"/>
          <w:color w:val="auto"/>
        </w:rPr>
        <w:t>TAP</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TAP is our DNA expression technology designed to make cancer cells more immunogenic. In many solid cancer tumors, the TAP (</w:t>
      </w:r>
      <w:r>
        <w:rPr>
          <w:rFonts w:ascii="Arial" w:cs="Arial" w:eastAsia="Arial" w:hAnsi="Arial"/>
          <w:sz w:val="16"/>
          <w:szCs w:val="16"/>
          <w:b w:val="1"/>
          <w:bCs w:val="1"/>
          <w:color w:val="auto"/>
        </w:rPr>
        <w:t>T</w:t>
      </w:r>
      <w:r>
        <w:rPr>
          <w:rFonts w:ascii="Arial" w:cs="Arial" w:eastAsia="Arial" w:hAnsi="Arial"/>
          <w:sz w:val="16"/>
          <w:szCs w:val="16"/>
          <w:color w:val="auto"/>
        </w:rPr>
        <w:t xml:space="preserve">ransporter associated with </w:t>
      </w:r>
      <w:r>
        <w:rPr>
          <w:rFonts w:ascii="Arial" w:cs="Arial" w:eastAsia="Arial" w:hAnsi="Arial"/>
          <w:sz w:val="16"/>
          <w:szCs w:val="16"/>
          <w:b w:val="1"/>
          <w:bCs w:val="1"/>
          <w:color w:val="auto"/>
        </w:rPr>
        <w:t>A</w:t>
      </w:r>
      <w:r>
        <w:rPr>
          <w:rFonts w:ascii="Arial" w:cs="Arial" w:eastAsia="Arial" w:hAnsi="Arial"/>
          <w:sz w:val="16"/>
          <w:szCs w:val="16"/>
          <w:color w:val="auto"/>
        </w:rPr>
        <w:t xml:space="preserve">ntigen </w:t>
      </w:r>
      <w:r>
        <w:rPr>
          <w:rFonts w:ascii="Arial" w:cs="Arial" w:eastAsia="Arial" w:hAnsi="Arial"/>
          <w:sz w:val="16"/>
          <w:szCs w:val="16"/>
          <w:b w:val="1"/>
          <w:bCs w:val="1"/>
          <w:color w:val="auto"/>
        </w:rPr>
        <w:t>P</w:t>
      </w:r>
      <w:r>
        <w:rPr>
          <w:rFonts w:ascii="Arial" w:cs="Arial" w:eastAsia="Arial" w:hAnsi="Arial"/>
          <w:sz w:val="16"/>
          <w:szCs w:val="16"/>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Our TAP technology was acquired from the University of British Columbia in full and is therefore not subject to any licensing fees or downstream royalty payments.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1551 Eastlake Avenue East, Suite 100, Seattle, WA 98102 and our telephone number is (206) 504-7278.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2" w:name="page13"/>
    <w:bookmarkEnd w:id="12"/>
    <w:p>
      <w:pPr>
        <w:ind w:left="1"/>
        <w:spacing w:after="0"/>
        <w:rPr>
          <w:sz w:val="20"/>
          <w:szCs w:val="20"/>
          <w:color w:val="auto"/>
        </w:rPr>
      </w:pPr>
      <w:r>
        <w:rPr>
          <w:rFonts w:ascii="Arial" w:cs="Arial" w:eastAsia="Arial" w:hAnsi="Arial"/>
          <w:sz w:val="16"/>
          <w:szCs w:val="16"/>
          <w:b w:val="1"/>
          <w:bCs w:val="1"/>
          <w:color w:val="auto"/>
        </w:rPr>
        <w:t>Common stock outstanding:</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Common stock offered by selling stockholders:</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Common stock outstanding after the offering:</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38,038,920 shares as of July 2, 2015</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68,486,792 shares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101,525,712 shares(1)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 will not receive any proceeds from the sale of the common stock by the selling stockholders. We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receive proceeds if the following warrants are exercised:</w:t>
      </w:r>
    </w:p>
    <w:p>
      <w:pPr>
        <w:spacing w:after="0" w:line="199" w:lineRule="exact"/>
        <w:rPr>
          <w:sz w:val="20"/>
          <w:szCs w:val="20"/>
          <w:color w:val="auto"/>
        </w:rPr>
      </w:pPr>
    </w:p>
    <w:p>
      <w:pPr>
        <w:sectPr>
          <w:pgSz w:w="11900" w:h="16838" w:orient="portrait"/>
          <w:cols w:equalWidth="0" w:num="2">
            <w:col w:w="3881" w:space="720"/>
            <w:col w:w="6820"/>
          </w:cols>
          <w:pgMar w:left="239" w:top="677" w:right="239" w:bottom="1440" w:gutter="0" w:footer="0" w:header="0"/>
        </w:sectPr>
      </w:pPr>
    </w:p>
    <w:p>
      <w:pPr>
        <w:ind w:left="5041"/>
        <w:spacing w:after="0"/>
        <w:tabs>
          <w:tab w:leader="none" w:pos="5421" w:val="left"/>
        </w:tabs>
        <w:rPr>
          <w:sz w:val="20"/>
          <w:szCs w:val="20"/>
          <w:color w:val="auto"/>
        </w:rPr>
      </w:pPr>
      <w:r>
        <w:rPr>
          <w:rFonts w:ascii="Arial" w:cs="Arial" w:eastAsia="Arial" w:hAnsi="Arial"/>
          <w:sz w:val="16"/>
          <w:szCs w:val="16"/>
          <w:color w:val="auto"/>
        </w:rPr>
        <w:t>(i)</w:t>
        <w:tab/>
        <w:t>up to $2,207,547 if the warrants issued in August 2014 are exercised;</w:t>
      </w:r>
    </w:p>
    <w:p>
      <w:pPr>
        <w:spacing w:after="0" w:line="24" w:lineRule="exact"/>
        <w:rPr>
          <w:sz w:val="20"/>
          <w:szCs w:val="20"/>
          <w:color w:val="auto"/>
        </w:rPr>
      </w:pPr>
    </w:p>
    <w:p>
      <w:pPr>
        <w:ind w:left="5041"/>
        <w:spacing w:after="0"/>
        <w:tabs>
          <w:tab w:leader="none" w:pos="5421" w:val="left"/>
        </w:tabs>
        <w:rPr>
          <w:sz w:val="20"/>
          <w:szCs w:val="20"/>
          <w:color w:val="auto"/>
        </w:rPr>
      </w:pPr>
      <w:r>
        <w:rPr>
          <w:rFonts w:ascii="Arial" w:cs="Arial" w:eastAsia="Arial" w:hAnsi="Arial"/>
          <w:sz w:val="16"/>
          <w:szCs w:val="16"/>
          <w:color w:val="auto"/>
        </w:rPr>
        <w:t>(ii)</w:t>
        <w:tab/>
        <w:t>up to $732,000 if the Series A Warrants are exercised;</w:t>
      </w:r>
    </w:p>
    <w:p>
      <w:pPr>
        <w:spacing w:after="0" w:line="13" w:lineRule="exact"/>
        <w:rPr>
          <w:sz w:val="20"/>
          <w:szCs w:val="20"/>
          <w:color w:val="auto"/>
        </w:rPr>
      </w:pPr>
    </w:p>
    <w:p>
      <w:pPr>
        <w:ind w:left="5041"/>
        <w:spacing w:after="0"/>
        <w:tabs>
          <w:tab w:leader="none" w:pos="5421"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4"/>
          <w:szCs w:val="14"/>
          <w:color w:val="auto"/>
        </w:rPr>
        <w:t>up to $1,464,000 if the Series B Warrants are exercised;</w:t>
      </w:r>
    </w:p>
    <w:p>
      <w:pPr>
        <w:spacing w:after="0" w:line="13" w:lineRule="exact"/>
        <w:rPr>
          <w:sz w:val="20"/>
          <w:szCs w:val="20"/>
          <w:color w:val="auto"/>
        </w:rPr>
      </w:pPr>
    </w:p>
    <w:p>
      <w:pPr>
        <w:ind w:left="5041"/>
        <w:spacing w:after="0"/>
        <w:tabs>
          <w:tab w:leader="none" w:pos="5421"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4"/>
          <w:szCs w:val="14"/>
          <w:color w:val="auto"/>
        </w:rPr>
        <w:t>up to $3,660,000 if the Series C Warrants are exercised;</w:t>
      </w:r>
    </w:p>
    <w:p>
      <w:pPr>
        <w:spacing w:after="0" w:line="13" w:lineRule="exact"/>
        <w:rPr>
          <w:sz w:val="20"/>
          <w:szCs w:val="20"/>
          <w:color w:val="auto"/>
        </w:rPr>
      </w:pPr>
    </w:p>
    <w:p>
      <w:pPr>
        <w:ind w:left="5041"/>
        <w:spacing w:after="0"/>
        <w:tabs>
          <w:tab w:leader="none" w:pos="5421" w:val="left"/>
        </w:tabs>
        <w:rPr>
          <w:sz w:val="20"/>
          <w:szCs w:val="20"/>
          <w:color w:val="auto"/>
        </w:rPr>
      </w:pPr>
      <w:r>
        <w:rPr>
          <w:rFonts w:ascii="Arial" w:cs="Arial" w:eastAsia="Arial" w:hAnsi="Arial"/>
          <w:sz w:val="16"/>
          <w:szCs w:val="16"/>
          <w:color w:val="auto"/>
        </w:rPr>
        <w:t>(v)</w:t>
        <w:tab/>
        <w:t>up to $5,490,000 if the Series D Warrants are exercised;</w:t>
      </w:r>
    </w:p>
    <w:p>
      <w:pPr>
        <w:spacing w:after="0" w:line="13" w:lineRule="exact"/>
        <w:rPr>
          <w:sz w:val="20"/>
          <w:szCs w:val="20"/>
          <w:color w:val="auto"/>
        </w:rPr>
      </w:pPr>
    </w:p>
    <w:p>
      <w:pPr>
        <w:ind w:left="5041"/>
        <w:spacing w:after="0"/>
        <w:tabs>
          <w:tab w:leader="none" w:pos="5421"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4"/>
          <w:szCs w:val="14"/>
          <w:color w:val="auto"/>
        </w:rPr>
        <w:t>up to $9,150,000 if the Series E Warrants are exercised;</w:t>
      </w:r>
    </w:p>
    <w:p>
      <w:pPr>
        <w:spacing w:after="0" w:line="13" w:lineRule="exact"/>
        <w:rPr>
          <w:sz w:val="20"/>
          <w:szCs w:val="20"/>
          <w:color w:val="auto"/>
        </w:rPr>
      </w:pPr>
    </w:p>
    <w:p>
      <w:pPr>
        <w:ind w:left="5041"/>
        <w:spacing w:after="0"/>
        <w:rPr>
          <w:sz w:val="20"/>
          <w:szCs w:val="20"/>
          <w:color w:val="auto"/>
        </w:rPr>
      </w:pPr>
      <w:r>
        <w:rPr>
          <w:rFonts w:ascii="Arial" w:cs="Arial" w:eastAsia="Arial" w:hAnsi="Arial"/>
          <w:sz w:val="16"/>
          <w:szCs w:val="16"/>
          <w:color w:val="auto"/>
        </w:rPr>
        <w:t>(vii)  up to $500,000 if the Series A-1 Warrants are exercised;</w:t>
      </w:r>
    </w:p>
    <w:p>
      <w:pPr>
        <w:spacing w:after="0" w:line="13" w:lineRule="exact"/>
        <w:rPr>
          <w:sz w:val="20"/>
          <w:szCs w:val="20"/>
          <w:color w:val="auto"/>
        </w:rPr>
      </w:pPr>
    </w:p>
    <w:p>
      <w:pPr>
        <w:ind w:left="5041"/>
        <w:spacing w:after="0"/>
        <w:rPr>
          <w:sz w:val="20"/>
          <w:szCs w:val="20"/>
          <w:color w:val="auto"/>
        </w:rPr>
      </w:pPr>
      <w:r>
        <w:rPr>
          <w:rFonts w:ascii="Arial" w:cs="Arial" w:eastAsia="Arial" w:hAnsi="Arial"/>
          <w:sz w:val="16"/>
          <w:szCs w:val="16"/>
          <w:color w:val="auto"/>
        </w:rPr>
        <w:t>(viii) up to $1,000,000 if the Series B-1 Warrants are exercised;</w:t>
      </w:r>
    </w:p>
    <w:p>
      <w:pPr>
        <w:spacing w:after="0" w:line="13" w:lineRule="exact"/>
        <w:rPr>
          <w:sz w:val="20"/>
          <w:szCs w:val="20"/>
          <w:color w:val="auto"/>
        </w:rPr>
      </w:pPr>
    </w:p>
    <w:p>
      <w:pPr>
        <w:ind w:left="5041"/>
        <w:spacing w:after="0"/>
        <w:tabs>
          <w:tab w:leader="none" w:pos="5461" w:val="left"/>
        </w:tabs>
        <w:rPr>
          <w:sz w:val="20"/>
          <w:szCs w:val="20"/>
          <w:color w:val="auto"/>
        </w:rPr>
      </w:pPr>
      <w:r>
        <w:rPr>
          <w:rFonts w:ascii="Arial" w:cs="Arial" w:eastAsia="Arial" w:hAnsi="Arial"/>
          <w:sz w:val="16"/>
          <w:szCs w:val="16"/>
          <w:color w:val="auto"/>
        </w:rPr>
        <w:t>(ix)</w:t>
        <w:tab/>
        <w:t>up to $2,500,000 if the Series C-1 Warrants are exercised;</w:t>
      </w:r>
    </w:p>
    <w:p>
      <w:pPr>
        <w:spacing w:after="0" w:line="13" w:lineRule="exact"/>
        <w:rPr>
          <w:sz w:val="20"/>
          <w:szCs w:val="20"/>
          <w:color w:val="auto"/>
        </w:rPr>
      </w:pPr>
    </w:p>
    <w:p>
      <w:pPr>
        <w:ind w:left="5041"/>
        <w:spacing w:after="0"/>
        <w:tabs>
          <w:tab w:leader="none" w:pos="5461"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up to $3,750,000 if the Series D-1 Warrants are exercised;</w:t>
      </w:r>
    </w:p>
    <w:p>
      <w:pPr>
        <w:spacing w:after="0" w:line="13" w:lineRule="exact"/>
        <w:rPr>
          <w:sz w:val="20"/>
          <w:szCs w:val="20"/>
          <w:color w:val="auto"/>
        </w:rPr>
      </w:pPr>
    </w:p>
    <w:p>
      <w:pPr>
        <w:ind w:left="5041"/>
        <w:spacing w:after="0"/>
        <w:tabs>
          <w:tab w:leader="none" w:pos="5461" w:val="left"/>
        </w:tabs>
        <w:rPr>
          <w:sz w:val="20"/>
          <w:szCs w:val="20"/>
          <w:color w:val="auto"/>
        </w:rPr>
      </w:pPr>
      <w:r>
        <w:rPr>
          <w:rFonts w:ascii="Arial" w:cs="Arial" w:eastAsia="Arial" w:hAnsi="Arial"/>
          <w:sz w:val="16"/>
          <w:szCs w:val="16"/>
          <w:color w:val="auto"/>
        </w:rPr>
        <w:t>(xi)</w:t>
        <w:tab/>
        <w:t>up to $6,250,000 if the Series E-1 Warrants are exercised;</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rPr>
              <w:t>(to the extent the registration statement of which this prospectus is a part is then effective and, if</w:t>
            </w: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w w:val="96"/>
              </w:rPr>
              <w:t>applicable, the “cashless exercise” provision is not utilized by the holder). Any proceeds will be used</w:t>
            </w: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w w:val="98"/>
              </w:rPr>
              <w:t>for general corporate and working capital or for other purposes that the Board of Directors, in their</w:t>
            </w: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w w:val="95"/>
              </w:rPr>
              <w:t>good faith, deems to be in the best interest of the Company. No assurances can be given that any of</w:t>
            </w:r>
          </w:p>
        </w:tc>
        <w:tc>
          <w:tcPr>
            <w:tcW w:w="0" w:type="dxa"/>
            <w:vAlign w:val="bottom"/>
          </w:tcPr>
          <w:p>
            <w:pPr>
              <w:spacing w:after="0"/>
              <w:rPr>
                <w:sz w:val="1"/>
                <w:szCs w:val="1"/>
                <w:color w:val="auto"/>
              </w:rPr>
            </w:pPr>
          </w:p>
        </w:tc>
      </w:tr>
      <w:tr>
        <w:trPr>
          <w:trHeight w:val="197"/>
        </w:trPr>
        <w:tc>
          <w:tcPr>
            <w:tcW w:w="3300" w:type="dxa"/>
            <w:vAlign w:val="bottom"/>
            <w:vMerge w:val="restart"/>
          </w:tcPr>
          <w:p>
            <w:pPr>
              <w:spacing w:after="0"/>
              <w:rPr>
                <w:sz w:val="20"/>
                <w:szCs w:val="20"/>
                <w:color w:val="auto"/>
              </w:rPr>
            </w:pPr>
            <w:r>
              <w:rPr>
                <w:rFonts w:ascii="Arial" w:cs="Arial" w:eastAsia="Arial" w:hAnsi="Arial"/>
                <w:sz w:val="16"/>
                <w:szCs w:val="16"/>
                <w:b w:val="1"/>
                <w:bCs w:val="1"/>
                <w:color w:val="auto"/>
              </w:rPr>
              <w:t>Quotation of common stock:</w:t>
            </w:r>
          </w:p>
        </w:tc>
        <w:tc>
          <w:tcPr>
            <w:tcW w:w="8120" w:type="dxa"/>
            <w:vAlign w:val="bottom"/>
          </w:tcPr>
          <w:p>
            <w:pPr>
              <w:ind w:left="1300"/>
              <w:spacing w:after="0"/>
              <w:rPr>
                <w:sz w:val="20"/>
                <w:szCs w:val="20"/>
                <w:color w:val="auto"/>
              </w:rPr>
            </w:pPr>
            <w:r>
              <w:rPr>
                <w:rFonts w:ascii="Arial" w:cs="Arial" w:eastAsia="Arial" w:hAnsi="Arial"/>
                <w:sz w:val="16"/>
                <w:szCs w:val="16"/>
                <w:color w:val="auto"/>
              </w:rPr>
              <w:t>such warrants will be exercised. See “Use of Proceeds.”</w:t>
            </w:r>
          </w:p>
        </w:tc>
        <w:tc>
          <w:tcPr>
            <w:tcW w:w="0" w:type="dxa"/>
            <w:vAlign w:val="bottom"/>
          </w:tcPr>
          <w:p>
            <w:pPr>
              <w:spacing w:after="0"/>
              <w:rPr>
                <w:sz w:val="1"/>
                <w:szCs w:val="1"/>
                <w:color w:val="auto"/>
              </w:rPr>
            </w:pPr>
          </w:p>
        </w:tc>
      </w:tr>
      <w:tr>
        <w:trPr>
          <w:trHeight w:val="193"/>
        </w:trPr>
        <w:tc>
          <w:tcPr>
            <w:tcW w:w="3300" w:type="dxa"/>
            <w:vAlign w:val="bottom"/>
            <w:vMerge w:val="continue"/>
          </w:tcPr>
          <w:p>
            <w:pPr>
              <w:spacing w:after="0"/>
              <w:rPr>
                <w:sz w:val="16"/>
                <w:szCs w:val="16"/>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rPr>
              <w:t>Our common stock is listed for quotation on the OTCQB market under the symbol “TPIV.”</w:t>
            </w:r>
          </w:p>
        </w:tc>
        <w:tc>
          <w:tcPr>
            <w:tcW w:w="0" w:type="dxa"/>
            <w:vAlign w:val="bottom"/>
          </w:tcPr>
          <w:p>
            <w:pPr>
              <w:spacing w:after="0"/>
              <w:rPr>
                <w:sz w:val="1"/>
                <w:szCs w:val="1"/>
                <w:color w:val="auto"/>
              </w:rPr>
            </w:pPr>
          </w:p>
        </w:tc>
      </w:tr>
      <w:tr>
        <w:trPr>
          <w:trHeight w:val="201"/>
        </w:trPr>
        <w:tc>
          <w:tcPr>
            <w:tcW w:w="3300" w:type="dxa"/>
            <w:vAlign w:val="bottom"/>
          </w:tcPr>
          <w:p>
            <w:pPr>
              <w:spacing w:after="0"/>
              <w:rPr>
                <w:sz w:val="20"/>
                <w:szCs w:val="20"/>
                <w:color w:val="auto"/>
              </w:rPr>
            </w:pPr>
            <w:r>
              <w:rPr>
                <w:rFonts w:ascii="Arial" w:cs="Arial" w:eastAsia="Arial" w:hAnsi="Arial"/>
                <w:sz w:val="16"/>
                <w:szCs w:val="16"/>
                <w:b w:val="1"/>
                <w:bCs w:val="1"/>
                <w:color w:val="auto"/>
              </w:rPr>
              <w:t>Dividend policy:</w:t>
            </w:r>
          </w:p>
        </w:tc>
        <w:tc>
          <w:tcPr>
            <w:tcW w:w="8120" w:type="dxa"/>
            <w:vAlign w:val="bottom"/>
          </w:tcPr>
          <w:p>
            <w:pPr>
              <w:ind w:left="1300"/>
              <w:spacing w:after="0"/>
              <w:rPr>
                <w:sz w:val="20"/>
                <w:szCs w:val="20"/>
                <w:color w:val="auto"/>
              </w:rPr>
            </w:pPr>
            <w:r>
              <w:rPr>
                <w:rFonts w:ascii="Arial" w:cs="Arial" w:eastAsia="Arial" w:hAnsi="Arial"/>
                <w:sz w:val="16"/>
                <w:szCs w:val="16"/>
                <w:color w:val="auto"/>
                <w:w w:val="94"/>
              </w:rPr>
              <w:t>We currently intend to retain any future earnings to fund the development and growth of our business.</w:t>
            </w:r>
          </w:p>
        </w:tc>
        <w:tc>
          <w:tcPr>
            <w:tcW w:w="0" w:type="dxa"/>
            <w:vAlign w:val="bottom"/>
          </w:tcPr>
          <w:p>
            <w:pPr>
              <w:spacing w:after="0"/>
              <w:rPr>
                <w:sz w:val="1"/>
                <w:szCs w:val="1"/>
                <w:color w:val="auto"/>
              </w:rPr>
            </w:pPr>
          </w:p>
        </w:tc>
      </w:tr>
      <w:tr>
        <w:trPr>
          <w:trHeight w:val="197"/>
        </w:trPr>
        <w:tc>
          <w:tcPr>
            <w:tcW w:w="3300" w:type="dxa"/>
            <w:vAlign w:val="bottom"/>
            <w:vMerge w:val="restart"/>
          </w:tcPr>
          <w:p>
            <w:pPr>
              <w:spacing w:after="0"/>
              <w:rPr>
                <w:sz w:val="20"/>
                <w:szCs w:val="20"/>
                <w:color w:val="auto"/>
              </w:rPr>
            </w:pPr>
            <w:r>
              <w:rPr>
                <w:rFonts w:ascii="Arial" w:cs="Arial" w:eastAsia="Arial" w:hAnsi="Arial"/>
                <w:sz w:val="16"/>
                <w:szCs w:val="16"/>
                <w:b w:val="1"/>
                <w:bCs w:val="1"/>
                <w:color w:val="auto"/>
              </w:rPr>
              <w:t>Risk factors:</w:t>
            </w:r>
          </w:p>
        </w:tc>
        <w:tc>
          <w:tcPr>
            <w:tcW w:w="8120" w:type="dxa"/>
            <w:vAlign w:val="bottom"/>
          </w:tcPr>
          <w:p>
            <w:pPr>
              <w:ind w:left="1300"/>
              <w:spacing w:after="0"/>
              <w:rPr>
                <w:sz w:val="20"/>
                <w:szCs w:val="20"/>
                <w:color w:val="auto"/>
              </w:rPr>
            </w:pPr>
            <w:r>
              <w:rPr>
                <w:rFonts w:ascii="Arial" w:cs="Arial" w:eastAsia="Arial" w:hAnsi="Arial"/>
                <w:sz w:val="16"/>
                <w:szCs w:val="16"/>
                <w:color w:val="auto"/>
              </w:rPr>
              <w:t>Therefore, we do not currently anticipate paying cash dividends on our common stock.</w:t>
            </w:r>
          </w:p>
        </w:tc>
        <w:tc>
          <w:tcPr>
            <w:tcW w:w="0" w:type="dxa"/>
            <w:vAlign w:val="bottom"/>
          </w:tcPr>
          <w:p>
            <w:pPr>
              <w:spacing w:after="0"/>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w w:val="93"/>
              </w:rPr>
              <w:t>An investment in our company is highly speculative and involves a significant degree of risk. See “Risk</w:t>
            </w: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8120" w:type="dxa"/>
            <w:vAlign w:val="bottom"/>
          </w:tcPr>
          <w:p>
            <w:pPr>
              <w:ind w:left="1300"/>
              <w:spacing w:after="0"/>
              <w:rPr>
                <w:sz w:val="20"/>
                <w:szCs w:val="20"/>
                <w:color w:val="auto"/>
              </w:rPr>
            </w:pPr>
            <w:r>
              <w:rPr>
                <w:rFonts w:ascii="Arial" w:cs="Arial" w:eastAsia="Arial" w:hAnsi="Arial"/>
                <w:sz w:val="16"/>
                <w:szCs w:val="16"/>
                <w:color w:val="auto"/>
              </w:rPr>
              <w:t>Factors” and other information included in this prospectus for a discussion of factors you should</w:t>
            </w:r>
          </w:p>
        </w:tc>
        <w:tc>
          <w:tcPr>
            <w:tcW w:w="0" w:type="dxa"/>
            <w:vAlign w:val="bottom"/>
          </w:tcPr>
          <w:p>
            <w:pPr>
              <w:spacing w:after="0"/>
              <w:rPr>
                <w:sz w:val="1"/>
                <w:szCs w:val="1"/>
                <w:color w:val="auto"/>
              </w:rPr>
            </w:pPr>
          </w:p>
        </w:tc>
      </w:tr>
      <w:tr>
        <w:trPr>
          <w:trHeight w:val="208"/>
        </w:trPr>
        <w:tc>
          <w:tcPr>
            <w:tcW w:w="33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8120" w:type="dxa"/>
            <w:vAlign w:val="bottom"/>
          </w:tcPr>
          <w:p>
            <w:pPr>
              <w:ind w:left="1300"/>
              <w:spacing w:after="0"/>
              <w:rPr>
                <w:sz w:val="20"/>
                <w:szCs w:val="20"/>
                <w:color w:val="auto"/>
              </w:rPr>
            </w:pPr>
            <w:r>
              <w:rPr>
                <w:rFonts w:ascii="Arial" w:cs="Arial" w:eastAsia="Arial" w:hAnsi="Arial"/>
                <w:sz w:val="16"/>
                <w:szCs w:val="16"/>
                <w:color w:val="auto"/>
              </w:rPr>
              <w:t>carefully consider before deciding to invest in shares of our common stock.</w:t>
            </w:r>
          </w:p>
        </w:tc>
        <w:tc>
          <w:tcPr>
            <w:tcW w:w="0" w:type="dxa"/>
            <w:vAlign w:val="bottom"/>
          </w:tcPr>
          <w:p>
            <w:pPr>
              <w:spacing w:after="0"/>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8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41" w:hanging="641"/>
        <w:spacing w:after="0"/>
        <w:tabs>
          <w:tab w:leader="none" w:pos="6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the exercise of all warrants being resold pursuant to this prospectus and that none of the other outstanding warrants or options are exercised.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6" w:lineRule="exact"/>
        <w:rPr>
          <w:rFonts w:ascii="Arial" w:cs="Arial" w:eastAsia="Arial" w:hAnsi="Arial"/>
          <w:sz w:val="16"/>
          <w:szCs w:val="16"/>
          <w:color w:val="auto"/>
        </w:rPr>
      </w:pPr>
    </w:p>
    <w:p>
      <w:pPr>
        <w:ind w:left="5661"/>
        <w:spacing w:after="0"/>
        <w:rPr>
          <w:rFonts w:ascii="Arial" w:cs="Arial" w:eastAsia="Arial" w:hAnsi="Arial"/>
          <w:sz w:val="16"/>
          <w:szCs w:val="16"/>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67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Investing in our securities involves a high degree of risk. You should carefully consider and evaluate all of the information included and incorporated by reference or deemed to be incorporated by reference in this prospectus. Our business, results of operations or financial condition could be adversely affected by any of these risks or by additional risks and uncertainties not currently known to us or that we currently consider immaterial.</w:t>
      </w:r>
    </w:p>
    <w:p>
      <w:pPr>
        <w:spacing w:after="0" w:line="159"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Risks Related to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development stage company with a history of operating losses.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have sustained losses from operations in each fiscal year since our inception, and we expect losses to continue for the indefinite future due to the substantial investment in research and development. As of March 31, 2015, we had an accumulated deficit of $87,291,000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not yet sold any products or received regulatory approval to sell our products.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develop products successfully or develop them on a timely basis.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6"/>
          <w:szCs w:val="16"/>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achieve commercial success even if our product candidates are approved for sale.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●acceptance of the formulation of immunotherapies by health care professionals and patients;</w:t>
      </w:r>
    </w:p>
    <w:p>
      <w:pPr>
        <w:spacing w:after="0" w:line="210" w:lineRule="exact"/>
        <w:rPr>
          <w:sz w:val="20"/>
          <w:szCs w:val="20"/>
          <w:color w:val="auto"/>
        </w:rPr>
      </w:pPr>
    </w:p>
    <w:p>
      <w:pPr>
        <w:ind w:left="300" w:right="1060" w:hanging="6"/>
        <w:spacing w:after="0" w:line="511"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of third-parties that we may enter into collaboration agreements with for the manufacture, sales, marketing and distribution of our products; and ●the availability, effectiveness and relative cost of alternative treatments which may be developed by competitors.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face legal claims; Litigation is expensive and we may not be able to afford the costs.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research and development programs are subject to uncertainty.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Factors affecting our research and development programs include, but are not limited to:</w:t>
      </w:r>
    </w:p>
    <w:p>
      <w:pPr>
        <w:spacing w:after="0" w:line="210" w:lineRule="exact"/>
        <w:rPr>
          <w:sz w:val="20"/>
          <w:szCs w:val="20"/>
          <w:color w:val="auto"/>
        </w:rPr>
      </w:pPr>
    </w:p>
    <w:p>
      <w:pPr>
        <w:ind w:left="440" w:hanging="146"/>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competition from companies that are substantially and financially stronger than we are;</w:t>
      </w:r>
    </w:p>
    <w:p>
      <w:pPr>
        <w:spacing w:after="0" w:line="210" w:lineRule="exact"/>
        <w:rPr>
          <w:rFonts w:ascii="Arial" w:cs="Arial" w:eastAsia="Arial" w:hAnsi="Arial"/>
          <w:sz w:val="16"/>
          <w:szCs w:val="16"/>
          <w:color w:val="auto"/>
        </w:rPr>
      </w:pPr>
    </w:p>
    <w:p>
      <w:pPr>
        <w:ind w:left="440" w:hanging="146"/>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need for acceptance of our Immunotherapies;</w:t>
      </w:r>
    </w:p>
    <w:p>
      <w:pPr>
        <w:spacing w:after="0" w:line="210" w:lineRule="exact"/>
        <w:rPr>
          <w:rFonts w:ascii="Arial" w:cs="Arial" w:eastAsia="Arial" w:hAnsi="Arial"/>
          <w:sz w:val="16"/>
          <w:szCs w:val="16"/>
          <w:color w:val="auto"/>
        </w:rPr>
      </w:pPr>
    </w:p>
    <w:p>
      <w:pPr>
        <w:ind w:left="440" w:hanging="146"/>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anticipate and adapt to a competitive market and rapid technological developments;</w:t>
      </w:r>
    </w:p>
    <w:p>
      <w:pPr>
        <w:spacing w:after="0" w:line="210" w:lineRule="exact"/>
        <w:rPr>
          <w:rFonts w:ascii="Arial" w:cs="Arial" w:eastAsia="Arial" w:hAnsi="Arial"/>
          <w:sz w:val="16"/>
          <w:szCs w:val="16"/>
          <w:color w:val="auto"/>
        </w:rPr>
      </w:pPr>
    </w:p>
    <w:p>
      <w:pPr>
        <w:ind w:left="440" w:hanging="146"/>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and timing of operating costs and capital expenditures relating to expansion of our business, operations and infrastructure;</w:t>
      </w:r>
    </w:p>
    <w:p>
      <w:pPr>
        <w:spacing w:after="0" w:line="210" w:lineRule="exact"/>
        <w:rPr>
          <w:rFonts w:ascii="Arial" w:cs="Arial" w:eastAsia="Arial" w:hAnsi="Arial"/>
          <w:sz w:val="16"/>
          <w:szCs w:val="16"/>
          <w:color w:val="auto"/>
        </w:rPr>
      </w:pPr>
    </w:p>
    <w:p>
      <w:pPr>
        <w:ind w:left="740" w:hanging="446"/>
        <w:spacing w:after="0" w:line="288" w:lineRule="auto"/>
        <w:tabs>
          <w:tab w:leader="none" w:pos="5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need to rely on multiple levels of outside funding due to the length of drug development cycles and governmental approved protocols associated with the pharmaceutical industry; and</w:t>
      </w:r>
    </w:p>
    <w:p>
      <w:pPr>
        <w:spacing w:after="0" w:line="149" w:lineRule="exact"/>
        <w:rPr>
          <w:rFonts w:ascii="Arial" w:cs="Arial" w:eastAsia="Arial" w:hAnsi="Arial"/>
          <w:sz w:val="16"/>
          <w:szCs w:val="16"/>
          <w:color w:val="auto"/>
        </w:rPr>
      </w:pPr>
    </w:p>
    <w:p>
      <w:pPr>
        <w:ind w:left="440" w:hanging="146"/>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dependence upon key personnel including key independent consultants and advisors.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our technologies are in-licensed from third parties, and the protection of those technologies is not entirely within our control.</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5" w:name="page16"/>
    <w:bookmarkEnd w:id="15"/>
    <w:p>
      <w:pPr>
        <w:ind w:left="740" w:hanging="442"/>
        <w:spacing w:after="0" w:line="288" w:lineRule="auto"/>
        <w:rPr>
          <w:sz w:val="20"/>
          <w:szCs w:val="20"/>
          <w:color w:val="auto"/>
        </w:rPr>
      </w:pPr>
      <w:r>
        <w:rPr>
          <w:rFonts w:ascii="Arial" w:cs="Arial" w:eastAsia="Arial" w:hAnsi="Arial"/>
          <w:sz w:val="16"/>
          <w:szCs w:val="16"/>
          <w:color w:val="auto"/>
        </w:rPr>
        <w:t>●the owners of the patent rights underlying the technologies that we license do not properly maintain or enforce the patents and intellectual property underlying those properties,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Mayo Clinic seeks to terminate our license in contravention of the license agreements,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fail to make all payments due and owing under any of the licenses or,</w:t>
      </w:r>
    </w:p>
    <w:p>
      <w:pPr>
        <w:spacing w:after="0" w:line="210" w:lineRule="exact"/>
        <w:rPr>
          <w:sz w:val="20"/>
          <w:szCs w:val="20"/>
          <w:color w:val="auto"/>
        </w:rPr>
      </w:pPr>
    </w:p>
    <w:p>
      <w:pPr>
        <w:ind w:left="740" w:hanging="442"/>
        <w:spacing w:after="0" w:line="288" w:lineRule="auto"/>
        <w:rPr>
          <w:sz w:val="20"/>
          <w:szCs w:val="20"/>
          <w:color w:val="auto"/>
        </w:rPr>
      </w:pPr>
      <w:r>
        <w:rPr>
          <w:rFonts w:ascii="Arial" w:cs="Arial" w:eastAsia="Arial" w:hAnsi="Arial"/>
          <w:sz w:val="16"/>
          <w:szCs w:val="16"/>
          <w:color w:val="auto"/>
        </w:rPr>
        <w:t>●we fail to obtain on commercially reasonable terms, if at all, in-licenses from the Mayo Clinic or other for other rights that are necessary to develop the technology that we have already in-licensed.</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We have an option to acquire an exclusive in-license technology from a third party, and if that party does not protect its license, we could lose the opportunity to develop that technology.</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We rely upon patents to protect our technology. We may be unable to protect our intellectual property rights, and we may be liable for infringing the intellectual property rights of others.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67" w:lineRule="exact"/>
        <w:rPr>
          <w:sz w:val="20"/>
          <w:szCs w:val="20"/>
          <w:color w:val="auto"/>
        </w:rPr>
      </w:pPr>
    </w:p>
    <w:p>
      <w:pPr>
        <w:jc w:val="both"/>
        <w:spacing w:after="0" w:line="364" w:lineRule="auto"/>
        <w:rPr>
          <w:sz w:val="20"/>
          <w:szCs w:val="20"/>
          <w:color w:val="auto"/>
        </w:rPr>
      </w:pPr>
      <w:r>
        <w:rPr>
          <w:rFonts w:ascii="Arial" w:cs="Arial" w:eastAsia="Arial" w:hAnsi="Arial"/>
          <w:sz w:val="14"/>
          <w:szCs w:val="14"/>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jc w:val="both"/>
        <w:spacing w:after="0" w:line="288" w:lineRule="auto"/>
        <w:rPr>
          <w:sz w:val="20"/>
          <w:szCs w:val="20"/>
          <w:color w:val="auto"/>
        </w:rPr>
      </w:pPr>
      <w:r>
        <w:rPr>
          <w:rFonts w:ascii="Arial" w:cs="Arial" w:eastAsia="Arial" w:hAnsi="Arial"/>
          <w:sz w:val="16"/>
          <w:szCs w:val="16"/>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adequately prevent disclosure of trade secrets and other proprietary information.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obtain or maintain the benefits associated with orphan drug designation, including market exclusivity.</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no manufacturing, sales, marketing or distribution capability and we must rely upon third parties for such.</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intend to create facilities to manufacture our products and therefore will depend upon third parties to do so. We currently have no agreements with any commercial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If we are unable to establish or manage strategic collaborations in the future, our revenue and drug development may be limited.</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Management of our relationships with our collaborators will require:</w:t>
      </w:r>
    </w:p>
    <w:p>
      <w:pPr>
        <w:spacing w:after="0" w:line="210" w:lineRule="exact"/>
        <w:rPr>
          <w:sz w:val="20"/>
          <w:szCs w:val="20"/>
          <w:color w:val="auto"/>
        </w:rPr>
      </w:pPr>
    </w:p>
    <w:p>
      <w:pPr>
        <w:ind w:left="440" w:hanging="146"/>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time and effort from our management team;</w:t>
      </w:r>
    </w:p>
    <w:p>
      <w:pPr>
        <w:spacing w:after="0" w:line="210" w:lineRule="exact"/>
        <w:rPr>
          <w:rFonts w:ascii="Arial" w:cs="Arial" w:eastAsia="Arial" w:hAnsi="Arial"/>
          <w:sz w:val="16"/>
          <w:szCs w:val="16"/>
          <w:color w:val="auto"/>
        </w:rPr>
      </w:pPr>
    </w:p>
    <w:p>
      <w:pPr>
        <w:ind w:left="440" w:hanging="146"/>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coordination of our research and development programs with the research and development priorities of our collaborators; and</w:t>
      </w:r>
    </w:p>
    <w:p>
      <w:pPr>
        <w:spacing w:after="0" w:line="210" w:lineRule="exact"/>
        <w:rPr>
          <w:rFonts w:ascii="Arial" w:cs="Arial" w:eastAsia="Arial" w:hAnsi="Arial"/>
          <w:sz w:val="16"/>
          <w:szCs w:val="16"/>
          <w:color w:val="auto"/>
        </w:rPr>
      </w:pPr>
    </w:p>
    <w:p>
      <w:pPr>
        <w:ind w:left="440" w:hanging="146"/>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 allocation of our resources to multiple projects.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need to attract and retain highly skilled personnel; we may be unable to effectively manage growth with our limited resources.</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As of July 1, 2015, we had one full-time employee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upon our senior management and key consultants and their loss or unavailability could put us at a competitive disadvantage.</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Industry</w:t>
      </w:r>
    </w:p>
    <w:p>
      <w:pPr>
        <w:spacing w:after="0" w:line="23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The biotechnology and immunotherapy industries are characterized by rapid technological developments and a high degree of competition. We may be unable to compete with more substantial enterprises.</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certain of our Immunotherapies may be subject to competition from investigational new drugs and/or products developed using other technologies, some of which have completed numerous clinical trials.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numerous risks inherent in conducting clinical trials.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successful development of immunotherapies is highly uncertain.</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50" w:lineRule="exact"/>
        <w:rPr>
          <w:sz w:val="20"/>
          <w:szCs w:val="20"/>
          <w:color w:val="auto"/>
        </w:rPr>
      </w:pPr>
    </w:p>
    <w:p>
      <w:pPr>
        <w:ind w:left="740" w:hanging="446"/>
        <w:spacing w:after="0" w:line="288" w:lineRule="auto"/>
        <w:tabs>
          <w:tab w:leader="none" w:pos="4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preclinical study results that may show the immunotherapy to be less effective than desired (e.g., the study failed to meet its primary objectives) or to have harmful or problematic side effects;</w:t>
      </w:r>
    </w:p>
    <w:p>
      <w:pPr>
        <w:spacing w:after="0" w:line="150" w:lineRule="exact"/>
        <w:rPr>
          <w:sz w:val="20"/>
          <w:szCs w:val="20"/>
          <w:color w:val="auto"/>
        </w:rPr>
      </w:pPr>
    </w:p>
    <w:p>
      <w:pPr>
        <w:jc w:val="both"/>
        <w:ind w:left="740" w:hanging="442"/>
        <w:spacing w:after="0" w:line="288" w:lineRule="auto"/>
        <w:rPr>
          <w:sz w:val="20"/>
          <w:szCs w:val="20"/>
          <w:color w:val="auto"/>
        </w:rPr>
      </w:pPr>
      <w:r>
        <w:rPr>
          <w:rFonts w:ascii="Arial" w:cs="Arial" w:eastAsia="Arial" w:hAnsi="Arial"/>
          <w:sz w:val="16"/>
          <w:szCs w:val="16"/>
          <w:color w:val="auto"/>
        </w:rPr>
        <w:t>●clinical study results that may show the immunotherapy to be less effective than expected (e.g., the study failed to meet its primary endpoint) or to have unacceptable side effects;</w:t>
      </w:r>
    </w:p>
    <w:p>
      <w:pPr>
        <w:spacing w:after="0" w:line="150" w:lineRule="exact"/>
        <w:rPr>
          <w:sz w:val="20"/>
          <w:szCs w:val="20"/>
          <w:color w:val="auto"/>
        </w:rPr>
      </w:pPr>
    </w:p>
    <w:p>
      <w:pPr>
        <w:jc w:val="both"/>
        <w:ind w:left="740" w:hanging="442"/>
        <w:spacing w:after="0" w:line="272" w:lineRule="auto"/>
        <w:rPr>
          <w:sz w:val="20"/>
          <w:szCs w:val="20"/>
          <w:color w:val="auto"/>
        </w:rPr>
      </w:pPr>
      <w:r>
        <w:rPr>
          <w:rFonts w:ascii="Arial" w:cs="Arial" w:eastAsia="Arial" w:hAnsi="Arial"/>
          <w:sz w:val="16"/>
          <w:szCs w:val="16"/>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6"/>
          <w:szCs w:val="16"/>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comply with significant government regulations.</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0" w:name="page21"/>
    <w:bookmarkEnd w:id="20"/>
    <w:p>
      <w:pPr>
        <w:jc w:val="both"/>
        <w:spacing w:after="0" w:line="288" w:lineRule="auto"/>
        <w:rPr>
          <w:sz w:val="20"/>
          <w:szCs w:val="20"/>
          <w:color w:val="auto"/>
        </w:rPr>
      </w:pPr>
      <w:r>
        <w:rPr>
          <w:rFonts w:ascii="Arial" w:cs="Arial" w:eastAsia="Arial" w:hAnsi="Arial"/>
          <w:sz w:val="16"/>
          <w:szCs w:val="16"/>
          <w:color w:val="auto"/>
        </w:rPr>
        <w:t>In addition, third parties may challenge or infringe upon our existing or future patents. Proceedings involving our patents or patent applications or those of others could result in adverse decisions regarding:</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patentability of our inventions relating to our product candidates; and/or</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enforceability, validity or scope of protection offered by our patents relating to our product candidates.</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●incur substantial monetary damages;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●encounter significant delays in bringing our product candidates to market; and/or</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●be precluded from participating in the manufacture, use or sale of our product candidates or methods of treatment requiring licenses.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incur substantial liabilities from any product liability claims if our insurance coverage for those claims is inadequate.</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●decreased demand for our Immunotherapies;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●damage to our reputation;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●withdrawal of clinical trial participants;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●costs of related litigation;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●substantial monetary awards to patients or other claimants;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●loss of revenues;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inability to commercialize Immunotherapies; and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●increased difficulty in raising required additional funds in the private and public capital markets.</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price of our common stock may be volatile.</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trading price of our common stock may fluctuate substantially. The price of our common stock that will prevail in the market may be higher or lower than the price at which our shares of common stock being registered by the registration statement of which this prospectus forms a part are resold,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1" w:name="page22"/>
    <w:bookmarkEnd w:id="21"/>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and volume of fluctuations in the overall stock market from time to time;</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anticipated changes in our net loss or fluctuations in our operating results or in the expectations of securities analysts;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issuance of new equity securities pursuant to a future offering, including issuances of preferred stock;</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economic conditions and trends;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positive and negative events relating to healthcare and the overall pharmaceutical and biotech sector;</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major catastrophic events;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sales of large blocks of our stock;</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dilution caused by the anti-dilutive clauses in our financial agreements;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departures of key personnel;</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regulatory status of our Immunotherapies, including results of our clinical trials;</w:t>
      </w:r>
    </w:p>
    <w:p>
      <w:pPr>
        <w:spacing w:after="0" w:line="210"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events affecting Mayo Clinic, Mayo Foundation for Medical Education and Research or any future collaborators;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of new products or technologies, commercial relationships or other events by us or our competitors;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developments in the United States and other countries;</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of our common stock to be listed or quoted on the OTCQB, the NASDAQ Capital Market, NYSE Amex Equities or other national market system;</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accounting principles; and</w:t>
      </w:r>
    </w:p>
    <w:p>
      <w:pPr>
        <w:spacing w:after="0" w:line="234" w:lineRule="exact"/>
        <w:rPr>
          <w:rFonts w:ascii="Arial" w:cs="Arial" w:eastAsia="Arial" w:hAnsi="Arial"/>
          <w:sz w:val="16"/>
          <w:szCs w:val="16"/>
          <w:color w:val="auto"/>
        </w:rPr>
      </w:pPr>
    </w:p>
    <w:p>
      <w:pPr>
        <w:ind w:left="740" w:hanging="4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discussion of us or our stock price by the financial and scientific press and in online investor communities.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DTC “Chill” on the electronic clearing of trades in our securities in the future may affect the liquidity of our stock and our ability to raise capital.</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You may have difficulty selling our shares because they may be deemed “penny stocks.”</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with a price of less than $5.00 per share;</w:t>
      </w:r>
    </w:p>
    <w:p>
      <w:pPr>
        <w:spacing w:after="0" w:line="235" w:lineRule="exact"/>
        <w:rPr>
          <w:sz w:val="20"/>
          <w:szCs w:val="20"/>
          <w:color w:val="auto"/>
        </w:rPr>
      </w:pPr>
    </w:p>
    <w:p>
      <w:pPr>
        <w:ind w:left="740" w:hanging="442"/>
        <w:spacing w:after="0" w:line="288" w:lineRule="auto"/>
        <w:rPr>
          <w:sz w:val="20"/>
          <w:szCs w:val="20"/>
          <w:color w:val="auto"/>
        </w:rPr>
      </w:pPr>
      <w:r>
        <w:rPr>
          <w:rFonts w:ascii="Arial" w:cs="Arial" w:eastAsia="Arial" w:hAnsi="Arial"/>
          <w:sz w:val="16"/>
          <w:szCs w:val="16"/>
          <w:color w:val="auto"/>
        </w:rPr>
        <w:t>●that are neither traded on a “recognized” national exchange nor listed on an automated quotation system sponsored by a registered national securities association meeting certain minimum initial listing standards; and</w:t>
      </w:r>
    </w:p>
    <w:p>
      <w:pPr>
        <w:spacing w:after="0" w:line="174" w:lineRule="exact"/>
        <w:rPr>
          <w:sz w:val="20"/>
          <w:szCs w:val="20"/>
          <w:color w:val="auto"/>
        </w:rPr>
      </w:pPr>
    </w:p>
    <w:p>
      <w:pPr>
        <w:ind w:left="740" w:hanging="446"/>
        <w:spacing w:after="0" w:line="288" w:lineRule="auto"/>
        <w:tabs>
          <w:tab w:leader="none" w:pos="4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5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●obtain from the investor information about his or her financial situation, investment experience and investment objectives;</w:t>
      </w:r>
    </w:p>
    <w:p>
      <w:pPr>
        <w:spacing w:after="0" w:line="235" w:lineRule="exact"/>
        <w:rPr>
          <w:sz w:val="20"/>
          <w:szCs w:val="20"/>
          <w:color w:val="auto"/>
        </w:rPr>
      </w:pPr>
    </w:p>
    <w:p>
      <w:pPr>
        <w:ind w:left="740" w:hanging="446"/>
        <w:spacing w:after="0" w:line="288" w:lineRule="auto"/>
        <w:tabs>
          <w:tab w:leader="none" w:pos="4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●provide the investor with a written statement setting forth the basis on which the broker-dealer made his or her determination; and</w:t>
      </w:r>
    </w:p>
    <w:p>
      <w:pPr>
        <w:spacing w:after="0" w:line="235" w:lineRule="exact"/>
        <w:rPr>
          <w:sz w:val="20"/>
          <w:szCs w:val="20"/>
          <w:color w:val="auto"/>
        </w:rPr>
      </w:pPr>
    </w:p>
    <w:p>
      <w:pPr>
        <w:ind w:left="740" w:hanging="442"/>
        <w:spacing w:after="0" w:line="288" w:lineRule="auto"/>
        <w:rPr>
          <w:sz w:val="20"/>
          <w:szCs w:val="20"/>
          <w:color w:val="auto"/>
        </w:rPr>
      </w:pPr>
      <w:r>
        <w:rPr>
          <w:rFonts w:ascii="Arial" w:cs="Arial" w:eastAsia="Arial" w:hAnsi="Arial"/>
          <w:sz w:val="16"/>
          <w:szCs w:val="16"/>
          <w:color w:val="auto"/>
        </w:rPr>
        <w:t>●receive a signed and dated copy of the statement from the investor, confirming that it accurately reflects the investor’s financial situation, investment experience and investment objectives.</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stock closed at $1.02 per share on July 2, 2015 and the per share price of our common stock might not obtain or maintain the necessary levels to prevent our stock being subject to these rules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limited public trading market may cause volatility in the price of our common stock.</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The market prices for our common stock may be adversely impacted by future events.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common stock began trades on the over-the-counter-markets and is currently quoted on the OTCQB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issuance of new equity securities pursuant to a future offering, including issuances of preferred stock;</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●changes in interest rates;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●significant dilution caused by the anti-dilutive clauses in our financial agreements;</w:t>
      </w:r>
    </w:p>
    <w:p>
      <w:pPr>
        <w:spacing w:after="0" w:line="235" w:lineRule="exact"/>
        <w:rPr>
          <w:sz w:val="20"/>
          <w:szCs w:val="20"/>
          <w:color w:val="auto"/>
        </w:rPr>
      </w:pPr>
    </w:p>
    <w:p>
      <w:pPr>
        <w:ind w:left="740" w:hanging="446"/>
        <w:spacing w:after="0" w:line="288" w:lineRule="auto"/>
        <w:tabs>
          <w:tab w:leader="none" w:pos="4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competitive developments, including announcements by competitors of new products or services or significant contracts, acquisitions, strategic partnerships, joint ventures or capital commitments;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●variations in quarterly operating results;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●change in financial estimates by securities analysts;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depth and liquidity of the market for our common stock and warrants;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●investor perceptions of our company and the pharmaceutical and biotech industries generally; and</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●general economic and other national conditions.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additional equity securities may adversely affect the market price of our common stock and your rights may be reduced.</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Additional authorized shares of common stock available for issuance may adversely affect the market price of our securities.</w:t>
      </w:r>
    </w:p>
    <w:p>
      <w:pPr>
        <w:spacing w:after="0" w:line="239"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We are currently authorized to issue 500,000,000 shares of our common stock. As of July 2, 2015, we had 38,038,920 shares of our common stock issued and outstanding, excluding shares issuable upon exercise of our outstanding warrants, options and shares of common stock earned but not yet issued under Omnibus Stock Option Plan. Those outstanding shares represent 6.5% of our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31" w:lineRule="exact"/>
        <w:rPr>
          <w:sz w:val="20"/>
          <w:szCs w:val="20"/>
          <w:color w:val="auto"/>
        </w:rPr>
      </w:pPr>
    </w:p>
    <w:p>
      <w:pPr>
        <w:jc w:val="both"/>
        <w:spacing w:after="0" w:line="329" w:lineRule="auto"/>
        <w:rPr>
          <w:sz w:val="20"/>
          <w:szCs w:val="20"/>
          <w:color w:val="auto"/>
        </w:rPr>
      </w:pPr>
      <w:r>
        <w:rPr>
          <w:rFonts w:ascii="Arial" w:cs="Arial" w:eastAsia="Arial" w:hAnsi="Arial"/>
          <w:sz w:val="15"/>
          <w:szCs w:val="15"/>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2015, the fair value of the derivative liability – warrants was $2,052,975.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intend to pay cash dividends.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Nevada law has anti-takeover provisions that could discourage, delay or prevent a change in control, which may cause our stock price to decline.</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Properties.</w:t>
      </w:r>
    </w:p>
    <w:p>
      <w:pPr>
        <w:spacing w:after="0" w:line="21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will not receive any proceeds from the sale of shares by the selling stockholders. The shares being resold by the selling stockholders will only be issued if the warrants are exercised, and we may receive proceeds of up to $36,703,547 if all of those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DETERMINATION OF OFFERING PRICE</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SELLING STOCKHOLDERS</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shares of common stock being offered by the selling stockholders are those issuable to the selling stockholders upon the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July 2, 2015, assuming exercise of the warrants held by each such selling stockholder on that date and not taking account of any limitations on conversion and exercise set forth therein.</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third column lists the shares of common stock being offered by this Prospectus by the selling stockholders and does not take in account any limitations on exercise of the warrants set forth therein.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fourth column assumes the sale of all of the shares offered by the selling stockholders pursuant to this Prospectus.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terms of the warrants, a selling stockholder may not (i) exercise the warrants issued in August 2014, the Series A Warrants, the Series D Warrants or the Series E Warrants to the extent (but only to the extent) such selling stockholder or any of its affiliates would beneficially own a number of shares of our common stock which would exceed 4.9%, (ii) exercise the Series B or the Series C Warrants to the extent (but only to the extent) such selling stockholder or any of its affiliates would beneficially own a number of shares of our common stock which would exceed 9.9% and (iii) exercise the Series A-1 Warrants, the Series B-1 Warrants, the Series C-1 Warrants, the Series D-1 Warrants or the Series E-1 Warrants to the extent (but only to the extent) such selling stockholder or any of its affiliates would beneficially own a number of shares of our common stock which would exceed 49.9%. The number of shares in the second column and the third column do not reflect these limitations. The selling stockholders may sell all, some or none of their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6" w:name="page27"/>
    <w:bookmarkEnd w:id="26"/>
    <w:tbl>
      <w:tblPr>
        <w:tblLayout w:type="fixed"/>
        <w:tblInd w:w="1" w:type="dxa"/>
        <w:tblCellMar>
          <w:top w:w="0" w:type="dxa"/>
          <w:left w:w="0" w:type="dxa"/>
          <w:bottom w:w="0" w:type="dxa"/>
          <w:right w:w="0" w:type="dxa"/>
        </w:tblCellMar>
      </w:tblPr>
      <w:tr>
        <w:trPr>
          <w:trHeight w:val="193"/>
        </w:trPr>
        <w:tc>
          <w:tcPr>
            <w:tcW w:w="5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Number of</w:t>
            </w: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Maximum Number of</w:t>
            </w:r>
          </w:p>
        </w:tc>
        <w:tc>
          <w:tcPr>
            <w:tcW w:w="136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Percentage of</w:t>
            </w:r>
          </w:p>
        </w:tc>
      </w:tr>
      <w:tr>
        <w:trPr>
          <w:trHeight w:val="19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Shares of</w:t>
            </w: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Shares of Common</w:t>
            </w: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 of</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Shares of</w:t>
            </w:r>
          </w:p>
        </w:tc>
      </w:tr>
      <w:tr>
        <w:trPr>
          <w:trHeight w:val="19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Common Stock</w:t>
            </w: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Stock to be Sold</w:t>
            </w: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Common Stock</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Common Stock</w:t>
            </w:r>
          </w:p>
        </w:tc>
      </w:tr>
      <w:tr>
        <w:trPr>
          <w:trHeight w:val="19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Owned Prior to</w:t>
            </w: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Pursuant to this</w:t>
            </w: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Owned After</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Owned After</w:t>
            </w:r>
          </w:p>
        </w:tc>
      </w:tr>
      <w:tr>
        <w:trPr>
          <w:trHeight w:val="218"/>
        </w:trPr>
        <w:tc>
          <w:tcPr>
            <w:tcW w:w="5520" w:type="dxa"/>
            <w:vAlign w:val="bottom"/>
          </w:tcPr>
          <w:p>
            <w:pPr>
              <w:spacing w:after="0"/>
              <w:rPr>
                <w:sz w:val="20"/>
                <w:szCs w:val="20"/>
                <w:color w:val="auto"/>
              </w:rPr>
            </w:pPr>
            <w:r>
              <w:rPr>
                <w:rFonts w:ascii="Arial" w:cs="Arial" w:eastAsia="Arial" w:hAnsi="Arial"/>
                <w:sz w:val="16"/>
                <w:szCs w:val="16"/>
                <w:b w:val="1"/>
                <w:bCs w:val="1"/>
                <w:color w:val="auto"/>
              </w:rPr>
              <w:t>Name of Selling Stockholder</w:t>
            </w: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Offering</w:t>
            </w: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Prospectus (1)</w:t>
            </w: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Offering</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the Offering (2)</w:t>
            </w:r>
          </w:p>
        </w:tc>
      </w:tr>
      <w:tr>
        <w:trPr>
          <w:trHeight w:val="202"/>
        </w:trPr>
        <w:tc>
          <w:tcPr>
            <w:tcW w:w="5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Empery Asset Master, LTD (3)</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6,590,156</w:t>
            </w:r>
          </w:p>
        </w:tc>
        <w:tc>
          <w:tcPr>
            <w:tcW w:w="2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5,160,836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1,429,320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Empery Tax Efficient, LP (4)</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1,495,465</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1,153,691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341,774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Empery Tax Efficient II, LP (5)</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10,041,171</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7,172,265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2,868,906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Iroquois Master Fund Ltd. (6)</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8,750,000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American Capital Management LLC (7)</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7"/>
                <w:szCs w:val="17"/>
                <w:color w:val="auto"/>
              </w:rPr>
            </w:pP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 Merav Abbe Irrevocable Trust (8)</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7"/>
                <w:szCs w:val="17"/>
                <w:color w:val="auto"/>
              </w:rPr>
            </w:pP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 Samantha Abbe Irrevocable Trust (9)</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666,680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7"/>
                <w:szCs w:val="17"/>
                <w:color w:val="auto"/>
              </w:rPr>
            </w:pP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 Talia Abbe Irrevocable Trust (10)</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666,640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7"/>
                <w:szCs w:val="17"/>
                <w:color w:val="auto"/>
              </w:rPr>
            </w:pP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 Bennett Abbe Irrevocable Trust (11)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666,640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7"/>
                <w:szCs w:val="17"/>
                <w:color w:val="auto"/>
              </w:rPr>
            </w:pP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Brio Capital Master Fund, Ltd. (12)</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17,500,000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2"/>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Eastern Capital Limited (13)</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40,000,000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bl>
    <w:p>
      <w:pPr>
        <w:spacing w:after="0" w:line="185" w:lineRule="exact"/>
        <w:rPr>
          <w:sz w:val="20"/>
          <w:szCs w:val="20"/>
          <w:color w:val="auto"/>
        </w:rPr>
      </w:pPr>
    </w:p>
    <w:p>
      <w:pPr>
        <w:ind w:left="661" w:hanging="661"/>
        <w:spacing w:after="0" w:line="302" w:lineRule="auto"/>
        <w:tabs>
          <w:tab w:leader="none" w:pos="661"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shares of Common Stock underlying warrants held by the Selling Stockholder that are covered by this Prospectus, including any convertible securities that, due to contractual restrictions, may not be exercisable if such exercise would result in beneficial ownership greater than 4.9%, 9.9% and 49.9%, as applicable.</w:t>
      </w:r>
    </w:p>
    <w:p>
      <w:pPr>
        <w:jc w:val="both"/>
        <w:ind w:left="661" w:hanging="661"/>
        <w:spacing w:after="0" w:line="257" w:lineRule="auto"/>
        <w:tabs>
          <w:tab w:leader="none" w:pos="6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101,525,712 shares of common stock, which includes 38,038,920 shares of common stock issued and outstanding on July 2, 2015 and all 63,486,792 shares of common stock being offered in this Prospectus that may be issued upon exercise of the warrants. In determining this amount, we assumed that all 63,486,792 shares of common stock being offered in this Prospectus that may be issued upon exercise of the warrants will be sold. If this assumption is incorrect, the number of shares and percentages included in this column will differ from what we have provided.</w:t>
      </w:r>
    </w:p>
    <w:p>
      <w:pPr>
        <w:jc w:val="both"/>
        <w:ind w:left="661" w:hanging="661"/>
        <w:spacing w:after="0" w:line="262" w:lineRule="auto"/>
        <w:tabs>
          <w:tab w:leader="none" w:pos="6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70" w:lineRule="exact"/>
        <w:rPr>
          <w:rFonts w:ascii="Arial" w:cs="Arial" w:eastAsia="Arial" w:hAnsi="Arial"/>
          <w:sz w:val="16"/>
          <w:szCs w:val="16"/>
          <w:color w:val="auto"/>
        </w:rPr>
      </w:pPr>
    </w:p>
    <w:p>
      <w:pPr>
        <w:jc w:val="both"/>
        <w:ind w:left="661"/>
        <w:spacing w:after="0" w:line="299"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1,429,320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43" w:lineRule="exact"/>
        <w:rPr>
          <w:rFonts w:ascii="Arial" w:cs="Arial" w:eastAsia="Arial" w:hAnsi="Arial"/>
          <w:sz w:val="16"/>
          <w:szCs w:val="16"/>
          <w:color w:val="auto"/>
        </w:rPr>
      </w:pPr>
    </w:p>
    <w:p>
      <w:pPr>
        <w:jc w:val="both"/>
        <w:ind w:left="661"/>
        <w:spacing w:after="0" w:line="278" w:lineRule="auto"/>
        <w:rPr>
          <w:rFonts w:ascii="Arial" w:cs="Arial" w:eastAsia="Arial" w:hAnsi="Arial"/>
          <w:sz w:val="16"/>
          <w:szCs w:val="16"/>
          <w:color w:val="auto"/>
        </w:rPr>
      </w:pPr>
      <w:r>
        <w:rPr>
          <w:rFonts w:ascii="Arial" w:cs="Arial" w:eastAsia="Arial" w:hAnsi="Arial"/>
          <w:sz w:val="15"/>
          <w:szCs w:val="15"/>
          <w:color w:val="auto"/>
        </w:rPr>
        <w:t>“Shares of Common Stock to be Sold Pursuant to this Prospectus” includes (i) 1,587,536 shares of common stock issuable upon exercise of the warrants sold in August 2014, (ii) 714,660 shares of common stock issuable upon exercise of the Series A Warrants, (iii) 714,660 shares of common stock issuable upon exercise of the Series B Warrants, (iv) 714,660 shares of common stock issuable upon exercise of the Series C Warrants, (v) 714,660 shares of common stock issuable upon exercise of the Series D Warrants and (vi) 714,660 shares of common stock issuable upon exercise of the Series E Warrants.</w:t>
      </w:r>
    </w:p>
    <w:p>
      <w:pPr>
        <w:jc w:val="both"/>
        <w:ind w:left="661" w:hanging="620"/>
        <w:spacing w:after="0" w:line="262" w:lineRule="auto"/>
        <w:tabs>
          <w:tab w:leader="none" w:pos="66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70" w:lineRule="exact"/>
        <w:rPr>
          <w:rFonts w:ascii="Arial" w:cs="Arial" w:eastAsia="Arial" w:hAnsi="Arial"/>
          <w:sz w:val="16"/>
          <w:szCs w:val="16"/>
          <w:color w:val="auto"/>
        </w:rPr>
      </w:pPr>
    </w:p>
    <w:p>
      <w:pPr>
        <w:jc w:val="both"/>
        <w:ind w:left="661"/>
        <w:spacing w:after="0" w:line="299"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341,774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43" w:lineRule="exact"/>
        <w:rPr>
          <w:rFonts w:ascii="Arial" w:cs="Arial" w:eastAsia="Arial" w:hAnsi="Arial"/>
          <w:sz w:val="16"/>
          <w:szCs w:val="16"/>
          <w:color w:val="auto"/>
        </w:rPr>
      </w:pPr>
    </w:p>
    <w:p>
      <w:pPr>
        <w:jc w:val="both"/>
        <w:ind w:left="661"/>
        <w:spacing w:after="0" w:line="290" w:lineRule="auto"/>
        <w:rPr>
          <w:rFonts w:ascii="Arial" w:cs="Arial" w:eastAsia="Arial" w:hAnsi="Arial"/>
          <w:sz w:val="16"/>
          <w:szCs w:val="16"/>
          <w:color w:val="auto"/>
        </w:rPr>
      </w:pPr>
      <w:r>
        <w:rPr>
          <w:rFonts w:ascii="Arial" w:cs="Arial" w:eastAsia="Arial" w:hAnsi="Arial"/>
          <w:sz w:val="15"/>
          <w:szCs w:val="15"/>
          <w:color w:val="auto"/>
        </w:rPr>
        <w:t>“Shares of Common Stock to be Sold Pursuant to this Prospectus” includes (i) 299,256 shares of common stock issuable upon exercise of the warrants sold in August 2014, (ii) 170,887 shares of common stock issuable upon exercise of the Series A Warrants, (iii) 170,887 shares of common stock issuable upon exercise of the Series B Warrants, (iv) 170,887 shares of common stock issuable upon exercise of the Series C Warrants, (v) 170,887 shares of common stock issuable upon exercise of the Series D Warrants and (vi) 170,887 shares of common stock issuable upon exercise of the Series E Warrants.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896" w:right="239" w:bottom="1440" w:gutter="0" w:footer="0" w:header="0"/>
        </w:sectPr>
      </w:pPr>
    </w:p>
    <w:bookmarkStart w:id="27" w:name="page28"/>
    <w:bookmarkEnd w:id="27"/>
    <w:p>
      <w:pPr>
        <w:jc w:val="both"/>
        <w:ind w:left="661" w:hanging="661"/>
        <w:spacing w:after="0" w:line="267" w:lineRule="auto"/>
        <w:tabs>
          <w:tab w:leader="none" w:pos="6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66" w:lineRule="exact"/>
        <w:rPr>
          <w:rFonts w:ascii="Arial" w:cs="Arial" w:eastAsia="Arial" w:hAnsi="Arial"/>
          <w:sz w:val="16"/>
          <w:szCs w:val="16"/>
          <w:color w:val="auto"/>
        </w:rPr>
      </w:pPr>
    </w:p>
    <w:p>
      <w:pPr>
        <w:jc w:val="both"/>
        <w:ind w:left="661"/>
        <w:spacing w:after="0" w:line="299"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2,868,906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43" w:lineRule="exact"/>
        <w:rPr>
          <w:rFonts w:ascii="Arial" w:cs="Arial" w:eastAsia="Arial" w:hAnsi="Arial"/>
          <w:sz w:val="16"/>
          <w:szCs w:val="16"/>
          <w:color w:val="auto"/>
        </w:rPr>
      </w:pPr>
    </w:p>
    <w:p>
      <w:pPr>
        <w:ind w:left="661"/>
        <w:spacing w:after="0"/>
        <w:rPr>
          <w:rFonts w:ascii="Arial" w:cs="Arial" w:eastAsia="Arial" w:hAnsi="Arial"/>
          <w:sz w:val="16"/>
          <w:szCs w:val="16"/>
          <w:color w:val="auto"/>
        </w:rPr>
      </w:pPr>
      <w:r>
        <w:rPr>
          <w:rFonts w:ascii="Arial" w:cs="Arial" w:eastAsia="Arial" w:hAnsi="Arial"/>
          <w:sz w:val="14"/>
          <w:szCs w:val="14"/>
          <w:color w:val="auto"/>
        </w:rPr>
        <w:t>“Shares of Common Stock to be Sold Pursuant to this Prospectus” includes (i) 1,434,453 shares of common stock issuable upon exercise of the Series A Warrants,</w:t>
      </w:r>
    </w:p>
    <w:p>
      <w:pPr>
        <w:spacing w:after="0" w:line="47" w:lineRule="exact"/>
        <w:rPr>
          <w:rFonts w:ascii="Arial" w:cs="Arial" w:eastAsia="Arial" w:hAnsi="Arial"/>
          <w:sz w:val="16"/>
          <w:szCs w:val="16"/>
          <w:color w:val="auto"/>
        </w:rPr>
      </w:pPr>
    </w:p>
    <w:p>
      <w:pPr>
        <w:jc w:val="both"/>
        <w:ind w:left="661" w:hanging="9"/>
        <w:spacing w:after="0" w:line="257" w:lineRule="auto"/>
        <w:tabs>
          <w:tab w:leader="none" w:pos="9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1,434,453 shares of common stock issuable upon exercise of the Series B Warrants, (iii) 1,434,453 shares of common stock issuable upon exercise of the Series C Warrants, (iv) 1,434,453 shares of common stock issuable upon exercise of the Series D Warrants and (v) 1,434,453 shares of common stock issuable upon exercise of the Series E Warrants.</w:t>
      </w:r>
    </w:p>
    <w:p>
      <w:pPr>
        <w:jc w:val="both"/>
        <w:ind w:left="661" w:hanging="661"/>
        <w:spacing w:after="0" w:line="261" w:lineRule="auto"/>
        <w:tabs>
          <w:tab w:leader="none" w:pos="6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70" w:lineRule="exact"/>
        <w:rPr>
          <w:rFonts w:ascii="Arial" w:cs="Arial" w:eastAsia="Arial" w:hAnsi="Arial"/>
          <w:sz w:val="16"/>
          <w:szCs w:val="16"/>
          <w:color w:val="auto"/>
        </w:rPr>
      </w:pPr>
    </w:p>
    <w:p>
      <w:pPr>
        <w:jc w:val="both"/>
        <w:ind w:left="661"/>
        <w:spacing w:after="0" w:line="299"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2,500,000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43" w:lineRule="exact"/>
        <w:rPr>
          <w:rFonts w:ascii="Arial" w:cs="Arial" w:eastAsia="Arial" w:hAnsi="Arial"/>
          <w:sz w:val="16"/>
          <w:szCs w:val="16"/>
          <w:color w:val="auto"/>
        </w:rPr>
      </w:pPr>
    </w:p>
    <w:p>
      <w:pPr>
        <w:ind w:left="661"/>
        <w:spacing w:after="0"/>
        <w:rPr>
          <w:rFonts w:ascii="Arial" w:cs="Arial" w:eastAsia="Arial" w:hAnsi="Arial"/>
          <w:sz w:val="16"/>
          <w:szCs w:val="16"/>
          <w:color w:val="auto"/>
        </w:rPr>
      </w:pPr>
      <w:r>
        <w:rPr>
          <w:rFonts w:ascii="Arial" w:cs="Arial" w:eastAsia="Arial" w:hAnsi="Arial"/>
          <w:sz w:val="14"/>
          <w:szCs w:val="14"/>
          <w:color w:val="auto"/>
        </w:rPr>
        <w:t>“Shares of Common Stock to be Sold Pursuant to this Prospectus” includes (i) 1,250,000 shares of common stock issuable upon exercise of the Series A Warrants,</w:t>
      </w:r>
    </w:p>
    <w:p>
      <w:pPr>
        <w:spacing w:after="0" w:line="47" w:lineRule="exact"/>
        <w:rPr>
          <w:rFonts w:ascii="Arial" w:cs="Arial" w:eastAsia="Arial" w:hAnsi="Arial"/>
          <w:sz w:val="16"/>
          <w:szCs w:val="16"/>
          <w:color w:val="auto"/>
        </w:rPr>
      </w:pPr>
    </w:p>
    <w:p>
      <w:pPr>
        <w:jc w:val="both"/>
        <w:ind w:left="661" w:hanging="9"/>
        <w:spacing w:after="0" w:line="257" w:lineRule="auto"/>
        <w:tabs>
          <w:tab w:leader="none" w:pos="9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1,250,000 shares of common stock issuable upon exercise of the Series B Warrants, (iii) 1,250,000 shares of common stock issuable upon exercise of the Series C Warrants, (iv) 1,250,000 shares of common stock issuable upon exercise of the Series D Warrants and (v) 1,250,000 shares of common stock issuable upon exercise of the Series E Warrants.</w:t>
      </w:r>
    </w:p>
    <w:p>
      <w:pPr>
        <w:ind w:left="661" w:hanging="661"/>
        <w:spacing w:after="0" w:line="274" w:lineRule="auto"/>
        <w:tabs>
          <w:tab w:leader="none" w:pos="6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Kimberly Page has the authority and responsibility for the investments made on behalf of American Capital Management LLC (“ACM”) and accordingly, has voting and dispositive power over the securities held by ACM.</w:t>
      </w:r>
    </w:p>
    <w:p>
      <w:pPr>
        <w:spacing w:after="0" w:line="159" w:lineRule="exact"/>
        <w:rPr>
          <w:rFonts w:ascii="Arial" w:cs="Arial" w:eastAsia="Arial" w:hAnsi="Arial"/>
          <w:sz w:val="16"/>
          <w:szCs w:val="16"/>
          <w:color w:val="auto"/>
        </w:rPr>
      </w:pPr>
    </w:p>
    <w:p>
      <w:pPr>
        <w:jc w:val="both"/>
        <w:ind w:left="661"/>
        <w:spacing w:after="0" w:line="290"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(i) 750,000 shares of common stock issued to the shareholder in January 2015 (we have not verified that this shareholder still holds these shares), (ii) this shareholder’s “Shares of Common Stock to be Sold Pursuant to this Prospectus” and (iii) 1,500,000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1" w:lineRule="exact"/>
        <w:rPr>
          <w:rFonts w:ascii="Arial" w:cs="Arial" w:eastAsia="Arial" w:hAnsi="Arial"/>
          <w:sz w:val="16"/>
          <w:szCs w:val="16"/>
          <w:color w:val="auto"/>
        </w:rPr>
      </w:pPr>
    </w:p>
    <w:p>
      <w:pPr>
        <w:ind w:left="661"/>
        <w:spacing w:after="0"/>
        <w:rPr>
          <w:rFonts w:ascii="Arial" w:cs="Arial" w:eastAsia="Arial" w:hAnsi="Arial"/>
          <w:sz w:val="16"/>
          <w:szCs w:val="16"/>
          <w:color w:val="auto"/>
        </w:rPr>
      </w:pPr>
      <w:r>
        <w:rPr>
          <w:rFonts w:ascii="Arial" w:cs="Arial" w:eastAsia="Arial" w:hAnsi="Arial"/>
          <w:sz w:val="15"/>
          <w:szCs w:val="15"/>
          <w:color w:val="auto"/>
        </w:rPr>
        <w:t>“Shares of Common Stock to be Sold Pursuant to this Prospectus” includes (i) 750,000 shares of common stock issuable upon exercise of the Series A Warrants,</w:t>
      </w:r>
    </w:p>
    <w:p>
      <w:pPr>
        <w:spacing w:after="0" w:line="35" w:lineRule="exact"/>
        <w:rPr>
          <w:rFonts w:ascii="Arial" w:cs="Arial" w:eastAsia="Arial" w:hAnsi="Arial"/>
          <w:sz w:val="16"/>
          <w:szCs w:val="16"/>
          <w:color w:val="auto"/>
        </w:rPr>
      </w:pPr>
    </w:p>
    <w:p>
      <w:pPr>
        <w:jc w:val="both"/>
        <w:ind w:left="661" w:hanging="9"/>
        <w:spacing w:after="0" w:line="257" w:lineRule="auto"/>
        <w:tabs>
          <w:tab w:leader="none" w:pos="9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750,000 shares of common stock issuable upon exercise of the Series B Warrants, (iii) 750,000 shares of common stock issuable upon exercise of the Series C Warrants, (iv) 750,000 shares of common stock issuable upon exercise of the Series D Warrants and (v) 750,000 shares of common stock issuable upon exercise of the Series E Warrants.</w:t>
      </w:r>
    </w:p>
    <w:p>
      <w:pPr>
        <w:ind w:left="661" w:hanging="661"/>
        <w:spacing w:after="0"/>
        <w:tabs>
          <w:tab w:leader="none" w:pos="6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By virtue of his position as trustee, Leo Abbe has voting and dispositive power over the securities held by The Merav Abbe Irrevocable Trust.</w:t>
      </w:r>
    </w:p>
    <w:p>
      <w:pPr>
        <w:spacing w:after="0" w:line="198" w:lineRule="exact"/>
        <w:rPr>
          <w:rFonts w:ascii="Arial" w:cs="Arial" w:eastAsia="Arial" w:hAnsi="Arial"/>
          <w:sz w:val="16"/>
          <w:szCs w:val="16"/>
          <w:color w:val="auto"/>
        </w:rPr>
      </w:pPr>
    </w:p>
    <w:p>
      <w:pPr>
        <w:jc w:val="both"/>
        <w:ind w:left="661"/>
        <w:spacing w:after="0" w:line="290"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(i) 250,000 shares of common stock issued to the shareholder in January 2015 (we have not verified that this shareholder still holds these shares), (ii) this shareholder’s “Shares of Common Stock to be Sold Pursuant to this Prospectus” and (iii) 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1" w:lineRule="exact"/>
        <w:rPr>
          <w:rFonts w:ascii="Arial" w:cs="Arial" w:eastAsia="Arial" w:hAnsi="Arial"/>
          <w:sz w:val="16"/>
          <w:szCs w:val="16"/>
          <w:color w:val="auto"/>
        </w:rPr>
      </w:pPr>
    </w:p>
    <w:p>
      <w:pPr>
        <w:ind w:left="661"/>
        <w:spacing w:after="0"/>
        <w:rPr>
          <w:rFonts w:ascii="Arial" w:cs="Arial" w:eastAsia="Arial" w:hAnsi="Arial"/>
          <w:sz w:val="16"/>
          <w:szCs w:val="16"/>
          <w:color w:val="auto"/>
        </w:rPr>
      </w:pPr>
      <w:r>
        <w:rPr>
          <w:rFonts w:ascii="Arial" w:cs="Arial" w:eastAsia="Arial" w:hAnsi="Arial"/>
          <w:sz w:val="15"/>
          <w:szCs w:val="15"/>
          <w:color w:val="auto"/>
        </w:rPr>
        <w:t>“Shares of Common Stock to be Sold Pursuant to this Prospectus” includes (i) 250,000 shares of common stock issuable upon exercise of the Series A Warrants,</w:t>
      </w:r>
    </w:p>
    <w:p>
      <w:pPr>
        <w:spacing w:after="0" w:line="35" w:lineRule="exact"/>
        <w:rPr>
          <w:rFonts w:ascii="Arial" w:cs="Arial" w:eastAsia="Arial" w:hAnsi="Arial"/>
          <w:sz w:val="16"/>
          <w:szCs w:val="16"/>
          <w:color w:val="auto"/>
        </w:rPr>
      </w:pPr>
    </w:p>
    <w:p>
      <w:pPr>
        <w:jc w:val="both"/>
        <w:ind w:left="661" w:hanging="9"/>
        <w:spacing w:after="0" w:line="265" w:lineRule="auto"/>
        <w:tabs>
          <w:tab w:leader="none" w:pos="9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250,000 shares of common stock issuable upon exercise of the Series B Warrants, (iii) 250,000 shares of common stock issuable upon exercise of the Series C Warrants, (iv) 250,000 shares of common stock issuable upon exercise of the Series D Warrants and (v) 250,000 shares of common stock issuable upon exercise of the Series E Warrants.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6" w:right="239" w:bottom="1440" w:gutter="0" w:footer="0" w:header="0"/>
        </w:sectPr>
      </w:pPr>
    </w:p>
    <w:bookmarkStart w:id="28" w:name="page29"/>
    <w:bookmarkEnd w:id="28"/>
    <w:p>
      <w:pPr>
        <w:ind w:left="1"/>
        <w:spacing w:after="0"/>
        <w:tabs>
          <w:tab w:leader="none" w:pos="641" w:val="left"/>
        </w:tabs>
        <w:rPr>
          <w:sz w:val="20"/>
          <w:szCs w:val="20"/>
          <w:color w:val="auto"/>
        </w:rPr>
      </w:pPr>
      <w:r>
        <w:rPr>
          <w:rFonts w:ascii="Arial" w:cs="Arial" w:eastAsia="Arial" w:hAnsi="Arial"/>
          <w:sz w:val="16"/>
          <w:szCs w:val="16"/>
          <w:color w:val="auto"/>
        </w:rPr>
        <w:t>( 9)</w:t>
      </w:r>
      <w:r>
        <w:rPr>
          <w:sz w:val="20"/>
          <w:szCs w:val="20"/>
          <w:color w:val="auto"/>
        </w:rPr>
        <w:tab/>
      </w:r>
      <w:r>
        <w:rPr>
          <w:rFonts w:ascii="Arial" w:cs="Arial" w:eastAsia="Arial" w:hAnsi="Arial"/>
          <w:sz w:val="14"/>
          <w:szCs w:val="14"/>
          <w:color w:val="auto"/>
        </w:rPr>
        <w:t>By virtue of his position as trustee, Richard Abbe has voting and dispositive power over the securities held by The Samantha Abbe Irrevocable Trust.</w:t>
      </w:r>
    </w:p>
    <w:p>
      <w:pPr>
        <w:spacing w:after="0" w:line="210" w:lineRule="exact"/>
        <w:rPr>
          <w:sz w:val="20"/>
          <w:szCs w:val="20"/>
          <w:color w:val="auto"/>
        </w:rPr>
      </w:pPr>
    </w:p>
    <w:p>
      <w:pPr>
        <w:jc w:val="both"/>
        <w:ind w:left="661"/>
        <w:spacing w:after="0" w:line="290" w:lineRule="auto"/>
        <w:rPr>
          <w:sz w:val="20"/>
          <w:szCs w:val="20"/>
          <w:color w:val="auto"/>
        </w:rPr>
      </w:pPr>
      <w:r>
        <w:rPr>
          <w:rFonts w:ascii="Arial" w:cs="Arial" w:eastAsia="Arial" w:hAnsi="Arial"/>
          <w:sz w:val="15"/>
          <w:szCs w:val="15"/>
          <w:color w:val="auto"/>
        </w:rPr>
        <w:t>“Number of Shares of Common Stock Owned Prior to Offering” includes (i) 83,335 shares of common stock issued to the shareholder in January 2015 (we have not verified that this shareholder still holds these shares), (ii) this shareholder’s “Shares of Common Stock to be Sold Pursuant to this Prospectus” and (iii) 166,670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2" w:lineRule="exact"/>
        <w:rPr>
          <w:sz w:val="20"/>
          <w:szCs w:val="20"/>
          <w:color w:val="auto"/>
        </w:rPr>
      </w:pPr>
    </w:p>
    <w:p>
      <w:pPr>
        <w:jc w:val="both"/>
        <w:ind w:left="661"/>
        <w:spacing w:after="0" w:line="260" w:lineRule="auto"/>
        <w:rPr>
          <w:sz w:val="20"/>
          <w:szCs w:val="20"/>
          <w:color w:val="auto"/>
        </w:rPr>
      </w:pPr>
      <w:r>
        <w:rPr>
          <w:rFonts w:ascii="Arial" w:cs="Arial" w:eastAsia="Arial" w:hAnsi="Arial"/>
          <w:sz w:val="16"/>
          <w:szCs w:val="16"/>
          <w:color w:val="auto"/>
        </w:rPr>
        <w:t>“Shares of Common Stock to be Sold Pursuant to this Prospectus” includes (i) 83,335 shares of common stock issuable upon exercise of the Series A Warrants, (ii) 83,335 shares of common stock issuable upon exercise of the Series B Warrants, (iii) 83,335 shares of common stock issuable upon exercise of the Series C Warrants, (iv) 83,335 shares of common stock issuable upon exercise of the Series D Warrants and (v) 83,335 shares of common stock issuable upon exercise of the Series E Warrants.</w:t>
      </w:r>
    </w:p>
    <w:p>
      <w:pPr>
        <w:spacing w:after="0" w:line="2" w:lineRule="exact"/>
        <w:rPr>
          <w:sz w:val="20"/>
          <w:szCs w:val="20"/>
          <w:color w:val="auto"/>
        </w:rPr>
      </w:pPr>
    </w:p>
    <w:p>
      <w:pPr>
        <w:ind w:left="661" w:hanging="661"/>
        <w:spacing w:after="0"/>
        <w:tabs>
          <w:tab w:leader="none" w:pos="6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198" w:lineRule="exact"/>
        <w:rPr>
          <w:rFonts w:ascii="Arial" w:cs="Arial" w:eastAsia="Arial" w:hAnsi="Arial"/>
          <w:sz w:val="16"/>
          <w:szCs w:val="16"/>
          <w:color w:val="auto"/>
        </w:rPr>
      </w:pPr>
    </w:p>
    <w:p>
      <w:pPr>
        <w:jc w:val="both"/>
        <w:ind w:left="661"/>
        <w:spacing w:after="0" w:line="290"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166,660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1" w:lineRule="exact"/>
        <w:rPr>
          <w:rFonts w:ascii="Arial" w:cs="Arial" w:eastAsia="Arial" w:hAnsi="Arial"/>
          <w:sz w:val="16"/>
          <w:szCs w:val="16"/>
          <w:color w:val="auto"/>
        </w:rPr>
      </w:pPr>
    </w:p>
    <w:p>
      <w:pPr>
        <w:jc w:val="both"/>
        <w:ind w:left="661"/>
        <w:spacing w:after="0" w:line="260" w:lineRule="auto"/>
        <w:rPr>
          <w:rFonts w:ascii="Arial" w:cs="Arial" w:eastAsia="Arial" w:hAnsi="Arial"/>
          <w:sz w:val="16"/>
          <w:szCs w:val="16"/>
          <w:color w:val="auto"/>
        </w:rPr>
      </w:pPr>
      <w:r>
        <w:rPr>
          <w:rFonts w:ascii="Arial" w:cs="Arial" w:eastAsia="Arial" w:hAnsi="Arial"/>
          <w:sz w:val="16"/>
          <w:szCs w:val="16"/>
          <w:color w:val="auto"/>
        </w:rPr>
        <w:t>“Shares of Common Stock to be Sold Pursuant to this Prospectus” includes (i) 83,330 shares of common stock issuable upon exercise of the Series A Warrants, (ii) 83,330 shares of common stock issuable upon exercise of the Series B Warrants, (iii) 83,330 shares of common stock issuable upon exercise of the Series C Warrants, (iv) 83,330 shares of common stock issuable upon exercise of the Series D Warrants and (v) 83,330 shares of common stock issuable upon exercise of the Series E Warrants.</w:t>
      </w:r>
    </w:p>
    <w:p>
      <w:pPr>
        <w:spacing w:after="0" w:line="2" w:lineRule="exact"/>
        <w:rPr>
          <w:rFonts w:ascii="Arial" w:cs="Arial" w:eastAsia="Arial" w:hAnsi="Arial"/>
          <w:sz w:val="16"/>
          <w:szCs w:val="16"/>
          <w:color w:val="auto"/>
        </w:rPr>
      </w:pPr>
    </w:p>
    <w:p>
      <w:pPr>
        <w:ind w:left="661" w:hanging="661"/>
        <w:spacing w:after="0"/>
        <w:tabs>
          <w:tab w:leader="none" w:pos="6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198" w:lineRule="exact"/>
        <w:rPr>
          <w:rFonts w:ascii="Arial" w:cs="Arial" w:eastAsia="Arial" w:hAnsi="Arial"/>
          <w:sz w:val="16"/>
          <w:szCs w:val="16"/>
          <w:color w:val="auto"/>
        </w:rPr>
      </w:pPr>
    </w:p>
    <w:p>
      <w:pPr>
        <w:jc w:val="both"/>
        <w:ind w:left="661"/>
        <w:spacing w:after="0" w:line="290"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166,660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1" w:lineRule="exact"/>
        <w:rPr>
          <w:rFonts w:ascii="Arial" w:cs="Arial" w:eastAsia="Arial" w:hAnsi="Arial"/>
          <w:sz w:val="16"/>
          <w:szCs w:val="16"/>
          <w:color w:val="auto"/>
        </w:rPr>
      </w:pPr>
    </w:p>
    <w:p>
      <w:pPr>
        <w:jc w:val="both"/>
        <w:ind w:left="661"/>
        <w:spacing w:after="0" w:line="260" w:lineRule="auto"/>
        <w:rPr>
          <w:rFonts w:ascii="Arial" w:cs="Arial" w:eastAsia="Arial" w:hAnsi="Arial"/>
          <w:sz w:val="16"/>
          <w:szCs w:val="16"/>
          <w:color w:val="auto"/>
        </w:rPr>
      </w:pPr>
      <w:r>
        <w:rPr>
          <w:rFonts w:ascii="Arial" w:cs="Arial" w:eastAsia="Arial" w:hAnsi="Arial"/>
          <w:sz w:val="16"/>
          <w:szCs w:val="16"/>
          <w:color w:val="auto"/>
        </w:rPr>
        <w:t>“Shares of Common Stock to be Sold Pursuant to this Prospectus” includes (i) 83,330 shares of common stock issuable upon exercise of the Series A Warrants, (ii) 83,330 shares of common stock issuable upon exercise of the Series B Warrants, (iii) 83,330 shares of common stock issuable upon exercise of the Series C Warrants, (iv) 83,330 shares of common stock issuable upon exercise of the Series D Warrants and (v) 83,330 shares of common stock issuable upon exercise of the Series E Warrants.</w:t>
      </w:r>
    </w:p>
    <w:p>
      <w:pPr>
        <w:spacing w:after="0" w:line="2" w:lineRule="exact"/>
        <w:rPr>
          <w:rFonts w:ascii="Arial" w:cs="Arial" w:eastAsia="Arial" w:hAnsi="Arial"/>
          <w:sz w:val="16"/>
          <w:szCs w:val="16"/>
          <w:color w:val="auto"/>
        </w:rPr>
      </w:pPr>
    </w:p>
    <w:p>
      <w:pPr>
        <w:ind w:left="661" w:hanging="661"/>
        <w:spacing w:after="0"/>
        <w:tabs>
          <w:tab w:leader="none" w:pos="6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Shaye Hirsch has voting and dispositive power over the securities owned by the selling stockholder.</w:t>
      </w:r>
    </w:p>
    <w:p>
      <w:pPr>
        <w:spacing w:after="0" w:line="13" w:lineRule="exact"/>
        <w:rPr>
          <w:rFonts w:ascii="Arial" w:cs="Arial" w:eastAsia="Arial" w:hAnsi="Arial"/>
          <w:sz w:val="16"/>
          <w:szCs w:val="16"/>
          <w:color w:val="auto"/>
        </w:rPr>
      </w:pPr>
    </w:p>
    <w:p>
      <w:pPr>
        <w:jc w:val="both"/>
        <w:ind w:left="661"/>
        <w:spacing w:after="0" w:line="291" w:lineRule="auto"/>
        <w:rPr>
          <w:rFonts w:ascii="Arial" w:cs="Arial" w:eastAsia="Arial" w:hAnsi="Arial"/>
          <w:sz w:val="16"/>
          <w:szCs w:val="16"/>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5,000,000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49" w:lineRule="exact"/>
        <w:rPr>
          <w:rFonts w:ascii="Arial" w:cs="Arial" w:eastAsia="Arial" w:hAnsi="Arial"/>
          <w:sz w:val="16"/>
          <w:szCs w:val="16"/>
          <w:color w:val="auto"/>
        </w:rPr>
      </w:pPr>
    </w:p>
    <w:p>
      <w:pPr>
        <w:jc w:val="both"/>
        <w:ind w:left="661"/>
        <w:spacing w:after="0" w:line="260" w:lineRule="auto"/>
        <w:rPr>
          <w:rFonts w:ascii="Arial" w:cs="Arial" w:eastAsia="Arial" w:hAnsi="Arial"/>
          <w:sz w:val="16"/>
          <w:szCs w:val="16"/>
          <w:color w:val="auto"/>
        </w:rPr>
      </w:pPr>
      <w:r>
        <w:rPr>
          <w:rFonts w:ascii="Arial" w:cs="Arial" w:eastAsia="Arial" w:hAnsi="Arial"/>
          <w:sz w:val="16"/>
          <w:szCs w:val="16"/>
          <w:color w:val="auto"/>
        </w:rPr>
        <w:t>“Shares of Common Stock to be Sold Pursuant to this Prospectus” includes (i) 2,500,000 shares of common stock issuable upon exercise of the Series A Warrants, (ii) 2,500,000 shares of common stock issuable upon exercise of the Series B Warrants, (iii) 2,500,000 shares of common stock issuable upon exercise of the Series C Warrants, (iv) 2,500,000 shares of common stock issuable upon exercise of the Series D Warrants and (v) 2,500,000 shares of common stock issuable upon exercise of the Series E Warrants.</w:t>
      </w:r>
    </w:p>
    <w:p>
      <w:pPr>
        <w:spacing w:after="0" w:line="2" w:lineRule="exact"/>
        <w:rPr>
          <w:rFonts w:ascii="Arial" w:cs="Arial" w:eastAsia="Arial" w:hAnsi="Arial"/>
          <w:sz w:val="16"/>
          <w:szCs w:val="16"/>
          <w:color w:val="auto"/>
        </w:rPr>
      </w:pPr>
    </w:p>
    <w:p>
      <w:pPr>
        <w:jc w:val="both"/>
        <w:ind w:left="661" w:hanging="661"/>
        <w:spacing w:after="0" w:line="265" w:lineRule="auto"/>
        <w:tabs>
          <w:tab w:leader="none" w:pos="6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67" w:lineRule="exact"/>
        <w:rPr>
          <w:rFonts w:ascii="Arial" w:cs="Arial" w:eastAsia="Arial" w:hAnsi="Arial"/>
          <w:sz w:val="16"/>
          <w:szCs w:val="16"/>
          <w:color w:val="auto"/>
        </w:rPr>
      </w:pPr>
    </w:p>
    <w:p>
      <w:pPr>
        <w:jc w:val="both"/>
        <w:ind w:left="661"/>
        <w:spacing w:after="0" w:line="267" w:lineRule="auto"/>
        <w:rPr>
          <w:rFonts w:ascii="Arial" w:cs="Arial" w:eastAsia="Arial" w:hAnsi="Arial"/>
          <w:sz w:val="16"/>
          <w:szCs w:val="16"/>
          <w:color w:val="auto"/>
        </w:rPr>
      </w:pPr>
      <w:r>
        <w:rPr>
          <w:rFonts w:ascii="Arial" w:cs="Arial" w:eastAsia="Arial" w:hAnsi="Arial"/>
          <w:sz w:val="16"/>
          <w:szCs w:val="16"/>
          <w:color w:val="auto"/>
        </w:rPr>
        <w:t>“Number of Shares of Common Stock Owned Prior to Offering” includes (i) 5,000,000 shares of common stock issuable to the shareholder upon the exercise of certain B-1 warrants, (ii) 5,000,000 shares of common stock issued in June 2015 upon exercise of 5,000,000 Series C-1 Warrants and (iii)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66" w:lineRule="exact"/>
        <w:rPr>
          <w:rFonts w:ascii="Arial" w:cs="Arial" w:eastAsia="Arial" w:hAnsi="Arial"/>
          <w:sz w:val="16"/>
          <w:szCs w:val="16"/>
          <w:color w:val="auto"/>
        </w:rPr>
      </w:pPr>
    </w:p>
    <w:p>
      <w:pPr>
        <w:jc w:val="both"/>
        <w:ind w:left="661"/>
        <w:spacing w:after="0" w:line="267" w:lineRule="auto"/>
        <w:rPr>
          <w:rFonts w:ascii="Arial" w:cs="Arial" w:eastAsia="Arial" w:hAnsi="Arial"/>
          <w:sz w:val="16"/>
          <w:szCs w:val="16"/>
          <w:color w:val="auto"/>
        </w:rPr>
      </w:pPr>
      <w:r>
        <w:rPr>
          <w:rFonts w:ascii="Arial" w:cs="Arial" w:eastAsia="Arial" w:hAnsi="Arial"/>
          <w:sz w:val="16"/>
          <w:szCs w:val="16"/>
          <w:color w:val="auto"/>
        </w:rPr>
        <w:t>“Shares of Common Stock to be Sold Pursuant to this Prospectus” includes (i) 5,000,000 shares of common stock issuable upon exercise of the Series A-1 Warrants, (ii) 5,000,000 shares of common stock issuable upon exercise of the Series B-1 Warrants, (iii) 5,000,000 shares of common stock issuable upon exercise of the Series C -1Warrants, (iv) 5,000,000 shares of common stock issuable upon exercise of the Series D-1 Warrants, (v) 5,000,000 shares of common stock issuable upon exercise of the Series E-1 Warrants and (vi) 5,000,000 shares issued in March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14" w:lineRule="exact"/>
        <w:rPr>
          <w:sz w:val="20"/>
          <w:szCs w:val="20"/>
          <w:color w:val="auto"/>
        </w:rPr>
      </w:pPr>
    </w:p>
    <w:p>
      <w:pPr>
        <w:jc w:val="both"/>
        <w:ind w:left="1" w:right="240"/>
        <w:spacing w:after="0" w:line="290" w:lineRule="auto"/>
        <w:rPr>
          <w:sz w:val="20"/>
          <w:szCs w:val="20"/>
          <w:color w:val="auto"/>
        </w:rPr>
      </w:pPr>
      <w:r>
        <w:rPr>
          <w:rFonts w:ascii="Arial" w:cs="Arial" w:eastAsia="Arial" w:hAnsi="Arial"/>
          <w:sz w:val="15"/>
          <w:szCs w:val="15"/>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52" w:lineRule="exact"/>
        <w:rPr>
          <w:sz w:val="20"/>
          <w:szCs w:val="20"/>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broker-dealer solicits purchasers;</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transactions involving cross or block trades;</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the broker-dealer for its account;</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exchange distribution in accordance with the rules of the applicable exchange;</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privately negotiated transactions;</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short sales after the registration statement, of which this prospectus forms a part, becomes effective;</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at a stipulated price per share;</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the market” into an existing market for the common stock;</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through the writing of options on the shares;</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combination of any such methods of sale; and</w:t>
      </w:r>
    </w:p>
    <w:p>
      <w:pPr>
        <w:spacing w:after="0" w:line="210" w:lineRule="exact"/>
        <w:rPr>
          <w:rFonts w:ascii="Arial" w:cs="Arial" w:eastAsia="Arial" w:hAnsi="Arial"/>
          <w:sz w:val="16"/>
          <w:szCs w:val="16"/>
          <w:color w:val="auto"/>
        </w:rPr>
      </w:pPr>
    </w:p>
    <w:p>
      <w:pPr>
        <w:ind w:left="881" w:hanging="881"/>
        <w:spacing w:after="0"/>
        <w:tabs>
          <w:tab w:leader="none" w:pos="8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210"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6"/>
          <w:szCs w:val="16"/>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any of the selling stockholders use this prospectus for any sale of the shares of common stock, such selling stockholder will be subject to the prospectus delivery requirements of the Securities Act.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Regulation M</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anti-manipulation rules of Regulation M under the Exchange Act of 1934, as amended (the “Exchange Act”) may apply to sales of our common stock and activities of the selling stockholder.</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General</w:t>
      </w:r>
    </w:p>
    <w:p>
      <w:pPr>
        <w:spacing w:after="0" w:line="214"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At the date hereof, we are authorized by our certificate of incorporation to issue an aggregate of 500,000,000 shares of common stock, par value $0.001 per share and 5,000,000 shares as blank check preferred shares, no par value.</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This prospectus contains only a summary of the common stock the selling stockholders are offering</w:t>
      </w:r>
    </w:p>
    <w:p>
      <w:pPr>
        <w:spacing w:after="0" w:line="210"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Common Stock</w:t>
      </w:r>
    </w:p>
    <w:p>
      <w:pPr>
        <w:spacing w:after="0" w:line="214"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67" w:lineRule="exact"/>
        <w:rPr>
          <w:sz w:val="20"/>
          <w:szCs w:val="20"/>
          <w:color w:val="auto"/>
        </w:rPr>
      </w:pPr>
    </w:p>
    <w:p>
      <w:pPr>
        <w:jc w:val="both"/>
        <w:ind w:left="1"/>
        <w:spacing w:after="0" w:line="299" w:lineRule="auto"/>
        <w:rPr>
          <w:sz w:val="20"/>
          <w:szCs w:val="20"/>
          <w:color w:val="auto"/>
        </w:rPr>
      </w:pPr>
      <w:r>
        <w:rPr>
          <w:rFonts w:ascii="Arial" w:cs="Arial" w:eastAsia="Arial" w:hAnsi="Arial"/>
          <w:sz w:val="15"/>
          <w:szCs w:val="15"/>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Anti-Takeover Provisions</w:t>
      </w:r>
    </w:p>
    <w:p>
      <w:pPr>
        <w:spacing w:after="0" w:line="239"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color w:val="auto"/>
        </w:rPr>
        <w:t>Nevada Law</w:t>
      </w:r>
    </w:p>
    <w:p>
      <w:pPr>
        <w:spacing w:after="0" w:line="235" w:lineRule="exact"/>
        <w:rPr>
          <w:sz w:val="20"/>
          <w:szCs w:val="20"/>
          <w:color w:val="auto"/>
        </w:rPr>
      </w:pPr>
    </w:p>
    <w:p>
      <w:pPr>
        <w:jc w:val="both"/>
        <w:ind w:left="1"/>
        <w:spacing w:after="0" w:line="265"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91"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control share acquisition act is applicable only to shares of “Issuing Corporations” as defined by the Nevada law. An Issuing Corporation is a Nevada corporation which</w:t>
      </w:r>
    </w:p>
    <w:p>
      <w:pPr>
        <w:spacing w:after="0" w:line="36" w:lineRule="exact"/>
        <w:rPr>
          <w:sz w:val="20"/>
          <w:szCs w:val="20"/>
          <w:color w:val="auto"/>
        </w:rPr>
      </w:pPr>
    </w:p>
    <w:p>
      <w:pPr>
        <w:ind w:left="1" w:hanging="1"/>
        <w:spacing w:after="0" w:line="274" w:lineRule="auto"/>
        <w:tabs>
          <w:tab w:leader="none" w:pos="2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200 or more shareholders, with at least 100 of such shareholders being both shareholders of record and residents of Nevada, and (ii) does business in Nevada directly or through an affiliated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2" w:right="239" w:bottom="1440" w:gutter="0" w:footer="0" w:header="0"/>
        </w:sectPr>
      </w:pPr>
    </w:p>
    <w:bookmarkStart w:id="32" w:name="page33"/>
    <w:bookmarkEnd w:id="32"/>
    <w:p>
      <w:pPr>
        <w:jc w:val="both"/>
        <w:spacing w:after="0" w:line="267" w:lineRule="auto"/>
        <w:rPr>
          <w:sz w:val="20"/>
          <w:szCs w:val="20"/>
          <w:color w:val="auto"/>
        </w:rPr>
      </w:pPr>
      <w:r>
        <w:rPr>
          <w:rFonts w:ascii="Arial" w:cs="Arial" w:eastAsia="Arial" w:hAnsi="Arial"/>
          <w:sz w:val="16"/>
          <w:szCs w:val="16"/>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Articles of Incorporation and Bylaws</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Island Stock Transfer, 1550 Roosevelt Blvd Suite 301, Clearwater, FL 33760.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shares of our common stock are quoted on the OTCQB under the symbol TPIV.OB. On July 2, 2015, the last reported sale price per share for our common stock on the OTCQB as reported was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BUSINESS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Cancer Vaccines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6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plans to incorporate the pre-clinical development of Polystart™ as a boost strategy for HER2/neu breast cancer, colorectal cancer, ovarian cancer and triple negative breast cancer.</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Infectious Disease Program</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General</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 the past two quarters, we have, in a challenging financing climate, raised working capital to fund and progress our operations and significantly restructured our balance sheet and capital structure. We believe that we continue to make good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History</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trade on the OTC Bulletin Board (“OTCQB”) under the symbol “TPIV” and on the Frankfurt and Berlin Stock Exchanges under the symbol “GX1A.” The listing on the Berlin Stock Exchange was done without the Company’s knowledge and consent.</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were incorporated under the laws of the State of Nevada in 1991. We have one wholly owned subsidiary named GeneMax Pharmaceuticals Inc. (“GeneMax Pharmaceuticals”).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23, 2014, the US Securities and Exchange Commission declared our registration statement on Form S-3, as amended, effective. We conducted the following three placements under that registration statement:</w:t>
      </w:r>
    </w:p>
    <w:p>
      <w:pPr>
        <w:spacing w:after="0" w:line="174" w:lineRule="exact"/>
        <w:rPr>
          <w:sz w:val="20"/>
          <w:szCs w:val="20"/>
          <w:color w:val="auto"/>
        </w:rPr>
      </w:pPr>
    </w:p>
    <w:p>
      <w:pPr>
        <w:ind w:left="440" w:right="180" w:hanging="146"/>
        <w:spacing w:after="0" w:line="288"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sale of 1,886,792 units in exchange for $2,00,000, with each unit consisting of one share of common stock and a warrant to purchase a share of common stock at an exercise price of $1.06;</w:t>
      </w:r>
    </w:p>
    <w:p>
      <w:pPr>
        <w:spacing w:after="0" w:line="174" w:lineRule="exact"/>
        <w:rPr>
          <w:rFonts w:ascii="Arial" w:cs="Arial" w:eastAsia="Arial" w:hAnsi="Arial"/>
          <w:sz w:val="16"/>
          <w:szCs w:val="16"/>
          <w:color w:val="auto"/>
        </w:rPr>
      </w:pPr>
    </w:p>
    <w:p>
      <w:pPr>
        <w:ind w:left="440" w:right="80" w:hanging="146"/>
        <w:spacing w:after="0" w:line="290"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sale of 7,320,000 units in exchange for $1,464,000, with each unit consisting of a share of common stock as well as (i) a Series A Warrant to purchase a share of common stock at an exercise price (as adjusted) of $0.10, (ii) a Series B Warrant to purchase a share of common stock at an exercise price (as adjusted) of $0.20, (iii) a Series C Warrant to purchase a share of common stock at an exercise price (as adjusted) of $0.50, (iv) a Series D Warrant to purchase a share of common stock at an exercise price of $.75 and (v) a Series E Warrant to purchase a share of common stock at an exercise price of $1.25; and</w:t>
      </w:r>
    </w:p>
    <w:p>
      <w:pPr>
        <w:spacing w:after="0" w:line="151" w:lineRule="exact"/>
        <w:rPr>
          <w:rFonts w:ascii="Arial" w:cs="Arial" w:eastAsia="Arial" w:hAnsi="Arial"/>
          <w:sz w:val="15"/>
          <w:szCs w:val="15"/>
          <w:color w:val="auto"/>
        </w:rPr>
      </w:pPr>
    </w:p>
    <w:p>
      <w:pPr>
        <w:ind w:left="440" w:right="60" w:hanging="146"/>
        <w:spacing w:after="0" w:line="290"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sale of 5,000,000 units in exchange for $1,000,000, with each unit consisting of a share of common stock as well as (i) a Series A-1 Warrant to purchase a share of common stock at an exercise price (as adjusted) of $0.10, (ii) a Series B-1 Warrant to purchase a share of common stock at an exercise price (as adjusted) of $0.20, (iii) a Series C-1 Warrants to purchase a share of common stock at an exercise price of $0.50, (iv) a Series D-1 Warrant to purchase a share of common stock at an exercise price of $0.75 and (v) a Series E-1 Warrant to purchase a share of common stock at an exercise price of $1.25.</w:t>
      </w:r>
    </w:p>
    <w:p>
      <w:pPr>
        <w:spacing w:after="0" w:line="176"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The shares underlying the warrants sold in each of those placements as well the shares sold in the March 2015 placement are being registered with the US Securities and Exchange Commission pursuant to a registration statement of which this prospectus forms a part.</w:t>
      </w:r>
    </w:p>
    <w:p>
      <w:pPr>
        <w:spacing w:after="0" w:line="17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June 2015, we entered into a series of Restructuring Agreements, as amended where applicable, that adjusted the exercise prices of the Series A, Series B, Series C, Series A-1, Series B-1, and Series C-1 warrants and doubled the amount of Series B, Series C, Series B-1 and Series C-1 warrants. Such issuances were made pursuant to Section 3(a)(9) of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Immunotherapy Industry for Cancer</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5" w:name="page36"/>
    <w:bookmarkEnd w:id="35"/>
    <w:p>
      <w:pPr>
        <w:jc w:val="both"/>
        <w:spacing w:after="0" w:line="265"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TapImmune’s Target Market and Strategy</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Efforts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6" w:name="page37"/>
    <w:bookmarkEnd w:id="36"/>
    <w:p>
      <w:pPr>
        <w:jc w:val="both"/>
        <w:spacing w:after="0" w:line="265" w:lineRule="auto"/>
        <w:rPr>
          <w:sz w:val="20"/>
          <w:szCs w:val="20"/>
          <w:color w:val="auto"/>
        </w:rPr>
      </w:pPr>
      <w:r>
        <w:rPr>
          <w:rFonts w:ascii="Arial" w:cs="Arial" w:eastAsia="Arial" w:hAnsi="Arial"/>
          <w:sz w:val="16"/>
          <w:szCs w:val="16"/>
          <w:color w:val="auto"/>
        </w:rPr>
        <w:t>(Co-linear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Technology in Development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5"/>
          <w:szCs w:val="15"/>
          <w:i w:val="1"/>
          <w:iCs w:val="1"/>
          <w:color w:val="auto"/>
        </w:rPr>
        <w:t>i.e</w:t>
      </w:r>
      <w:r>
        <w:rPr>
          <w:rFonts w:ascii="Arial" w:cs="Arial" w:eastAsia="Arial" w:hAnsi="Arial"/>
          <w:sz w:val="15"/>
          <w:szCs w:val="15"/>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Phase I Human Clinical Trials – </w:t>
      </w:r>
      <w:r>
        <w:rPr>
          <w:rFonts w:ascii="Arial" w:cs="Arial" w:eastAsia="Arial" w:hAnsi="Arial"/>
          <w:sz w:val="16"/>
          <w:szCs w:val="16"/>
          <w:b w:val="1"/>
          <w:bCs w:val="1"/>
          <w:color w:val="auto"/>
        </w:rPr>
        <w:t>HER2/neu+ Breast Cancer – Mayo Clinic</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5"/>
          <w:szCs w:val="15"/>
          <w:u w:val="single" w:color="auto"/>
          <w:color w:val="auto"/>
        </w:rPr>
        <w:t>interim safety analysis</w:t>
      </w:r>
      <w:r>
        <w:rPr>
          <w:rFonts w:ascii="Arial" w:cs="Arial" w:eastAsia="Arial" w:hAnsi="Arial"/>
          <w:sz w:val="15"/>
          <w:szCs w:val="15"/>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Phase I Human Clinical Trials – </w:t>
      </w:r>
      <w:r>
        <w:rPr>
          <w:rFonts w:ascii="Arial" w:cs="Arial" w:eastAsia="Arial" w:hAnsi="Arial"/>
          <w:sz w:val="16"/>
          <w:szCs w:val="16"/>
          <w:b w:val="1"/>
          <w:bCs w:val="1"/>
          <w:color w:val="auto"/>
        </w:rPr>
        <w:t>Folate Alpha Breast and Ovarian Cancer – Mayo Clinic</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19, 2014, the Company announced the signing of an exclusive option agreement for a set of unique peptide epitopes targeting Folate Receptor Alpha in both breast cancer and ovarian cancer.</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24 patient Phase I clinical trial is currently underway. The trial is fully enrolled and closed, and will be evaluated for Phase II advancement in 2015 when all Phase I data has been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7" w:name="page38"/>
    <w:bookmarkEnd w:id="37"/>
    <w:p>
      <w:pPr>
        <w:jc w:val="both"/>
        <w:spacing w:after="0" w:line="288" w:lineRule="auto"/>
        <w:rPr>
          <w:sz w:val="20"/>
          <w:szCs w:val="20"/>
          <w:color w:val="auto"/>
        </w:rPr>
      </w:pPr>
      <w:r>
        <w:rPr>
          <w:rFonts w:ascii="Arial" w:cs="Arial" w:eastAsia="Arial" w:hAnsi="Arial"/>
          <w:sz w:val="16"/>
          <w:szCs w:val="16"/>
          <w:color w:val="auto"/>
        </w:rPr>
        <w:t>No serious adverse events have occurred to date and 20 out of 21 evaluable patients showed positive immune responses providing a strong rationale rational for progressing to phase 2 trials. More information can be seen at: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http://clinicaltrials.gov/ct2/show/NCT01606241?term=folate+receptor+alpha&amp;rank=1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Polystart™</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Relationships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Mayo Foundation for Medical Education and Research</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Following approval of the IND by the FDA in July, 2011, TapImmune and the Mayo Foundation executed a Sponsored Research Agreement for the clinical trial.</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4, 2012, Mayo IRB approval was confirmed and patient dosing started in August 2012. Interim safety analysis on the first five patients was completed successfully allowing continuation of the trial.</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Intellectual Property, Patents and Trademarks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9" w:name="page40"/>
    <w:bookmarkEnd w:id="39"/>
    <w:p>
      <w:pPr>
        <w:jc w:val="both"/>
        <w:spacing w:after="0" w:line="267" w:lineRule="auto"/>
        <w:rPr>
          <w:sz w:val="20"/>
          <w:szCs w:val="20"/>
          <w:color w:val="auto"/>
        </w:rPr>
      </w:pPr>
      <w:r>
        <w:rPr>
          <w:rFonts w:ascii="Arial" w:cs="Arial" w:eastAsia="Arial" w:hAnsi="Arial"/>
          <w:sz w:val="16"/>
          <w:szCs w:val="16"/>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manufacturers of approved products and their manufacturing facilities are subject to continual review and periodic inspections.</w:t>
      </w:r>
    </w:p>
    <w:p>
      <w:pPr>
        <w:spacing w:after="0" w:line="210"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Canada</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6"/>
          <w:szCs w:val="16"/>
          <w:u w:val="single" w:color="auto"/>
          <w:color w:val="auto"/>
        </w:rPr>
        <w:t>www.hc-sc.gc.ca</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Jurisdictions</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 and Insurance</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to settle that matter.</w:t>
      </w:r>
    </w:p>
    <w:p>
      <w:pPr>
        <w:spacing w:after="0" w:line="24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0" w:name="page41"/>
    <w:bookmarkEnd w:id="40"/>
    <w:p>
      <w:pPr>
        <w:ind w:right="240"/>
        <w:spacing w:after="0" w:line="324" w:lineRule="auto"/>
        <w:rPr>
          <w:sz w:val="20"/>
          <w:szCs w:val="20"/>
          <w:color w:val="auto"/>
        </w:rPr>
      </w:pPr>
      <w:r>
        <w:rPr>
          <w:rFonts w:ascii="Arial" w:cs="Arial" w:eastAsia="Arial" w:hAnsi="Arial"/>
          <w:sz w:val="15"/>
          <w:szCs w:val="15"/>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14"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63" w:lineRule="exact"/>
        <w:rPr>
          <w:sz w:val="20"/>
          <w:szCs w:val="20"/>
          <w:color w:val="auto"/>
        </w:rPr>
      </w:pPr>
    </w:p>
    <w:p>
      <w:pPr>
        <w:jc w:val="both"/>
        <w:ind w:right="60"/>
        <w:spacing w:after="0" w:line="324" w:lineRule="auto"/>
        <w:rPr>
          <w:sz w:val="20"/>
          <w:szCs w:val="20"/>
          <w:color w:val="auto"/>
        </w:rPr>
      </w:pPr>
      <w:r>
        <w:rPr>
          <w:rFonts w:ascii="Arial" w:cs="Arial" w:eastAsia="Arial" w:hAnsi="Arial"/>
          <w:sz w:val="15"/>
          <w:szCs w:val="15"/>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High Bid</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Low Bid</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1"/>
        </w:trPr>
        <w:tc>
          <w:tcPr>
            <w:tcW w:w="8580" w:type="dxa"/>
            <w:vAlign w:val="bottom"/>
          </w:tcPr>
          <w:p>
            <w:pPr>
              <w:spacing w:after="0"/>
              <w:rPr>
                <w:sz w:val="20"/>
                <w:szCs w:val="20"/>
                <w:color w:val="auto"/>
              </w:rPr>
            </w:pPr>
            <w:r>
              <w:rPr>
                <w:rFonts w:ascii="Arial" w:cs="Arial" w:eastAsia="Arial" w:hAnsi="Arial"/>
                <w:sz w:val="16"/>
                <w:szCs w:val="16"/>
                <w:b w:val="1"/>
                <w:bCs w:val="1"/>
                <w:color w:val="auto"/>
              </w:rPr>
              <w:t>Fiscal Year 2015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June 30, 2015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0.17</w:t>
            </w:r>
          </w:p>
        </w:tc>
      </w:tr>
      <w:tr>
        <w:trPr>
          <w:trHeight w:val="208"/>
        </w:trPr>
        <w:tc>
          <w:tcPr>
            <w:tcW w:w="8580" w:type="dxa"/>
            <w:vAlign w:val="bottom"/>
          </w:tcPr>
          <w:p>
            <w:pPr>
              <w:ind w:left="140"/>
              <w:spacing w:after="0"/>
              <w:rPr>
                <w:sz w:val="20"/>
                <w:szCs w:val="20"/>
                <w:color w:val="auto"/>
              </w:rPr>
            </w:pPr>
            <w:r>
              <w:rPr>
                <w:rFonts w:ascii="Arial" w:cs="Arial" w:eastAsia="Arial" w:hAnsi="Arial"/>
                <w:sz w:val="16"/>
                <w:szCs w:val="16"/>
                <w:color w:val="auto"/>
              </w:rPr>
              <w:t>March 31, 2015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0.36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0.12</w:t>
            </w:r>
          </w:p>
        </w:tc>
      </w:tr>
      <w:tr>
        <w:trPr>
          <w:trHeight w:val="383"/>
        </w:trPr>
        <w:tc>
          <w:tcPr>
            <w:tcW w:w="8580" w:type="dxa"/>
            <w:vAlign w:val="bottom"/>
          </w:tcPr>
          <w:p>
            <w:pPr>
              <w:spacing w:after="0"/>
              <w:rPr>
                <w:sz w:val="20"/>
                <w:szCs w:val="20"/>
                <w:color w:val="auto"/>
              </w:rPr>
            </w:pPr>
            <w:r>
              <w:rPr>
                <w:rFonts w:ascii="Arial" w:cs="Arial" w:eastAsia="Arial" w:hAnsi="Arial"/>
                <w:sz w:val="16"/>
                <w:szCs w:val="16"/>
                <w:b w:val="1"/>
                <w:bCs w:val="1"/>
                <w:color w:val="auto"/>
              </w:rPr>
              <w:t>Fiscal Year 2014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December 31, 2014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0.32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0.28</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September 30, 2014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0.66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0.62</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June 28, 2014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1.93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1.80</w:t>
            </w:r>
          </w:p>
        </w:tc>
      </w:tr>
      <w:tr>
        <w:trPr>
          <w:trHeight w:val="208"/>
        </w:trPr>
        <w:tc>
          <w:tcPr>
            <w:tcW w:w="8580" w:type="dxa"/>
            <w:vAlign w:val="bottom"/>
          </w:tcPr>
          <w:p>
            <w:pPr>
              <w:ind w:left="80"/>
              <w:spacing w:after="0"/>
              <w:rPr>
                <w:sz w:val="20"/>
                <w:szCs w:val="20"/>
                <w:color w:val="auto"/>
              </w:rPr>
            </w:pPr>
            <w:r>
              <w:rPr>
                <w:rFonts w:ascii="Arial" w:cs="Arial" w:eastAsia="Arial" w:hAnsi="Arial"/>
                <w:sz w:val="16"/>
                <w:szCs w:val="16"/>
                <w:color w:val="auto"/>
              </w:rPr>
              <w:t>March 31, 2014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4.09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3.50</w:t>
            </w:r>
          </w:p>
        </w:tc>
      </w:tr>
      <w:tr>
        <w:trPr>
          <w:trHeight w:val="383"/>
        </w:trPr>
        <w:tc>
          <w:tcPr>
            <w:tcW w:w="8580" w:type="dxa"/>
            <w:vAlign w:val="bottom"/>
          </w:tcPr>
          <w:p>
            <w:pPr>
              <w:spacing w:after="0"/>
              <w:rPr>
                <w:sz w:val="20"/>
                <w:szCs w:val="20"/>
                <w:color w:val="auto"/>
              </w:rPr>
            </w:pPr>
            <w:r>
              <w:rPr>
                <w:rFonts w:ascii="Arial" w:cs="Arial" w:eastAsia="Arial" w:hAnsi="Arial"/>
                <w:sz w:val="16"/>
                <w:szCs w:val="16"/>
                <w:b w:val="1"/>
                <w:bCs w:val="1"/>
                <w:color w:val="auto"/>
              </w:rPr>
              <w:t>Fiscal Year 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December 31, 2013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1.60</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September 30, 2013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June 28, 2013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3.20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r>
      <w:tr>
        <w:trPr>
          <w:trHeight w:val="209"/>
        </w:trPr>
        <w:tc>
          <w:tcPr>
            <w:tcW w:w="8580" w:type="dxa"/>
            <w:vAlign w:val="bottom"/>
          </w:tcPr>
          <w:p>
            <w:pPr>
              <w:ind w:left="80"/>
              <w:spacing w:after="0"/>
              <w:rPr>
                <w:sz w:val="20"/>
                <w:szCs w:val="20"/>
                <w:color w:val="auto"/>
              </w:rPr>
            </w:pPr>
            <w:r>
              <w:rPr>
                <w:rFonts w:ascii="Arial" w:cs="Arial" w:eastAsia="Arial" w:hAnsi="Arial"/>
                <w:sz w:val="16"/>
                <w:szCs w:val="16"/>
                <w:color w:val="auto"/>
              </w:rPr>
              <w:t>March 28, 2013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10.20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9.22</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last reported sales price for our shares on the OTCQB as of July 2, 2015, was $1.02 per share. As of July 2, 2015, we had 416 shareholders of record.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1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No dividends have been declared or paid on our common stock. We have incurred recurring losses and do not currently intend to pay any cash dividends in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Compensation Plans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2014: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25868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1"/>
          </w:cols>
          <w:pgMar w:left="239" w:top="89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 w:right="2380"/>
        <w:spacing w:after="0" w:line="364" w:lineRule="auto"/>
        <w:rPr>
          <w:sz w:val="20"/>
          <w:szCs w:val="20"/>
          <w:color w:val="auto"/>
        </w:rPr>
      </w:pPr>
      <w:r>
        <w:rPr>
          <w:rFonts w:ascii="Arial" w:cs="Arial" w:eastAsia="Arial" w:hAnsi="Arial"/>
          <w:sz w:val="14"/>
          <w:szCs w:val="14"/>
          <w:color w:val="auto"/>
        </w:rPr>
        <w:t>(a)Equity compensation plans approved by security holders (b)Equity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452882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288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45288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288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45288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288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45288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288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104775</wp:posOffset>
            </wp:positionV>
            <wp:extent cx="45288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288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45288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288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Number of</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remaining</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available for</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80"/>
              <w:spacing w:after="0"/>
              <w:rPr>
                <w:sz w:val="20"/>
                <w:szCs w:val="20"/>
                <w:color w:val="auto"/>
              </w:rPr>
            </w:pPr>
            <w:r>
              <w:rPr>
                <w:rFonts w:ascii="Arial" w:cs="Arial" w:eastAsia="Arial" w:hAnsi="Arial"/>
                <w:sz w:val="16"/>
                <w:szCs w:val="16"/>
                <w:color w:val="auto"/>
                <w:w w:val="96"/>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2"/>
              </w:rPr>
              <w:t>future issuance</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securities to be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Weighted</w:t>
            </w: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5"/>
              </w:rPr>
              <w:t>under equity</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60"/>
              <w:spacing w:after="0"/>
              <w:rPr>
                <w:sz w:val="20"/>
                <w:szCs w:val="20"/>
                <w:color w:val="auto"/>
              </w:rPr>
            </w:pPr>
            <w:r>
              <w:rPr>
                <w:rFonts w:ascii="Arial" w:cs="Arial" w:eastAsia="Arial" w:hAnsi="Arial"/>
                <w:sz w:val="16"/>
                <w:szCs w:val="16"/>
                <w:color w:val="auto"/>
                <w:w w:val="90"/>
              </w:rPr>
              <w:t>issued upon</w:t>
            </w: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average exercise</w:t>
            </w: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2"/>
              </w:rPr>
              <w:t>compensation</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80"/>
              <w:spacing w:after="0"/>
              <w:rPr>
                <w:sz w:val="20"/>
                <w:szCs w:val="20"/>
                <w:color w:val="auto"/>
              </w:rPr>
            </w:pPr>
            <w:r>
              <w:rPr>
                <w:rFonts w:ascii="Arial" w:cs="Arial" w:eastAsia="Arial" w:hAnsi="Arial"/>
                <w:sz w:val="16"/>
                <w:szCs w:val="16"/>
                <w:color w:val="auto"/>
                <w:w w:val="93"/>
              </w:rPr>
              <w:t>exercise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5"/>
              </w:rPr>
              <w:t>price of</w:t>
            </w: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plans (excluding</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outstanding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outstanding</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options, warrants</w:t>
            </w: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options, warrants</w:t>
            </w: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reflected in</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and rights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and rights</w:t>
            </w:r>
          </w:p>
        </w:tc>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w w:val="95"/>
              </w:rPr>
              <w:t>column (a)</w:t>
            </w:r>
          </w:p>
        </w:tc>
        <w:tc>
          <w:tcPr>
            <w:tcW w:w="0" w:type="dxa"/>
            <w:vAlign w:val="bottom"/>
          </w:tcPr>
          <w:p>
            <w:pPr>
              <w:spacing w:after="0"/>
              <w:rPr>
                <w:sz w:val="1"/>
                <w:szCs w:val="1"/>
                <w:color w:val="auto"/>
              </w:rPr>
            </w:pPr>
          </w:p>
        </w:tc>
      </w:tr>
      <w:tr>
        <w:trPr>
          <w:trHeight w:val="209"/>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w:t>
            </w:r>
          </w:p>
        </w:tc>
        <w:tc>
          <w:tcPr>
            <w:tcW w:w="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color w:val="auto"/>
                <w:w w:val="91"/>
              </w:rPr>
              <w:t>(b)</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65,430(1)</w:t>
            </w:r>
          </w:p>
        </w:tc>
        <w:tc>
          <w:tcPr>
            <w:tcW w:w="10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18.00</w:t>
            </w:r>
          </w:p>
        </w:tc>
        <w:tc>
          <w:tcPr>
            <w:tcW w:w="240" w:type="dxa"/>
            <w:vAlign w:val="bottom"/>
            <w:vMerge w:val="continue"/>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34,570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ind w:left="920"/>
              <w:spacing w:after="0"/>
              <w:rPr>
                <w:sz w:val="20"/>
                <w:szCs w:val="20"/>
                <w:color w:val="auto"/>
              </w:rPr>
            </w:pPr>
            <w:r>
              <w:rPr>
                <w:rFonts w:ascii="Arial" w:cs="Arial" w:eastAsia="Arial" w:hAnsi="Arial"/>
                <w:sz w:val="16"/>
                <w:szCs w:val="16"/>
                <w:color w:val="auto"/>
              </w:rPr>
              <w:t>Nil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Nil</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Nil</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1"/>
              </w:rPr>
              <w:t>(1)</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20" w:type="dxa"/>
            <w:vAlign w:val="bottom"/>
          </w:tcPr>
          <w:p>
            <w:pPr>
              <w:jc w:val="right"/>
              <w:spacing w:after="0" w:line="177" w:lineRule="exact"/>
              <w:rPr>
                <w:sz w:val="20"/>
                <w:szCs w:val="20"/>
                <w:color w:val="auto"/>
              </w:rPr>
            </w:pPr>
            <w:r>
              <w:rPr>
                <w:rFonts w:ascii="Arial" w:cs="Arial" w:eastAsia="Arial" w:hAnsi="Arial"/>
                <w:sz w:val="16"/>
                <w:szCs w:val="16"/>
                <w:color w:val="auto"/>
              </w:rPr>
              <w:t>65,430</w:t>
            </w:r>
          </w:p>
        </w:tc>
        <w:tc>
          <w:tcPr>
            <w:tcW w:w="2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7" w:lineRule="exact"/>
              <w:rPr>
                <w:sz w:val="20"/>
                <w:szCs w:val="20"/>
                <w:color w:val="auto"/>
              </w:rPr>
            </w:pPr>
            <w:r>
              <w:rPr>
                <w:rFonts w:ascii="Arial" w:cs="Arial" w:eastAsia="Arial" w:hAnsi="Arial"/>
                <w:sz w:val="16"/>
                <w:szCs w:val="16"/>
                <w:color w:val="auto"/>
              </w:rPr>
              <w:t>18.00</w:t>
            </w:r>
          </w:p>
        </w:tc>
        <w:tc>
          <w:tcPr>
            <w:tcW w:w="240" w:type="dxa"/>
            <w:vAlign w:val="bottom"/>
            <w:vMerge w:val="continue"/>
          </w:tcPr>
          <w:p>
            <w:pPr>
              <w:spacing w:after="0"/>
              <w:rPr>
                <w:sz w:val="16"/>
                <w:szCs w:val="16"/>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34,570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6541" w:space="720"/>
            <w:col w:w="4160"/>
          </w:cols>
          <w:pgMar w:left="239" w:top="899" w:right="239" w:bottom="1440" w:gutter="0" w:footer="0" w:header="0"/>
          <w:type w:val="continuous"/>
        </w:sectPr>
      </w:pPr>
    </w:p>
    <w:p>
      <w:pPr>
        <w:ind w:left="1" w:right="400" w:hanging="1"/>
        <w:spacing w:after="0" w:line="288" w:lineRule="auto"/>
        <w:tabs>
          <w:tab w:leader="none" w:pos="2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plan under which these shares were issued was approved by the Board of Directors and the shareholders in 2009 but did not come into effect until February 22, 2010.</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Stock Incentive Plan</w:t>
      </w:r>
    </w:p>
    <w:p>
      <w:pPr>
        <w:spacing w:after="0" w:line="214"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163"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The foregoing summary of the 2009 Stock Incentive Plan is not complete and is qualified in its entirety by reference to the 2009 Stock Incentive Plan, a copy of which has been filed with the SEC.</w:t>
      </w:r>
    </w:p>
    <w:p>
      <w:pPr>
        <w:spacing w:after="0" w:line="150"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To date, 65,430 options have been issued under the 2009 Plan. Of those options, 42,500 were issued to members of our scientific advisory board, and our Chief Executive Officer.</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4"/>
          <w:szCs w:val="14"/>
          <w:color w:val="auto"/>
        </w:rPr>
        <w:t>On March 19, 2014, we adopted the 2014 Omnibus Stock Option Plan (“2014 Plan”). The 2014 Plan allows for the issuance of 2,000,000 options to acquire common shares.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Warrants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color w:val="auto"/>
        </w:rPr>
        <w:t>As of June 18, 2015, there are an aggregate of 84,382,892 common stock purchase warrants issued and outstanding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has previously reported all issuances of unregistered equity during the year ended December 31, 2014 through June 19, 2015.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RESULTS OF OPERATIONS</w:t>
      </w:r>
    </w:p>
    <w:p>
      <w:pPr>
        <w:spacing w:after="0" w:line="224"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In reviewing “Management’s Discussion and Analysis of Financial Condition and Results of Operations”, you should refer to our Consolidated Financial Statements and the notes related thereto.</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Results of Operations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899" w:right="239" w:bottom="1440" w:gutter="0" w:footer="0" w:header="0"/>
          <w:type w:val="continuous"/>
        </w:sectPr>
      </w:pPr>
    </w:p>
    <w:bookmarkStart w:id="42" w:name="page43"/>
    <w:bookmarkEnd w:id="42"/>
    <w:p>
      <w:pPr>
        <w:ind w:left="1"/>
        <w:spacing w:after="0"/>
        <w:rPr>
          <w:sz w:val="20"/>
          <w:szCs w:val="20"/>
          <w:color w:val="auto"/>
        </w:rPr>
      </w:pPr>
      <w:r>
        <w:rPr>
          <w:rFonts w:ascii="Arial" w:cs="Arial" w:eastAsia="Arial" w:hAnsi="Arial"/>
          <w:sz w:val="16"/>
          <w:szCs w:val="16"/>
          <w:b w:val="1"/>
          <w:bCs w:val="1"/>
          <w:i w:val="1"/>
          <w:iCs w:val="1"/>
          <w:color w:val="auto"/>
        </w:rPr>
        <w:t>Three Months Ended March 31, 2015 Compared to Three Months Ended March 31, 2014</w:t>
      </w:r>
    </w:p>
    <w:p>
      <w:pPr>
        <w:spacing w:after="0" w:line="210" w:lineRule="exact"/>
        <w:rPr>
          <w:sz w:val="20"/>
          <w:szCs w:val="20"/>
          <w:color w:val="auto"/>
        </w:rPr>
      </w:pPr>
    </w:p>
    <w:p>
      <w:pPr>
        <w:jc w:val="both"/>
        <w:ind w:left="1"/>
        <w:spacing w:after="0" w:line="265" w:lineRule="auto"/>
        <w:rPr>
          <w:sz w:val="20"/>
          <w:szCs w:val="20"/>
          <w:color w:val="auto"/>
        </w:rPr>
      </w:pPr>
      <w:r>
        <w:rPr>
          <w:rFonts w:ascii="Arial" w:cs="Arial" w:eastAsia="Arial" w:hAnsi="Arial"/>
          <w:sz w:val="16"/>
          <w:szCs w:val="16"/>
          <w:color w:val="auto"/>
        </w:rPr>
        <w:t>We recorded a net loss of $982,000 or ($0.04) per share during the three months ended March 31, 2015 compared to $29,707,000 or ($3.89) per share for the three months ended March 31, 2014. $27,663,430 of the net loss in the three months ended March 31, 2014 resulted from the conversion in that quarter of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167"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Operating costs decreased to $1,028,000 during the three months ended March 31, 2015 compared to $1,187,000 in the prior period. Significant changes in operating expenses are outlined as follows:</w:t>
      </w:r>
    </w:p>
    <w:p>
      <w:pPr>
        <w:spacing w:after="0" w:line="150" w:lineRule="exact"/>
        <w:rPr>
          <w:sz w:val="20"/>
          <w:szCs w:val="20"/>
          <w:color w:val="auto"/>
        </w:rPr>
      </w:pPr>
    </w:p>
    <w:p>
      <w:pPr>
        <w:jc w:val="both"/>
        <w:ind w:left="381" w:hanging="381"/>
        <w:spacing w:after="0" w:line="329" w:lineRule="auto"/>
        <w:tabs>
          <w:tab w:leader="none" w:pos="381"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126" w:lineRule="exact"/>
        <w:rPr>
          <w:rFonts w:ascii="Arial" w:cs="Arial" w:eastAsia="Arial" w:hAnsi="Arial"/>
          <w:sz w:val="14"/>
          <w:szCs w:val="14"/>
          <w:color w:val="auto"/>
        </w:rPr>
      </w:pPr>
    </w:p>
    <w:p>
      <w:pPr>
        <w:jc w:val="both"/>
        <w:ind w:left="381" w:hanging="381"/>
        <w:spacing w:after="0" w:line="272" w:lineRule="auto"/>
        <w:tabs>
          <w:tab w:leader="none" w:pos="381"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weighted average number of shares outstanding was 27,611,255 for the three months ended March 31, 2015 compared to 7,631,669 for the prior year.</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Year Ended December 31, 2014 Compared to the Year Ended December 31, 2013</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recorded a net loss of $30,883,000 during the year ended December 31, 2014 compared to $5,533,000 for the year ended December 31, 2013.</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Operating Expenses</w:t>
      </w:r>
    </w:p>
    <w:p>
      <w:pPr>
        <w:spacing w:after="0" w:line="210"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Operating expenses incurred during the fiscal year ended December 31, 2014 were $3,425,000 compared to $2,664,000 in the prior year. Significant changes and expenditures are outlined as follows:</w:t>
      </w:r>
    </w:p>
    <w:p>
      <w:pPr>
        <w:spacing w:after="0" w:line="150" w:lineRule="exact"/>
        <w:rPr>
          <w:sz w:val="20"/>
          <w:szCs w:val="20"/>
          <w:color w:val="auto"/>
        </w:rPr>
      </w:pPr>
    </w:p>
    <w:p>
      <w:pPr>
        <w:jc w:val="both"/>
        <w:ind w:left="381" w:hanging="381"/>
        <w:spacing w:after="0" w:line="290" w:lineRule="auto"/>
        <w:tabs>
          <w:tab w:leader="none" w:pos="381" w:val="left"/>
        </w:tabs>
        <w:numPr>
          <w:ilvl w:val="0"/>
          <w:numId w:val="28"/>
        </w:numPr>
        <w:rPr>
          <w:rFonts w:ascii="Arial" w:cs="Arial" w:eastAsia="Arial" w:hAnsi="Arial"/>
          <w:sz w:val="15"/>
          <w:szCs w:val="15"/>
          <w:color w:val="auto"/>
        </w:rPr>
      </w:pPr>
      <w:r>
        <w:rPr>
          <w:rFonts w:ascii="Arial" w:cs="Arial" w:eastAsia="Arial" w:hAnsi="Arial"/>
          <w:sz w:val="15"/>
          <w:szCs w:val="15"/>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51" w:lineRule="exact"/>
        <w:rPr>
          <w:rFonts w:ascii="Arial" w:cs="Arial" w:eastAsia="Arial" w:hAnsi="Arial"/>
          <w:sz w:val="15"/>
          <w:szCs w:val="15"/>
          <w:color w:val="auto"/>
        </w:rPr>
      </w:pPr>
    </w:p>
    <w:p>
      <w:pPr>
        <w:ind w:left="381" w:hanging="381"/>
        <w:spacing w:after="0" w:line="288" w:lineRule="auto"/>
        <w:tabs>
          <w:tab w:leader="none" w:pos="3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150"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sets forth our cash and working capital as of March 31, 2015 and December 31, 2014:</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8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March 31, 2015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36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8580" w:type="dxa"/>
            <w:vAlign w:val="bottom"/>
          </w:tcPr>
          <w:p>
            <w:pPr>
              <w:spacing w:after="0"/>
              <w:rPr>
                <w:sz w:val="20"/>
                <w:szCs w:val="20"/>
                <w:color w:val="auto"/>
              </w:rPr>
            </w:pPr>
            <w:r>
              <w:rPr>
                <w:rFonts w:ascii="Arial" w:cs="Arial" w:eastAsia="Arial" w:hAnsi="Arial"/>
                <w:sz w:val="16"/>
                <w:szCs w:val="16"/>
                <w:color w:val="auto"/>
              </w:rPr>
              <w:t>Cash reserves</w:t>
            </w:r>
          </w:p>
        </w:tc>
        <w:tc>
          <w:tcPr>
            <w:tcW w:w="400" w:type="dxa"/>
            <w:vAlign w:val="bottom"/>
            <w:gridSpan w:val="2"/>
          </w:tcPr>
          <w:p>
            <w:pPr>
              <w:jc w:val="right"/>
              <w:ind w:right="118"/>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1,454,000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142,000</w:t>
            </w: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Working capital (deficit)</w:t>
            </w:r>
          </w:p>
        </w:tc>
        <w:tc>
          <w:tcPr>
            <w:tcW w:w="400" w:type="dxa"/>
            <w:vAlign w:val="bottom"/>
            <w:gridSpan w:val="2"/>
          </w:tcPr>
          <w:p>
            <w:pPr>
              <w:jc w:val="right"/>
              <w:ind w:right="118"/>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line="190" w:lineRule="exact"/>
              <w:rPr>
                <w:sz w:val="20"/>
                <w:szCs w:val="20"/>
                <w:color w:val="auto"/>
              </w:rPr>
            </w:pPr>
            <w:r>
              <w:rPr>
                <w:rFonts w:ascii="Arial" w:cs="Arial" w:eastAsia="Arial" w:hAnsi="Arial"/>
                <w:sz w:val="13"/>
                <w:szCs w:val="13"/>
                <w:color w:val="auto"/>
              </w:rPr>
              <w:t>(1,766,000</w:t>
            </w:r>
            <w:r>
              <w:rPr>
                <w:rFonts w:ascii="Arial" w:cs="Arial" w:eastAsia="Arial" w:hAnsi="Arial"/>
                <w:sz w:val="21"/>
                <w:szCs w:val="21"/>
                <w:color w:val="auto"/>
                <w:vertAlign w:val="subscript"/>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line="190" w:lineRule="exact"/>
              <w:rPr>
                <w:sz w:val="20"/>
                <w:szCs w:val="20"/>
                <w:color w:val="auto"/>
              </w:rPr>
            </w:pPr>
            <w:r>
              <w:rPr>
                <w:rFonts w:ascii="Arial" w:cs="Arial" w:eastAsia="Arial" w:hAnsi="Arial"/>
                <w:sz w:val="13"/>
                <w:szCs w:val="13"/>
                <w:color w:val="auto"/>
              </w:rPr>
              <w:t>(1,024,000</w:t>
            </w:r>
            <w:r>
              <w:rPr>
                <w:rFonts w:ascii="Arial" w:cs="Arial" w:eastAsia="Arial" w:hAnsi="Arial"/>
                <w:sz w:val="21"/>
                <w:szCs w:val="21"/>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4" w:right="23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Operating Activities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cash provided by financing activities during the three months ended March 31, 2015 was $2,326,000 compared to $418,000 during the prior period. Current period financing consisted of proceeds from private placements while prior period financing relates to proceeds from convertible notes.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Going Concern</w:t>
      </w: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6"/>
                <w:szCs w:val="16"/>
                <w:b w:val="1"/>
                <w:bCs w:val="1"/>
                <w:color w:val="auto"/>
              </w:rPr>
              <w:t>MANAGEMENT</w:t>
            </w:r>
          </w:p>
        </w:tc>
        <w:tc>
          <w:tcPr>
            <w:tcW w:w="0" w:type="dxa"/>
            <w:vAlign w:val="bottom"/>
          </w:tcPr>
          <w:p>
            <w:pPr>
              <w:spacing w:after="0"/>
              <w:rPr>
                <w:sz w:val="1"/>
                <w:szCs w:val="1"/>
                <w:color w:val="auto"/>
              </w:rPr>
            </w:pPr>
          </w:p>
        </w:tc>
      </w:tr>
      <w:tr>
        <w:trPr>
          <w:trHeight w:val="419"/>
        </w:trPr>
        <w:tc>
          <w:tcPr>
            <w:tcW w:w="11420" w:type="dxa"/>
            <w:vAlign w:val="bottom"/>
            <w:gridSpan w:val="5"/>
          </w:tcPr>
          <w:p>
            <w:pPr>
              <w:spacing w:after="0"/>
              <w:rPr>
                <w:sz w:val="20"/>
                <w:szCs w:val="20"/>
                <w:color w:val="auto"/>
              </w:rPr>
            </w:pPr>
            <w:r>
              <w:rPr>
                <w:rFonts w:ascii="Arial" w:cs="Arial" w:eastAsia="Arial" w:hAnsi="Arial"/>
                <w:sz w:val="16"/>
                <w:szCs w:val="16"/>
                <w:color w:val="auto"/>
              </w:rPr>
              <w:t>Our directors and executive officers and their respective ages as of the date of this annual report are as follows:</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7"/>
                <w:szCs w:val="17"/>
                <w:color w:val="auto"/>
              </w:rPr>
            </w:pPr>
          </w:p>
        </w:tc>
        <w:tc>
          <w:tcPr>
            <w:tcW w:w="880" w:type="dxa"/>
            <w:vAlign w:val="bottom"/>
          </w:tcPr>
          <w:p>
            <w:pPr>
              <w:jc w:val="right"/>
              <w:ind w:right="218"/>
              <w:spacing w:after="0"/>
              <w:rPr>
                <w:sz w:val="20"/>
                <w:szCs w:val="20"/>
                <w:color w:val="auto"/>
              </w:rPr>
            </w:pPr>
            <w:r>
              <w:rPr>
                <w:rFonts w:ascii="Arial" w:cs="Arial" w:eastAsia="Arial" w:hAnsi="Arial"/>
                <w:sz w:val="16"/>
                <w:szCs w:val="16"/>
                <w:b w:val="1"/>
                <w:bCs w:val="1"/>
                <w:color w:val="auto"/>
              </w:rPr>
              <w:t>Age</w:t>
            </w:r>
          </w:p>
        </w:tc>
        <w:tc>
          <w:tcPr>
            <w:tcW w:w="6520" w:type="dxa"/>
            <w:vAlign w:val="bottom"/>
            <w:gridSpan w:val="2"/>
          </w:tcPr>
          <w:p>
            <w:pPr>
              <w:ind w:left="120"/>
              <w:spacing w:after="0"/>
              <w:rPr>
                <w:sz w:val="20"/>
                <w:szCs w:val="20"/>
                <w:color w:val="auto"/>
              </w:rPr>
            </w:pPr>
            <w:r>
              <w:rPr>
                <w:rFonts w:ascii="Arial" w:cs="Arial" w:eastAsia="Arial" w:hAnsi="Arial"/>
                <w:sz w:val="16"/>
                <w:szCs w:val="16"/>
                <w:b w:val="1"/>
                <w:bCs w:val="1"/>
                <w:color w:val="auto"/>
              </w:rPr>
              <w:t>Position with the Company</w:t>
            </w:r>
          </w:p>
        </w:tc>
        <w:tc>
          <w:tcPr>
            <w:tcW w:w="0" w:type="dxa"/>
            <w:vAlign w:val="bottom"/>
          </w:tcPr>
          <w:p>
            <w:pPr>
              <w:spacing w:after="0"/>
              <w:rPr>
                <w:sz w:val="1"/>
                <w:szCs w:val="1"/>
                <w:color w:val="auto"/>
              </w:rPr>
            </w:pPr>
          </w:p>
        </w:tc>
      </w:tr>
      <w:tr>
        <w:trPr>
          <w:trHeight w:val="20"/>
        </w:trPr>
        <w:tc>
          <w:tcPr>
            <w:tcW w:w="3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900" w:type="dxa"/>
            <w:vAlign w:val="bottom"/>
          </w:tcPr>
          <w:p>
            <w:pPr>
              <w:spacing w:after="0" w:line="174" w:lineRule="exact"/>
              <w:rPr>
                <w:sz w:val="20"/>
                <w:szCs w:val="20"/>
                <w:color w:val="auto"/>
              </w:rPr>
            </w:pPr>
            <w:r>
              <w:rPr>
                <w:rFonts w:ascii="Arial" w:cs="Arial" w:eastAsia="Arial" w:hAnsi="Arial"/>
                <w:sz w:val="16"/>
                <w:szCs w:val="16"/>
                <w:color w:val="auto"/>
              </w:rPr>
              <w:t>Glynn Wilson</w:t>
            </w:r>
          </w:p>
        </w:tc>
        <w:tc>
          <w:tcPr>
            <w:tcW w:w="120" w:type="dxa"/>
            <w:vAlign w:val="bottom"/>
            <w:vMerge w:val="continue"/>
          </w:tcPr>
          <w:p>
            <w:pPr>
              <w:spacing w:after="0"/>
              <w:rPr>
                <w:sz w:val="15"/>
                <w:szCs w:val="15"/>
                <w:color w:val="auto"/>
              </w:rPr>
            </w:pPr>
          </w:p>
        </w:tc>
        <w:tc>
          <w:tcPr>
            <w:tcW w:w="880" w:type="dxa"/>
            <w:vAlign w:val="bottom"/>
          </w:tcPr>
          <w:p>
            <w:pPr>
              <w:jc w:val="right"/>
              <w:ind w:right="218"/>
              <w:spacing w:after="0" w:line="174" w:lineRule="exact"/>
              <w:rPr>
                <w:sz w:val="20"/>
                <w:szCs w:val="20"/>
                <w:color w:val="auto"/>
              </w:rPr>
            </w:pPr>
            <w:r>
              <w:rPr>
                <w:rFonts w:ascii="Arial" w:cs="Arial" w:eastAsia="Arial" w:hAnsi="Arial"/>
                <w:sz w:val="16"/>
                <w:szCs w:val="16"/>
                <w:color w:val="auto"/>
              </w:rPr>
              <w:t>68</w:t>
            </w:r>
          </w:p>
        </w:tc>
        <w:tc>
          <w:tcPr>
            <w:tcW w:w="120" w:type="dxa"/>
            <w:vAlign w:val="bottom"/>
            <w:vMerge w:val="continue"/>
          </w:tcPr>
          <w:p>
            <w:pPr>
              <w:spacing w:after="0"/>
              <w:rPr>
                <w:sz w:val="15"/>
                <w:szCs w:val="15"/>
                <w:color w:val="auto"/>
              </w:rPr>
            </w:pPr>
          </w:p>
        </w:tc>
        <w:tc>
          <w:tcPr>
            <w:tcW w:w="6400" w:type="dxa"/>
            <w:vAlign w:val="bottom"/>
          </w:tcPr>
          <w:p>
            <w:pPr>
              <w:spacing w:after="0" w:line="174" w:lineRule="exact"/>
              <w:rPr>
                <w:sz w:val="20"/>
                <w:szCs w:val="20"/>
                <w:color w:val="auto"/>
              </w:rPr>
            </w:pPr>
            <w:r>
              <w:rPr>
                <w:rFonts w:ascii="Arial" w:cs="Arial" w:eastAsia="Arial" w:hAnsi="Arial"/>
                <w:sz w:val="16"/>
                <w:szCs w:val="16"/>
                <w:color w:val="auto"/>
              </w:rPr>
              <w:t>Chairman, Chief Executive Officer, Principal Executive Officer and a Director</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Arial" w:cs="Arial" w:eastAsia="Arial" w:hAnsi="Arial"/>
                <w:sz w:val="16"/>
                <w:szCs w:val="16"/>
                <w:color w:val="auto"/>
              </w:rPr>
              <w:t>Mark Reddish</w:t>
            </w:r>
          </w:p>
        </w:tc>
        <w:tc>
          <w:tcPr>
            <w:tcW w:w="1000" w:type="dxa"/>
            <w:vAlign w:val="bottom"/>
            <w:gridSpan w:val="2"/>
          </w:tcPr>
          <w:p>
            <w:pPr>
              <w:jc w:val="right"/>
              <w:ind w:right="218"/>
              <w:spacing w:after="0"/>
              <w:rPr>
                <w:sz w:val="20"/>
                <w:szCs w:val="20"/>
                <w:color w:val="auto"/>
              </w:rPr>
            </w:pPr>
            <w:r>
              <w:rPr>
                <w:rFonts w:ascii="Arial" w:cs="Arial" w:eastAsia="Arial" w:hAnsi="Arial"/>
                <w:sz w:val="16"/>
                <w:szCs w:val="16"/>
                <w:color w:val="auto"/>
              </w:rPr>
              <w:t>60</w:t>
            </w: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Vice President Development</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Arial" w:cs="Arial" w:eastAsia="Arial" w:hAnsi="Arial"/>
                <w:sz w:val="16"/>
                <w:szCs w:val="16"/>
                <w:color w:val="auto"/>
              </w:rPr>
              <w:t>Sherry Grisewood</w:t>
            </w:r>
          </w:p>
        </w:tc>
        <w:tc>
          <w:tcPr>
            <w:tcW w:w="1000" w:type="dxa"/>
            <w:vAlign w:val="bottom"/>
            <w:gridSpan w:val="2"/>
          </w:tcPr>
          <w:p>
            <w:pPr>
              <w:jc w:val="right"/>
              <w:ind w:right="218"/>
              <w:spacing w:after="0"/>
              <w:rPr>
                <w:sz w:val="20"/>
                <w:szCs w:val="20"/>
                <w:color w:val="auto"/>
              </w:rPr>
            </w:pPr>
            <w:r>
              <w:rPr>
                <w:rFonts w:ascii="Arial" w:cs="Arial" w:eastAsia="Arial" w:hAnsi="Arial"/>
                <w:sz w:val="16"/>
                <w:szCs w:val="16"/>
                <w:color w:val="auto"/>
              </w:rPr>
              <w:t>62</w:t>
            </w: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Independent Board Member</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6"/>
                <w:szCs w:val="16"/>
                <w:color w:val="auto"/>
              </w:rPr>
              <w:t>David Laskow-Pooley</w:t>
            </w:r>
          </w:p>
        </w:tc>
        <w:tc>
          <w:tcPr>
            <w:tcW w:w="1000" w:type="dxa"/>
            <w:vAlign w:val="bottom"/>
            <w:gridSpan w:val="2"/>
          </w:tcPr>
          <w:p>
            <w:pPr>
              <w:jc w:val="right"/>
              <w:ind w:right="218"/>
              <w:spacing w:after="0"/>
              <w:rPr>
                <w:sz w:val="20"/>
                <w:szCs w:val="20"/>
                <w:color w:val="auto"/>
              </w:rPr>
            </w:pPr>
            <w:r>
              <w:rPr>
                <w:rFonts w:ascii="Arial" w:cs="Arial" w:eastAsia="Arial" w:hAnsi="Arial"/>
                <w:sz w:val="16"/>
                <w:szCs w:val="16"/>
                <w:color w:val="auto"/>
              </w:rPr>
              <w:t>60</w:t>
            </w: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Independent Board Member</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reporting companies: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Glynn Wilson, Ph.D., Chief Executive Officer and Chairman</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4" w:name="page45"/>
    <w:bookmarkEnd w:id="44"/>
    <w:p>
      <w:pPr>
        <w:ind w:left="1"/>
        <w:spacing w:after="0"/>
        <w:rPr>
          <w:sz w:val="20"/>
          <w:szCs w:val="20"/>
          <w:color w:val="auto"/>
        </w:rPr>
      </w:pPr>
      <w:r>
        <w:rPr>
          <w:rFonts w:ascii="Arial" w:cs="Arial" w:eastAsia="Arial" w:hAnsi="Arial"/>
          <w:sz w:val="16"/>
          <w:szCs w:val="16"/>
          <w:b w:val="1"/>
          <w:bCs w:val="1"/>
          <w:color w:val="auto"/>
        </w:rPr>
        <w:t>Mark Reddish, Director</w:t>
      </w:r>
    </w:p>
    <w:p>
      <w:pPr>
        <w:spacing w:after="0" w:line="214" w:lineRule="exact"/>
        <w:rPr>
          <w:sz w:val="20"/>
          <w:szCs w:val="20"/>
          <w:color w:val="auto"/>
        </w:rPr>
      </w:pPr>
    </w:p>
    <w:p>
      <w:pPr>
        <w:jc w:val="both"/>
        <w:ind w:left="1"/>
        <w:spacing w:after="0" w:line="286" w:lineRule="auto"/>
        <w:rPr>
          <w:sz w:val="20"/>
          <w:szCs w:val="20"/>
          <w:color w:val="auto"/>
        </w:rPr>
      </w:pPr>
      <w:r>
        <w:rPr>
          <w:rFonts w:ascii="Arial" w:cs="Arial" w:eastAsia="Arial" w:hAnsi="Arial"/>
          <w:sz w:val="15"/>
          <w:szCs w:val="15"/>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Sherry Grisewood, Director</w:t>
      </w:r>
    </w:p>
    <w:p>
      <w:pPr>
        <w:spacing w:after="0" w:line="214" w:lineRule="exact"/>
        <w:rPr>
          <w:sz w:val="20"/>
          <w:szCs w:val="20"/>
          <w:color w:val="auto"/>
        </w:rPr>
      </w:pPr>
    </w:p>
    <w:p>
      <w:pPr>
        <w:jc w:val="both"/>
        <w:ind w:left="1"/>
        <w:spacing w:after="0" w:line="279" w:lineRule="auto"/>
        <w:rPr>
          <w:sz w:val="20"/>
          <w:szCs w:val="20"/>
          <w:color w:val="auto"/>
        </w:rPr>
      </w:pPr>
      <w:r>
        <w:rPr>
          <w:rFonts w:ascii="Arial" w:cs="Arial" w:eastAsia="Arial" w:hAnsi="Arial"/>
          <w:sz w:val="15"/>
          <w:szCs w:val="15"/>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 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David Laskow-Pooley</w:t>
      </w:r>
    </w:p>
    <w:p>
      <w:pPr>
        <w:spacing w:after="0" w:line="214" w:lineRule="exact"/>
        <w:rPr>
          <w:sz w:val="20"/>
          <w:szCs w:val="20"/>
          <w:color w:val="auto"/>
        </w:rPr>
      </w:pPr>
    </w:p>
    <w:p>
      <w:pPr>
        <w:jc w:val="both"/>
        <w:ind w:left="1"/>
        <w:spacing w:after="0" w:line="286" w:lineRule="auto"/>
        <w:rPr>
          <w:sz w:val="20"/>
          <w:szCs w:val="20"/>
          <w:color w:val="auto"/>
        </w:rPr>
      </w:pPr>
      <w:r>
        <w:rPr>
          <w:rFonts w:ascii="Arial" w:cs="Arial" w:eastAsia="Arial" w:hAnsi="Arial"/>
          <w:sz w:val="15"/>
          <w:szCs w:val="15"/>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Term of Office</w:t>
      </w:r>
    </w:p>
    <w:p>
      <w:pPr>
        <w:spacing w:after="0" w:line="214" w:lineRule="exact"/>
        <w:rPr>
          <w:sz w:val="20"/>
          <w:szCs w:val="20"/>
          <w:color w:val="auto"/>
        </w:rPr>
      </w:pPr>
    </w:p>
    <w:p>
      <w:pPr>
        <w:jc w:val="both"/>
        <w:ind w:left="1"/>
        <w:spacing w:after="0" w:line="324" w:lineRule="auto"/>
        <w:rPr>
          <w:sz w:val="20"/>
          <w:szCs w:val="20"/>
          <w:color w:val="auto"/>
        </w:rPr>
      </w:pPr>
      <w:r>
        <w:rPr>
          <w:rFonts w:ascii="Arial" w:cs="Arial" w:eastAsia="Arial" w:hAnsi="Arial"/>
          <w:sz w:val="15"/>
          <w:szCs w:val="15"/>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Significant Employees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color w:val="auto"/>
        </w:rPr>
        <w:t>On December 31, 2014 we had one full-time employee and a number of management and scientific consultants.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Audit Committee</w:t>
      </w:r>
    </w:p>
    <w:p>
      <w:pPr>
        <w:spacing w:after="0" w:line="214"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adopted by our Board of Directors in March 2004. The members of our Audit Committee as of December 31, 2014 were Dr. Wilson, Mr. Reddish and Ms. Grisewood.</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5"/>
          <w:szCs w:val="15"/>
          <w:color w:val="auto"/>
        </w:rPr>
        <w:t>Our Board of Directors has determined that our Audit Committee does not have a member that qualifies as an “audit committee financial expert” as defined in Item 407(d)(5)</w:t>
      </w:r>
    </w:p>
    <w:p>
      <w:pPr>
        <w:spacing w:after="0" w:line="36" w:lineRule="exact"/>
        <w:rPr>
          <w:sz w:val="20"/>
          <w:szCs w:val="20"/>
          <w:color w:val="auto"/>
        </w:rPr>
      </w:pPr>
    </w:p>
    <w:p>
      <w:pPr>
        <w:jc w:val="both"/>
        <w:ind w:left="1" w:hanging="1"/>
        <w:spacing w:after="0" w:line="262" w:lineRule="auto"/>
        <w:tabs>
          <w:tab w:leader="none" w:pos="267"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Compensation Committee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Dr. Wilson and Ms. Grisewood serve on our compensation committee, which is now led by Ms. Grisewood.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Advisory Board</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established the scientific advisory board. Also, on that date, Dr. Keith Knutson was appointed as chairman of the Scientific Advisory Board.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Involvement in Certain Legal Proceedings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TRANSACTIONS WITH RELATED PERSONS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2014, we had outstanding promissory notes in the amount of $52,942, of which $23,000 of promissory notes were from one of our officers and directors.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promissory notes bear no interest charges and have no fixed repayment terms.</w:t>
      </w:r>
    </w:p>
    <w:p>
      <w:pPr>
        <w:spacing w:after="0" w:line="19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During the year ended December 31, 2014, $15,000 of the promissory notes were repaid to one of our officers and directors.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compensation paid to our executive officers for their services as executive officers during our fiscal years ended December 31, 2014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4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660" w:type="dxa"/>
            <w:vAlign w:val="bottom"/>
          </w:tcPr>
          <w:p>
            <w:pPr>
              <w:spacing w:after="0"/>
              <w:rPr>
                <w:sz w:val="17"/>
                <w:szCs w:val="17"/>
                <w:color w:val="auto"/>
              </w:rPr>
            </w:pPr>
          </w:p>
        </w:tc>
        <w:tc>
          <w:tcPr>
            <w:tcW w:w="940" w:type="dxa"/>
            <w:vAlign w:val="bottom"/>
          </w:tcPr>
          <w:p>
            <w:pPr>
              <w:ind w:left="220"/>
              <w:spacing w:after="0"/>
              <w:rPr>
                <w:sz w:val="20"/>
                <w:szCs w:val="20"/>
                <w:color w:val="auto"/>
              </w:rPr>
            </w:pPr>
            <w:r>
              <w:rPr>
                <w:rFonts w:ascii="Arial" w:cs="Arial" w:eastAsia="Arial" w:hAnsi="Arial"/>
                <w:sz w:val="16"/>
                <w:szCs w:val="16"/>
                <w:b w:val="1"/>
                <w:bCs w:val="1"/>
                <w:color w:val="auto"/>
              </w:rPr>
              <w:t>Salary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Compen-sation</w:t>
            </w:r>
          </w:p>
        </w:tc>
        <w:tc>
          <w:tcPr>
            <w:tcW w:w="1020" w:type="dxa"/>
            <w:vAlign w:val="bottom"/>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Year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40" w:type="dxa"/>
            <w:vAlign w:val="bottom"/>
          </w:tcPr>
          <w:p>
            <w:pPr>
              <w:spacing w:after="0" w:line="175" w:lineRule="exact"/>
              <w:rPr>
                <w:sz w:val="20"/>
                <w:szCs w:val="20"/>
                <w:color w:val="auto"/>
              </w:rPr>
            </w:pPr>
            <w:r>
              <w:rPr>
                <w:rFonts w:ascii="Arial" w:cs="Arial" w:eastAsia="Arial" w:hAnsi="Arial"/>
                <w:sz w:val="16"/>
                <w:szCs w:val="16"/>
                <w:color w:val="auto"/>
              </w:rPr>
              <w:t>Glynn Wilson</w:t>
            </w:r>
          </w:p>
        </w:tc>
        <w:tc>
          <w:tcPr>
            <w:tcW w:w="660" w:type="dxa"/>
            <w:vAlign w:val="bottom"/>
            <w:vMerge w:val="restart"/>
          </w:tcPr>
          <w:p>
            <w:pPr>
              <w:ind w:left="160"/>
              <w:spacing w:after="0"/>
              <w:rPr>
                <w:sz w:val="20"/>
                <w:szCs w:val="20"/>
                <w:color w:val="auto"/>
              </w:rPr>
            </w:pPr>
            <w:r>
              <w:rPr>
                <w:rFonts w:ascii="Arial" w:cs="Arial" w:eastAsia="Arial" w:hAnsi="Arial"/>
                <w:sz w:val="16"/>
                <w:szCs w:val="16"/>
                <w:color w:val="auto"/>
              </w:rPr>
              <w:t>2014</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180,000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180,000</w:t>
            </w:r>
          </w:p>
        </w:tc>
        <w:tc>
          <w:tcPr>
            <w:tcW w:w="0" w:type="dxa"/>
            <w:vAlign w:val="bottom"/>
          </w:tcPr>
          <w:p>
            <w:pPr>
              <w:spacing w:after="0"/>
              <w:rPr>
                <w:sz w:val="1"/>
                <w:szCs w:val="1"/>
                <w:color w:val="auto"/>
              </w:rPr>
            </w:pPr>
          </w:p>
        </w:tc>
      </w:tr>
      <w:tr>
        <w:trPr>
          <w:trHeight w:val="99"/>
        </w:trPr>
        <w:tc>
          <w:tcPr>
            <w:tcW w:w="4140" w:type="dxa"/>
            <w:vAlign w:val="bottom"/>
            <w:vMerge w:val="restart"/>
          </w:tcPr>
          <w:p>
            <w:pPr>
              <w:spacing w:after="0"/>
              <w:rPr>
                <w:sz w:val="20"/>
                <w:szCs w:val="20"/>
                <w:color w:val="auto"/>
              </w:rPr>
            </w:pPr>
            <w:r>
              <w:rPr>
                <w:rFonts w:ascii="Arial" w:cs="Arial" w:eastAsia="Arial" w:hAnsi="Arial"/>
                <w:sz w:val="16"/>
                <w:szCs w:val="16"/>
                <w:i w:val="1"/>
                <w:iCs w:val="1"/>
                <w:color w:val="auto"/>
                <w:w w:val="99"/>
              </w:rPr>
              <w:t>Chairman, CEO and Principal Executive Officer and Acting</w:t>
            </w:r>
          </w:p>
        </w:tc>
        <w:tc>
          <w:tcPr>
            <w:tcW w:w="6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6"/>
                <w:szCs w:val="16"/>
                <w:color w:val="auto"/>
              </w:rPr>
              <w:t>2013</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180,000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180,000</w:t>
            </w:r>
          </w:p>
        </w:tc>
        <w:tc>
          <w:tcPr>
            <w:tcW w:w="0" w:type="dxa"/>
            <w:vAlign w:val="bottom"/>
          </w:tcPr>
          <w:p>
            <w:pPr>
              <w:spacing w:after="0"/>
              <w:rPr>
                <w:sz w:val="1"/>
                <w:szCs w:val="1"/>
                <w:color w:val="auto"/>
              </w:rPr>
            </w:pPr>
          </w:p>
        </w:tc>
      </w:tr>
      <w:tr>
        <w:trPr>
          <w:trHeight w:val="110"/>
        </w:trPr>
        <w:tc>
          <w:tcPr>
            <w:tcW w:w="4140" w:type="dxa"/>
            <w:vAlign w:val="bottom"/>
            <w:vMerge w:val="restart"/>
          </w:tcPr>
          <w:p>
            <w:pPr>
              <w:spacing w:after="0"/>
              <w:rPr>
                <w:sz w:val="20"/>
                <w:szCs w:val="20"/>
                <w:color w:val="auto"/>
              </w:rPr>
            </w:pPr>
            <w:r>
              <w:rPr>
                <w:rFonts w:ascii="Arial" w:cs="Arial" w:eastAsia="Arial" w:hAnsi="Arial"/>
                <w:sz w:val="16"/>
                <w:szCs w:val="16"/>
                <w:i w:val="1"/>
                <w:iCs w:val="1"/>
                <w:color w:val="auto"/>
              </w:rPr>
              <w:t>Principal Accounting Officer</w:t>
            </w:r>
          </w:p>
        </w:tc>
        <w:tc>
          <w:tcPr>
            <w:tcW w:w="6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1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4140" w:type="dxa"/>
            <w:vAlign w:val="bottom"/>
          </w:tcPr>
          <w:p>
            <w:pPr>
              <w:spacing w:after="0"/>
              <w:rPr>
                <w:sz w:val="20"/>
                <w:szCs w:val="20"/>
                <w:color w:val="auto"/>
              </w:rPr>
            </w:pPr>
            <w:r>
              <w:rPr>
                <w:rFonts w:ascii="Arial" w:cs="Arial" w:eastAsia="Arial" w:hAnsi="Arial"/>
                <w:sz w:val="16"/>
                <w:szCs w:val="16"/>
                <w:color w:val="auto"/>
              </w:rPr>
              <w:t>Mark Reddish</w:t>
            </w:r>
          </w:p>
        </w:tc>
        <w:tc>
          <w:tcPr>
            <w:tcW w:w="660" w:type="dxa"/>
            <w:vAlign w:val="bottom"/>
          </w:tcPr>
          <w:p>
            <w:pPr>
              <w:ind w:left="160"/>
              <w:spacing w:after="0"/>
              <w:rPr>
                <w:sz w:val="20"/>
                <w:szCs w:val="20"/>
                <w:color w:val="auto"/>
              </w:rPr>
            </w:pPr>
            <w:r>
              <w:rPr>
                <w:rFonts w:ascii="Arial" w:cs="Arial" w:eastAsia="Arial" w:hAnsi="Arial"/>
                <w:sz w:val="16"/>
                <w:szCs w:val="16"/>
                <w:color w:val="auto"/>
              </w:rPr>
              <w:t>2014</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960" w:type="dxa"/>
            <w:vAlign w:val="bottom"/>
          </w:tcPr>
          <w:p>
            <w:pPr>
              <w:jc w:val="center"/>
              <w:spacing w:after="0"/>
              <w:rPr>
                <w:sz w:val="20"/>
                <w:szCs w:val="20"/>
                <w:color w:val="auto"/>
              </w:rPr>
            </w:pPr>
            <w:r>
              <w:rPr>
                <w:rFonts w:ascii="Arial" w:cs="Arial" w:eastAsia="Arial" w:hAnsi="Arial"/>
                <w:sz w:val="16"/>
                <w:szCs w:val="16"/>
                <w:color w:val="auto"/>
              </w:rPr>
              <w:t>Nil</w:t>
            </w:r>
          </w:p>
        </w:tc>
        <w:tc>
          <w:tcPr>
            <w:tcW w:w="1100" w:type="dxa"/>
            <w:vAlign w:val="bottom"/>
          </w:tcPr>
          <w:p>
            <w:pPr>
              <w:jc w:val="center"/>
              <w:spacing w:after="0"/>
              <w:rPr>
                <w:sz w:val="20"/>
                <w:szCs w:val="20"/>
                <w:color w:val="auto"/>
              </w:rPr>
            </w:pPr>
            <w:r>
              <w:rPr>
                <w:rFonts w:ascii="Arial" w:cs="Arial" w:eastAsia="Arial" w:hAnsi="Arial"/>
                <w:sz w:val="16"/>
                <w:szCs w:val="16"/>
                <w:color w:val="auto"/>
              </w:rPr>
              <w:t>Nil</w:t>
            </w:r>
          </w:p>
        </w:tc>
        <w:tc>
          <w:tcPr>
            <w:tcW w:w="1060" w:type="dxa"/>
            <w:vAlign w:val="bottom"/>
          </w:tcPr>
          <w:p>
            <w:pPr>
              <w:jc w:val="center"/>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6"/>
                <w:szCs w:val="16"/>
                <w:i w:val="1"/>
                <w:iCs w:val="1"/>
                <w:color w:val="auto"/>
              </w:rPr>
              <w:t>VP Development</w:t>
            </w:r>
          </w:p>
        </w:tc>
        <w:tc>
          <w:tcPr>
            <w:tcW w:w="660" w:type="dxa"/>
            <w:vAlign w:val="bottom"/>
          </w:tcPr>
          <w:p>
            <w:pPr>
              <w:ind w:left="160"/>
              <w:spacing w:after="0"/>
              <w:rPr>
                <w:sz w:val="20"/>
                <w:szCs w:val="20"/>
                <w:color w:val="auto"/>
              </w:rPr>
            </w:pPr>
            <w:r>
              <w:rPr>
                <w:rFonts w:ascii="Arial" w:cs="Arial" w:eastAsia="Arial" w:hAnsi="Arial"/>
                <w:sz w:val="16"/>
                <w:szCs w:val="16"/>
                <w:color w:val="auto"/>
              </w:rPr>
              <w:t>2013</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60,000</w:t>
            </w:r>
          </w:p>
        </w:tc>
        <w:tc>
          <w:tcPr>
            <w:tcW w:w="960" w:type="dxa"/>
            <w:vAlign w:val="bottom"/>
          </w:tcPr>
          <w:p>
            <w:pPr>
              <w:jc w:val="center"/>
              <w:spacing w:after="0"/>
              <w:rPr>
                <w:sz w:val="20"/>
                <w:szCs w:val="20"/>
                <w:color w:val="auto"/>
              </w:rPr>
            </w:pPr>
            <w:r>
              <w:rPr>
                <w:rFonts w:ascii="Arial" w:cs="Arial" w:eastAsia="Arial" w:hAnsi="Arial"/>
                <w:sz w:val="16"/>
                <w:szCs w:val="16"/>
                <w:color w:val="auto"/>
              </w:rPr>
              <w:t>Nil</w:t>
            </w:r>
          </w:p>
        </w:tc>
        <w:tc>
          <w:tcPr>
            <w:tcW w:w="1100" w:type="dxa"/>
            <w:vAlign w:val="bottom"/>
          </w:tcPr>
          <w:p>
            <w:pPr>
              <w:jc w:val="center"/>
              <w:spacing w:after="0"/>
              <w:rPr>
                <w:sz w:val="20"/>
                <w:szCs w:val="20"/>
                <w:color w:val="auto"/>
              </w:rPr>
            </w:pPr>
            <w:r>
              <w:rPr>
                <w:rFonts w:ascii="Arial" w:cs="Arial" w:eastAsia="Arial" w:hAnsi="Arial"/>
                <w:sz w:val="16"/>
                <w:szCs w:val="16"/>
                <w:color w:val="auto"/>
              </w:rPr>
              <w:t>Nil</w:t>
            </w:r>
          </w:p>
        </w:tc>
        <w:tc>
          <w:tcPr>
            <w:tcW w:w="1060" w:type="dxa"/>
            <w:vAlign w:val="bottom"/>
          </w:tcPr>
          <w:p>
            <w:pPr>
              <w:jc w:val="center"/>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60,000</w:t>
            </w:r>
          </w:p>
        </w:tc>
        <w:tc>
          <w:tcPr>
            <w:tcW w:w="0" w:type="dxa"/>
            <w:vAlign w:val="bottom"/>
          </w:tcPr>
          <w:p>
            <w:pPr>
              <w:spacing w:after="0"/>
              <w:rPr>
                <w:sz w:val="1"/>
                <w:szCs w:val="1"/>
                <w:color w:val="auto"/>
              </w:rPr>
            </w:pPr>
          </w:p>
        </w:tc>
      </w:tr>
      <w:tr>
        <w:trPr>
          <w:trHeight w:val="198"/>
        </w:trPr>
        <w:tc>
          <w:tcPr>
            <w:tcW w:w="4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at December 31, 2014 relating to outstanding equity awards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Outstanding Equity Awards at Year End Table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36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3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197"/>
        </w:trPr>
        <w:tc>
          <w:tcPr>
            <w:tcW w:w="36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Securities</w:t>
            </w: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7"/>
        </w:trPr>
        <w:tc>
          <w:tcPr>
            <w:tcW w:w="36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7"/>
        </w:trPr>
        <w:tc>
          <w:tcPr>
            <w:tcW w:w="36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360" w:type="dxa"/>
            <w:vAlign w:val="bottom"/>
          </w:tcPr>
          <w:p>
            <w:pPr>
              <w:jc w:val="right"/>
              <w:ind w:right="338"/>
              <w:spacing w:after="0"/>
              <w:rPr>
                <w:sz w:val="20"/>
                <w:szCs w:val="20"/>
                <w:color w:val="auto"/>
              </w:rPr>
            </w:pPr>
            <w:r>
              <w:rPr>
                <w:rFonts w:ascii="Arial" w:cs="Arial" w:eastAsia="Arial" w:hAnsi="Arial"/>
                <w:sz w:val="16"/>
                <w:szCs w:val="16"/>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197"/>
        </w:trPr>
        <w:tc>
          <w:tcPr>
            <w:tcW w:w="36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Unearned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13"/>
        </w:trPr>
        <w:tc>
          <w:tcPr>
            <w:tcW w:w="3600" w:type="dxa"/>
            <w:vAlign w:val="bottom"/>
            <w:tcBorders>
              <w:bottom w:val="single" w:sz="8" w:color="auto"/>
            </w:tcBorders>
          </w:tcPr>
          <w:p>
            <w:pPr>
              <w:ind w:left="1580"/>
              <w:spacing w:after="0"/>
              <w:rPr>
                <w:sz w:val="20"/>
                <w:szCs w:val="20"/>
                <w:color w:val="auto"/>
              </w:rPr>
            </w:pPr>
            <w:r>
              <w:rPr>
                <w:rFonts w:ascii="Arial" w:cs="Arial" w:eastAsia="Arial" w:hAnsi="Arial"/>
                <w:sz w:val="16"/>
                <w:szCs w:val="16"/>
                <w:b w:val="1"/>
                <w:bCs w:val="1"/>
                <w:color w:val="auto"/>
              </w:rPr>
              <w:t>Name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5"/>
        </w:trPr>
        <w:tc>
          <w:tcPr>
            <w:tcW w:w="3600" w:type="dxa"/>
            <w:vAlign w:val="bottom"/>
          </w:tcPr>
          <w:p>
            <w:pPr>
              <w:spacing w:after="0"/>
              <w:rPr>
                <w:sz w:val="15"/>
                <w:szCs w:val="15"/>
                <w:color w:val="auto"/>
              </w:rPr>
            </w:pPr>
          </w:p>
        </w:tc>
        <w:tc>
          <w:tcPr>
            <w:tcW w:w="1640" w:type="dxa"/>
            <w:vAlign w:val="bottom"/>
          </w:tcPr>
          <w:p>
            <w:pPr>
              <w:jc w:val="right"/>
              <w:ind w:right="578"/>
              <w:spacing w:after="0" w:line="175" w:lineRule="exact"/>
              <w:rPr>
                <w:sz w:val="20"/>
                <w:szCs w:val="20"/>
                <w:color w:val="auto"/>
              </w:rPr>
            </w:pPr>
            <w:r>
              <w:rPr>
                <w:rFonts w:ascii="Arial" w:cs="Arial" w:eastAsia="Arial" w:hAnsi="Arial"/>
                <w:sz w:val="16"/>
                <w:szCs w:val="16"/>
                <w:color w:val="auto"/>
              </w:rPr>
              <w:t>400</w:t>
            </w:r>
          </w:p>
        </w:tc>
        <w:tc>
          <w:tcPr>
            <w:tcW w:w="1840" w:type="dxa"/>
            <w:vAlign w:val="bottom"/>
          </w:tcPr>
          <w:p>
            <w:pPr>
              <w:jc w:val="center"/>
              <w:spacing w:after="0" w:line="175" w:lineRule="exact"/>
              <w:rPr>
                <w:sz w:val="20"/>
                <w:szCs w:val="20"/>
                <w:color w:val="auto"/>
              </w:rPr>
            </w:pPr>
            <w:r>
              <w:rPr>
                <w:rFonts w:ascii="Arial" w:cs="Arial" w:eastAsia="Arial" w:hAnsi="Arial"/>
                <w:sz w:val="16"/>
                <w:szCs w:val="16"/>
                <w:color w:val="auto"/>
              </w:rPr>
              <w:t>Nil</w:t>
            </w:r>
          </w:p>
        </w:tc>
        <w:tc>
          <w:tcPr>
            <w:tcW w:w="1640" w:type="dxa"/>
            <w:vAlign w:val="bottom"/>
          </w:tcPr>
          <w:p>
            <w:pPr>
              <w:jc w:val="center"/>
              <w:spacing w:after="0" w:line="175" w:lineRule="exact"/>
              <w:rPr>
                <w:sz w:val="20"/>
                <w:szCs w:val="20"/>
                <w:color w:val="auto"/>
              </w:rPr>
            </w:pPr>
            <w:r>
              <w:rPr>
                <w:rFonts w:ascii="Arial" w:cs="Arial" w:eastAsia="Arial" w:hAnsi="Arial"/>
                <w:sz w:val="16"/>
                <w:szCs w:val="16"/>
                <w:color w:val="auto"/>
              </w:rPr>
              <w:t>Nil</w:t>
            </w:r>
          </w:p>
        </w:tc>
        <w:tc>
          <w:tcPr>
            <w:tcW w:w="1360" w:type="dxa"/>
            <w:vAlign w:val="bottom"/>
          </w:tcPr>
          <w:p>
            <w:pPr>
              <w:jc w:val="right"/>
              <w:ind w:right="218"/>
              <w:spacing w:after="0" w:line="175" w:lineRule="exact"/>
              <w:rPr>
                <w:sz w:val="20"/>
                <w:szCs w:val="20"/>
                <w:color w:val="auto"/>
              </w:rPr>
            </w:pPr>
            <w:r>
              <w:rPr>
                <w:rFonts w:ascii="Arial" w:cs="Arial" w:eastAsia="Arial" w:hAnsi="Arial"/>
                <w:sz w:val="16"/>
                <w:szCs w:val="16"/>
                <w:color w:val="auto"/>
              </w:rPr>
              <w:t>$17.00(2)</w:t>
            </w:r>
          </w:p>
        </w:tc>
        <w:tc>
          <w:tcPr>
            <w:tcW w:w="1340" w:type="dxa"/>
            <w:vAlign w:val="bottom"/>
          </w:tcPr>
          <w:p>
            <w:pPr>
              <w:jc w:val="center"/>
              <w:spacing w:after="0" w:line="175" w:lineRule="exact"/>
              <w:rPr>
                <w:sz w:val="20"/>
                <w:szCs w:val="20"/>
                <w:color w:val="auto"/>
              </w:rPr>
            </w:pPr>
            <w:r>
              <w:rPr>
                <w:rFonts w:ascii="Arial" w:cs="Arial" w:eastAsia="Arial" w:hAnsi="Arial"/>
                <w:sz w:val="16"/>
                <w:szCs w:val="16"/>
                <w:color w:val="auto"/>
                <w:w w:val="96"/>
              </w:rPr>
              <w:t>07/06/17</w:t>
            </w:r>
          </w:p>
        </w:tc>
      </w:tr>
      <w:tr>
        <w:trPr>
          <w:trHeight w:val="197"/>
        </w:trPr>
        <w:tc>
          <w:tcPr>
            <w:tcW w:w="36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16,000(1)</w:t>
            </w:r>
          </w:p>
        </w:tc>
        <w:tc>
          <w:tcPr>
            <w:tcW w:w="1840" w:type="dxa"/>
            <w:vAlign w:val="bottom"/>
          </w:tcPr>
          <w:p>
            <w:pPr>
              <w:jc w:val="center"/>
              <w:spacing w:after="0"/>
              <w:rPr>
                <w:sz w:val="20"/>
                <w:szCs w:val="20"/>
                <w:color w:val="auto"/>
              </w:rPr>
            </w:pPr>
            <w:r>
              <w:rPr>
                <w:rFonts w:ascii="Arial" w:cs="Arial" w:eastAsia="Arial" w:hAnsi="Arial"/>
                <w:sz w:val="16"/>
                <w:szCs w:val="16"/>
                <w:color w:val="auto"/>
              </w:rPr>
              <w:t>Nil</w:t>
            </w:r>
          </w:p>
        </w:tc>
        <w:tc>
          <w:tcPr>
            <w:tcW w:w="164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right"/>
              <w:ind w:right="218"/>
              <w:spacing w:after="0"/>
              <w:rPr>
                <w:sz w:val="20"/>
                <w:szCs w:val="20"/>
                <w:color w:val="auto"/>
              </w:rPr>
            </w:pPr>
            <w:r>
              <w:rPr>
                <w:rFonts w:ascii="Arial" w:cs="Arial" w:eastAsia="Arial" w:hAnsi="Arial"/>
                <w:sz w:val="16"/>
                <w:szCs w:val="16"/>
                <w:color w:val="auto"/>
              </w:rPr>
              <w:t>$17.00(2)</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10/14/19</w:t>
            </w:r>
          </w:p>
        </w:tc>
      </w:tr>
      <w:tr>
        <w:trPr>
          <w:trHeight w:val="197"/>
        </w:trPr>
        <w:tc>
          <w:tcPr>
            <w:tcW w:w="3600" w:type="dxa"/>
            <w:vAlign w:val="bottom"/>
          </w:tcPr>
          <w:p>
            <w:pPr>
              <w:spacing w:after="0"/>
              <w:rPr>
                <w:sz w:val="20"/>
                <w:szCs w:val="20"/>
                <w:color w:val="auto"/>
              </w:rPr>
            </w:pPr>
            <w:r>
              <w:rPr>
                <w:rFonts w:ascii="Arial" w:cs="Arial" w:eastAsia="Arial" w:hAnsi="Arial"/>
                <w:sz w:val="16"/>
                <w:szCs w:val="16"/>
                <w:color w:val="auto"/>
              </w:rPr>
              <w:t>Glynn Wilson</w:t>
            </w:r>
          </w:p>
        </w:tc>
        <w:tc>
          <w:tcPr>
            <w:tcW w:w="1640" w:type="dxa"/>
            <w:vAlign w:val="bottom"/>
          </w:tcPr>
          <w:p>
            <w:pPr>
              <w:jc w:val="right"/>
              <w:ind w:right="378"/>
              <w:spacing w:after="0"/>
              <w:rPr>
                <w:sz w:val="20"/>
                <w:szCs w:val="20"/>
                <w:color w:val="auto"/>
              </w:rPr>
            </w:pPr>
            <w:r>
              <w:rPr>
                <w:rFonts w:ascii="Arial" w:cs="Arial" w:eastAsia="Arial" w:hAnsi="Arial"/>
                <w:sz w:val="16"/>
                <w:szCs w:val="16"/>
                <w:color w:val="auto"/>
              </w:rPr>
              <w:t>1,600(1)</w:t>
            </w:r>
          </w:p>
        </w:tc>
        <w:tc>
          <w:tcPr>
            <w:tcW w:w="1840" w:type="dxa"/>
            <w:vAlign w:val="bottom"/>
          </w:tcPr>
          <w:p>
            <w:pPr>
              <w:jc w:val="center"/>
              <w:spacing w:after="0"/>
              <w:rPr>
                <w:sz w:val="20"/>
                <w:szCs w:val="20"/>
                <w:color w:val="auto"/>
              </w:rPr>
            </w:pPr>
            <w:r>
              <w:rPr>
                <w:rFonts w:ascii="Arial" w:cs="Arial" w:eastAsia="Arial" w:hAnsi="Arial"/>
                <w:sz w:val="16"/>
                <w:szCs w:val="16"/>
                <w:color w:val="auto"/>
              </w:rPr>
              <w:t>Nil</w:t>
            </w:r>
          </w:p>
        </w:tc>
        <w:tc>
          <w:tcPr>
            <w:tcW w:w="164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$17.00</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02/16/21</w:t>
            </w:r>
          </w:p>
        </w:tc>
      </w:tr>
      <w:tr>
        <w:trPr>
          <w:trHeight w:val="208"/>
        </w:trPr>
        <w:tc>
          <w:tcPr>
            <w:tcW w:w="3600" w:type="dxa"/>
            <w:vAlign w:val="bottom"/>
          </w:tcPr>
          <w:p>
            <w:pPr>
              <w:spacing w:after="0"/>
              <w:rPr>
                <w:sz w:val="20"/>
                <w:szCs w:val="20"/>
                <w:color w:val="auto"/>
              </w:rPr>
            </w:pPr>
            <w:r>
              <w:rPr>
                <w:rFonts w:ascii="Arial" w:cs="Arial" w:eastAsia="Arial" w:hAnsi="Arial"/>
                <w:sz w:val="16"/>
                <w:szCs w:val="16"/>
                <w:i w:val="1"/>
                <w:iCs w:val="1"/>
                <w:color w:val="auto"/>
              </w:rPr>
              <w:t>Chairman, CEO and Principal Executive Officer</w:t>
            </w:r>
          </w:p>
        </w:tc>
        <w:tc>
          <w:tcPr>
            <w:tcW w:w="1640" w:type="dxa"/>
            <w:vAlign w:val="bottom"/>
          </w:tcPr>
          <w:p>
            <w:pPr>
              <w:jc w:val="right"/>
              <w:ind w:right="378"/>
              <w:spacing w:after="0"/>
              <w:rPr>
                <w:sz w:val="20"/>
                <w:szCs w:val="20"/>
                <w:color w:val="auto"/>
              </w:rPr>
            </w:pPr>
            <w:r>
              <w:rPr>
                <w:rFonts w:ascii="Arial" w:cs="Arial" w:eastAsia="Arial" w:hAnsi="Arial"/>
                <w:sz w:val="16"/>
                <w:szCs w:val="16"/>
                <w:color w:val="auto"/>
              </w:rPr>
              <w:t>20,000(1)</w:t>
            </w:r>
          </w:p>
        </w:tc>
        <w:tc>
          <w:tcPr>
            <w:tcW w:w="1840" w:type="dxa"/>
            <w:vAlign w:val="bottom"/>
          </w:tcPr>
          <w:p>
            <w:pPr>
              <w:jc w:val="center"/>
              <w:spacing w:after="0"/>
              <w:rPr>
                <w:sz w:val="20"/>
                <w:szCs w:val="20"/>
                <w:color w:val="auto"/>
              </w:rPr>
            </w:pPr>
            <w:r>
              <w:rPr>
                <w:rFonts w:ascii="Arial" w:cs="Arial" w:eastAsia="Arial" w:hAnsi="Arial"/>
                <w:sz w:val="16"/>
                <w:szCs w:val="16"/>
                <w:color w:val="auto"/>
              </w:rPr>
              <w:t>Nil</w:t>
            </w:r>
          </w:p>
        </w:tc>
        <w:tc>
          <w:tcPr>
            <w:tcW w:w="164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$19.00</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03/16/16</w:t>
            </w:r>
          </w:p>
        </w:tc>
      </w:tr>
      <w:tr>
        <w:trPr>
          <w:trHeight w:val="383"/>
        </w:trPr>
        <w:tc>
          <w:tcPr>
            <w:tcW w:w="3600" w:type="dxa"/>
            <w:vAlign w:val="bottom"/>
          </w:tcPr>
          <w:p>
            <w:pPr>
              <w:spacing w:after="0"/>
              <w:rPr>
                <w:sz w:val="20"/>
                <w:szCs w:val="20"/>
                <w:color w:val="auto"/>
              </w:rPr>
            </w:pPr>
            <w:r>
              <w:rPr>
                <w:rFonts w:ascii="Arial" w:cs="Arial" w:eastAsia="Arial" w:hAnsi="Arial"/>
                <w:sz w:val="16"/>
                <w:szCs w:val="16"/>
                <w:color w:val="auto"/>
              </w:rPr>
              <w:t>Mark Reddish</w:t>
            </w:r>
          </w:p>
        </w:tc>
        <w:tc>
          <w:tcPr>
            <w:tcW w:w="1640" w:type="dxa"/>
            <w:vAlign w:val="bottom"/>
          </w:tcPr>
          <w:p>
            <w:pPr>
              <w:jc w:val="center"/>
              <w:spacing w:after="0"/>
              <w:rPr>
                <w:sz w:val="20"/>
                <w:szCs w:val="20"/>
                <w:color w:val="auto"/>
              </w:rPr>
            </w:pPr>
            <w:r>
              <w:rPr>
                <w:rFonts w:ascii="Arial" w:cs="Arial" w:eastAsia="Arial" w:hAnsi="Arial"/>
                <w:sz w:val="16"/>
                <w:szCs w:val="16"/>
                <w:color w:val="auto"/>
                <w:w w:val="94"/>
              </w:rPr>
              <w:t>2,000</w:t>
            </w:r>
          </w:p>
        </w:tc>
        <w:tc>
          <w:tcPr>
            <w:tcW w:w="1840" w:type="dxa"/>
            <w:vAlign w:val="bottom"/>
          </w:tcPr>
          <w:p>
            <w:pPr>
              <w:jc w:val="center"/>
              <w:spacing w:after="0"/>
              <w:rPr>
                <w:sz w:val="20"/>
                <w:szCs w:val="20"/>
                <w:color w:val="auto"/>
              </w:rPr>
            </w:pPr>
            <w:r>
              <w:rPr>
                <w:rFonts w:ascii="Arial" w:cs="Arial" w:eastAsia="Arial" w:hAnsi="Arial"/>
                <w:sz w:val="16"/>
                <w:szCs w:val="16"/>
                <w:color w:val="auto"/>
              </w:rPr>
              <w:t>Nil</w:t>
            </w:r>
          </w:p>
        </w:tc>
        <w:tc>
          <w:tcPr>
            <w:tcW w:w="164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$17.00</w:t>
            </w: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02/16/21</w:t>
            </w:r>
          </w:p>
        </w:tc>
      </w:tr>
      <w:tr>
        <w:trPr>
          <w:trHeight w:val="209"/>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VP Development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2,500</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$18.00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04/30/22</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1321" w:right="240" w:hanging="1321"/>
        <w:spacing w:after="0" w:line="272" w:lineRule="auto"/>
        <w:tabs>
          <w:tab w:leader="none" w:pos="13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plan under which these shares were issued was approved by the Board of Directors and the shareholders in 2009 but did not come into effect until February 22, 2010.</w:t>
      </w:r>
    </w:p>
    <w:p>
      <w:pPr>
        <w:spacing w:after="0" w:line="186" w:lineRule="exact"/>
        <w:rPr>
          <w:rFonts w:ascii="Arial" w:cs="Arial" w:eastAsia="Arial" w:hAnsi="Arial"/>
          <w:sz w:val="16"/>
          <w:szCs w:val="16"/>
          <w:color w:val="auto"/>
        </w:rPr>
      </w:pPr>
    </w:p>
    <w:p>
      <w:pPr>
        <w:ind w:left="1301" w:hanging="1301"/>
        <w:spacing w:after="0"/>
        <w:tabs>
          <w:tab w:leader="none" w:pos="13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Effective February 16, 2011, the option exercise price was reduced to $17.00.</w:t>
      </w:r>
    </w:p>
    <w:p>
      <w:pPr>
        <w:spacing w:after="0" w:line="235" w:lineRule="exact"/>
        <w:rPr>
          <w:sz w:val="20"/>
          <w:szCs w:val="20"/>
          <w:color w:val="auto"/>
        </w:rPr>
      </w:pPr>
    </w:p>
    <w:p>
      <w:pPr>
        <w:jc w:val="both"/>
        <w:ind w:left="1" w:firstLine="54"/>
        <w:spacing w:after="0" w:line="288" w:lineRule="auto"/>
        <w:rPr>
          <w:sz w:val="20"/>
          <w:szCs w:val="20"/>
          <w:color w:val="auto"/>
        </w:rPr>
      </w:pPr>
      <w:r>
        <w:rPr>
          <w:rFonts w:ascii="Arial" w:cs="Arial" w:eastAsia="Arial" w:hAnsi="Arial"/>
          <w:sz w:val="16"/>
          <w:szCs w:val="16"/>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 Table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264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ind w:left="678"/>
              <w:spacing w:after="0"/>
              <w:rPr>
                <w:sz w:val="20"/>
                <w:szCs w:val="20"/>
                <w:color w:val="auto"/>
              </w:rPr>
            </w:pPr>
            <w:r>
              <w:rPr>
                <w:rFonts w:ascii="Arial" w:cs="Arial" w:eastAsia="Arial" w:hAnsi="Arial"/>
                <w:sz w:val="16"/>
                <w:szCs w:val="16"/>
                <w:b w:val="1"/>
                <w:bCs w:val="1"/>
                <w:color w:val="auto"/>
                <w:w w:val="87"/>
              </w:rPr>
              <w:t>Fees</w:t>
            </w:r>
          </w:p>
        </w:tc>
        <w:tc>
          <w:tcPr>
            <w:tcW w:w="15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197"/>
        </w:trPr>
        <w:tc>
          <w:tcPr>
            <w:tcW w:w="2640" w:type="dxa"/>
            <w:vAlign w:val="bottom"/>
          </w:tcPr>
          <w:p>
            <w:pPr>
              <w:spacing w:after="0"/>
              <w:rPr>
                <w:sz w:val="17"/>
                <w:szCs w:val="17"/>
                <w:color w:val="auto"/>
              </w:rPr>
            </w:pPr>
          </w:p>
        </w:tc>
        <w:tc>
          <w:tcPr>
            <w:tcW w:w="2440" w:type="dxa"/>
            <w:vAlign w:val="bottom"/>
          </w:tcPr>
          <w:p>
            <w:pPr>
              <w:jc w:val="center"/>
              <w:ind w:left="678"/>
              <w:spacing w:after="0"/>
              <w:rPr>
                <w:sz w:val="20"/>
                <w:szCs w:val="20"/>
                <w:color w:val="auto"/>
              </w:rPr>
            </w:pPr>
            <w:r>
              <w:rPr>
                <w:rFonts w:ascii="Arial" w:cs="Arial" w:eastAsia="Arial" w:hAnsi="Arial"/>
                <w:sz w:val="16"/>
                <w:szCs w:val="16"/>
                <w:b w:val="1"/>
                <w:bCs w:val="1"/>
                <w:color w:val="auto"/>
                <w:w w:val="96"/>
              </w:rPr>
              <w:t>Earned or</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480" w:type="dxa"/>
            <w:vAlign w:val="bottom"/>
          </w:tcPr>
          <w:p>
            <w:pPr>
              <w:jc w:val="center"/>
              <w:ind w:left="58"/>
              <w:spacing w:after="0"/>
              <w:rPr>
                <w:sz w:val="20"/>
                <w:szCs w:val="20"/>
                <w:color w:val="auto"/>
              </w:rPr>
            </w:pPr>
            <w:r>
              <w:rPr>
                <w:rFonts w:ascii="Arial" w:cs="Arial" w:eastAsia="Arial" w:hAnsi="Arial"/>
                <w:sz w:val="16"/>
                <w:szCs w:val="16"/>
                <w:b w:val="1"/>
                <w:bCs w:val="1"/>
                <w:color w:val="auto"/>
                <w:w w:val="96"/>
              </w:rPr>
              <w:t>Option</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420" w:type="dxa"/>
            <w:vAlign w:val="bottom"/>
          </w:tcPr>
          <w:p>
            <w:pPr>
              <w:spacing w:after="0"/>
              <w:rPr>
                <w:sz w:val="17"/>
                <w:szCs w:val="17"/>
                <w:color w:val="auto"/>
              </w:rPr>
            </w:pPr>
          </w:p>
        </w:tc>
      </w:tr>
      <w:tr>
        <w:trPr>
          <w:trHeight w:val="197"/>
        </w:trPr>
        <w:tc>
          <w:tcPr>
            <w:tcW w:w="2640" w:type="dxa"/>
            <w:vAlign w:val="bottom"/>
          </w:tcPr>
          <w:p>
            <w:pPr>
              <w:spacing w:after="0"/>
              <w:rPr>
                <w:sz w:val="17"/>
                <w:szCs w:val="17"/>
                <w:color w:val="auto"/>
              </w:rPr>
            </w:pPr>
          </w:p>
        </w:tc>
        <w:tc>
          <w:tcPr>
            <w:tcW w:w="2440" w:type="dxa"/>
            <w:vAlign w:val="bottom"/>
          </w:tcPr>
          <w:p>
            <w:pPr>
              <w:jc w:val="center"/>
              <w:ind w:left="698"/>
              <w:spacing w:after="0"/>
              <w:rPr>
                <w:sz w:val="20"/>
                <w:szCs w:val="20"/>
                <w:color w:val="auto"/>
              </w:rPr>
            </w:pPr>
            <w:r>
              <w:rPr>
                <w:rFonts w:ascii="Arial" w:cs="Arial" w:eastAsia="Arial" w:hAnsi="Arial"/>
                <w:sz w:val="16"/>
                <w:szCs w:val="16"/>
                <w:b w:val="1"/>
                <w:bCs w:val="1"/>
                <w:color w:val="auto"/>
                <w:w w:val="95"/>
              </w:rPr>
              <w:t>Paid in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480" w:type="dxa"/>
            <w:vAlign w:val="bottom"/>
          </w:tcPr>
          <w:p>
            <w:pPr>
              <w:jc w:val="center"/>
              <w:ind w:left="58"/>
              <w:spacing w:after="0"/>
              <w:rPr>
                <w:sz w:val="20"/>
                <w:szCs w:val="20"/>
                <w:color w:val="auto"/>
              </w:rPr>
            </w:pPr>
            <w:r>
              <w:rPr>
                <w:rFonts w:ascii="Arial" w:cs="Arial" w:eastAsia="Arial" w:hAnsi="Arial"/>
                <w:sz w:val="16"/>
                <w:szCs w:val="16"/>
                <w:b w:val="1"/>
                <w:bCs w:val="1"/>
                <w:color w:val="auto"/>
                <w:w w:val="93"/>
              </w:rPr>
              <w:t>Awards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Compensation</w:t>
            </w:r>
          </w:p>
        </w:tc>
        <w:tc>
          <w:tcPr>
            <w:tcW w:w="1420" w:type="dxa"/>
            <w:vAlign w:val="bottom"/>
          </w:tcPr>
          <w:p>
            <w:pPr>
              <w:jc w:val="center"/>
              <w:ind w:right="98"/>
              <w:spacing w:after="0"/>
              <w:rPr>
                <w:sz w:val="20"/>
                <w:szCs w:val="20"/>
                <w:color w:val="auto"/>
              </w:rPr>
            </w:pPr>
            <w:r>
              <w:rPr>
                <w:rFonts w:ascii="Arial" w:cs="Arial" w:eastAsia="Arial" w:hAnsi="Arial"/>
                <w:sz w:val="16"/>
                <w:szCs w:val="16"/>
                <w:b w:val="1"/>
                <w:bCs w:val="1"/>
                <w:color w:val="auto"/>
                <w:w w:val="94"/>
              </w:rPr>
              <w:t>Total</w:t>
            </w:r>
          </w:p>
        </w:tc>
      </w:tr>
      <w:tr>
        <w:trPr>
          <w:trHeight w:val="213"/>
        </w:trPr>
        <w:tc>
          <w:tcPr>
            <w:tcW w:w="264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Name</w:t>
            </w:r>
          </w:p>
        </w:tc>
        <w:tc>
          <w:tcPr>
            <w:tcW w:w="2440" w:type="dxa"/>
            <w:vAlign w:val="bottom"/>
            <w:tcBorders>
              <w:bottom w:val="single" w:sz="8" w:color="auto"/>
            </w:tcBorders>
          </w:tcPr>
          <w:p>
            <w:pPr>
              <w:jc w:val="center"/>
              <w:ind w:left="678"/>
              <w:spacing w:after="0"/>
              <w:rPr>
                <w:sz w:val="20"/>
                <w:szCs w:val="20"/>
                <w:color w:val="auto"/>
              </w:rPr>
            </w:pPr>
            <w:r>
              <w:rPr>
                <w:rFonts w:ascii="Arial" w:cs="Arial" w:eastAsia="Arial" w:hAnsi="Arial"/>
                <w:sz w:val="16"/>
                <w:szCs w:val="16"/>
                <w:b w:val="1"/>
                <w:bCs w:val="1"/>
                <w:color w:val="auto"/>
                <w:w w:val="91"/>
              </w:rPr>
              <w:t>Cash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b w:val="1"/>
                <w:bCs w:val="1"/>
                <w:color w:val="auto"/>
                <w:w w:val="91"/>
              </w:rPr>
              <w:t>($)</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1"/>
              </w:rPr>
              <w:t>($)</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6"/>
                <w:szCs w:val="16"/>
                <w:color w:val="auto"/>
              </w:rPr>
              <w:t>Glynn Wilson</w:t>
            </w:r>
          </w:p>
        </w:tc>
        <w:tc>
          <w:tcPr>
            <w:tcW w:w="2440" w:type="dxa"/>
            <w:vAlign w:val="bottom"/>
          </w:tcPr>
          <w:p>
            <w:pPr>
              <w:jc w:val="center"/>
              <w:ind w:left="67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382"/>
        </w:trPr>
        <w:tc>
          <w:tcPr>
            <w:tcW w:w="2640" w:type="dxa"/>
            <w:vAlign w:val="bottom"/>
          </w:tcPr>
          <w:p>
            <w:pPr>
              <w:spacing w:after="0"/>
              <w:rPr>
                <w:sz w:val="20"/>
                <w:szCs w:val="20"/>
                <w:color w:val="auto"/>
              </w:rPr>
            </w:pPr>
            <w:r>
              <w:rPr>
                <w:rFonts w:ascii="Arial" w:cs="Arial" w:eastAsia="Arial" w:hAnsi="Arial"/>
                <w:sz w:val="16"/>
                <w:szCs w:val="16"/>
                <w:color w:val="auto"/>
              </w:rPr>
              <w:t>Sherry Grisewood</w:t>
            </w:r>
          </w:p>
        </w:tc>
        <w:tc>
          <w:tcPr>
            <w:tcW w:w="2440" w:type="dxa"/>
            <w:vAlign w:val="bottom"/>
          </w:tcPr>
          <w:p>
            <w:pPr>
              <w:jc w:val="center"/>
              <w:ind w:left="67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394"/>
        </w:trPr>
        <w:tc>
          <w:tcPr>
            <w:tcW w:w="2640" w:type="dxa"/>
            <w:vAlign w:val="bottom"/>
          </w:tcPr>
          <w:p>
            <w:pPr>
              <w:spacing w:after="0"/>
              <w:rPr>
                <w:sz w:val="20"/>
                <w:szCs w:val="20"/>
                <w:color w:val="auto"/>
              </w:rPr>
            </w:pPr>
            <w:r>
              <w:rPr>
                <w:rFonts w:ascii="Arial" w:cs="Arial" w:eastAsia="Arial" w:hAnsi="Arial"/>
                <w:sz w:val="16"/>
                <w:szCs w:val="16"/>
                <w:color w:val="auto"/>
              </w:rPr>
              <w:t>Mark Reddish</w:t>
            </w:r>
          </w:p>
        </w:tc>
        <w:tc>
          <w:tcPr>
            <w:tcW w:w="2440" w:type="dxa"/>
            <w:vAlign w:val="bottom"/>
          </w:tcPr>
          <w:p>
            <w:pPr>
              <w:jc w:val="center"/>
              <w:ind w:left="67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198"/>
        </w:trPr>
        <w:tc>
          <w:tcPr>
            <w:tcW w:w="26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Consulting and Services Agreements</w:t>
      </w:r>
    </w:p>
    <w:p>
      <w:pPr>
        <w:spacing w:after="0" w:line="214"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(via his company).</w:t>
      </w:r>
    </w:p>
    <w:p>
      <w:pPr>
        <w:spacing w:after="0" w:line="167"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We have a compensation committee that is comprised of Dr. Wilson and Ms. Grisewood. All compensation is recommended and resolved by the compensation committee and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1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BENEFICIAL OWNERSHIP OF PRINCIPAL STOCKHOLDERS, OFFICERS AND DIRECTORS</w:t>
      </w:r>
    </w:p>
    <w:p>
      <w:pPr>
        <w:spacing w:after="0" w:line="214" w:lineRule="exact"/>
        <w:rPr>
          <w:sz w:val="20"/>
          <w:szCs w:val="20"/>
          <w:color w:val="auto"/>
        </w:rPr>
      </w:pPr>
    </w:p>
    <w:p>
      <w:pPr>
        <w:jc w:val="both"/>
        <w:ind w:left="1"/>
        <w:spacing w:after="0" w:line="265" w:lineRule="auto"/>
        <w:rPr>
          <w:sz w:val="20"/>
          <w:szCs w:val="20"/>
          <w:color w:val="auto"/>
        </w:rPr>
      </w:pPr>
      <w:r>
        <w:rPr>
          <w:rFonts w:ascii="Arial" w:cs="Arial" w:eastAsia="Arial" w:hAnsi="Arial"/>
          <w:sz w:val="16"/>
          <w:szCs w:val="16"/>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8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4"/>
              </w:rPr>
              <w:t>Amount and</w:t>
            </w: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197"/>
        </w:trPr>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Nature of</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Beneficial</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842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Owner</w:t>
            </w:r>
            <w:r>
              <w:rPr>
                <w:rFonts w:ascii="Arial" w:cs="Arial" w:eastAsia="Arial" w:hAnsi="Arial"/>
                <w:sz w:val="16"/>
                <w:szCs w:val="16"/>
                <w:color w:val="auto"/>
                <w:w w:val="97"/>
              </w:rPr>
              <w:t>(1)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Percent of Class</w:t>
            </w:r>
          </w:p>
        </w:tc>
      </w:tr>
      <w:tr>
        <w:trPr>
          <w:trHeight w:val="20"/>
        </w:trPr>
        <w:tc>
          <w:tcPr>
            <w:tcW w:w="8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8420" w:type="dxa"/>
            <w:vAlign w:val="bottom"/>
          </w:tcPr>
          <w:p>
            <w:pPr>
              <w:spacing w:after="0" w:line="175" w:lineRule="exact"/>
              <w:rPr>
                <w:sz w:val="20"/>
                <w:szCs w:val="20"/>
                <w:color w:val="auto"/>
              </w:rPr>
            </w:pPr>
            <w:r>
              <w:rPr>
                <w:rFonts w:ascii="Arial" w:cs="Arial" w:eastAsia="Arial" w:hAnsi="Arial"/>
                <w:sz w:val="16"/>
                <w:szCs w:val="16"/>
                <w:b w:val="1"/>
                <w:bCs w:val="1"/>
                <w:color w:val="auto"/>
              </w:rPr>
              <w:t>Directors and Officers: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Glynn Wilson</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844,970(2)</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2.59%</w:t>
            </w: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Mark Reddish, VP Development</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229,500(3)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&lt;1.00 %</w:t>
            </w: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Sherry Grisewood</w:t>
            </w:r>
          </w:p>
        </w:tc>
        <w:tc>
          <w:tcPr>
            <w:tcW w:w="1660" w:type="dxa"/>
            <w:vAlign w:val="bottom"/>
            <w:gridSpan w:val="3"/>
          </w:tcPr>
          <w:p>
            <w:pPr>
              <w:jc w:val="right"/>
              <w:ind w:right="380"/>
              <w:spacing w:after="0"/>
              <w:rPr>
                <w:sz w:val="20"/>
                <w:szCs w:val="20"/>
                <w:color w:val="auto"/>
              </w:rPr>
            </w:pPr>
            <w:r>
              <w:rPr>
                <w:rFonts w:ascii="Arial" w:cs="Arial" w:eastAsia="Arial" w:hAnsi="Arial"/>
                <w:sz w:val="16"/>
                <w:szCs w:val="16"/>
                <w:color w:val="auto"/>
              </w:rPr>
              <w:t>28,329</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&lt;1.0%</w:t>
            </w:r>
          </w:p>
        </w:tc>
      </w:tr>
      <w:tr>
        <w:trPr>
          <w:trHeight w:val="197"/>
        </w:trPr>
        <w:tc>
          <w:tcPr>
            <w:tcW w:w="8420" w:type="dxa"/>
            <w:vAlign w:val="bottom"/>
          </w:tcPr>
          <w:p>
            <w:pPr>
              <w:ind w:left="40"/>
              <w:spacing w:after="0"/>
              <w:rPr>
                <w:sz w:val="20"/>
                <w:szCs w:val="20"/>
                <w:color w:val="auto"/>
              </w:rPr>
            </w:pPr>
            <w:r>
              <w:rPr>
                <w:rFonts w:ascii="Arial" w:cs="Arial" w:eastAsia="Arial" w:hAnsi="Arial"/>
                <w:sz w:val="16"/>
                <w:szCs w:val="16"/>
                <w:color w:val="auto"/>
              </w:rPr>
              <w:t>David Laskow-Pooley</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8"/>
        </w:trPr>
        <w:tc>
          <w:tcPr>
            <w:tcW w:w="8420" w:type="dxa"/>
            <w:vAlign w:val="bottom"/>
          </w:tcPr>
          <w:p>
            <w:pPr>
              <w:spacing w:after="0"/>
              <w:rPr>
                <w:sz w:val="20"/>
                <w:szCs w:val="20"/>
                <w:color w:val="auto"/>
              </w:rPr>
            </w:pPr>
            <w:r>
              <w:rPr>
                <w:rFonts w:ascii="Arial" w:cs="Arial" w:eastAsia="Arial" w:hAnsi="Arial"/>
                <w:sz w:val="16"/>
                <w:szCs w:val="16"/>
                <w:color w:val="auto"/>
              </w:rPr>
              <w:t>All executive officers and directors as a group (3 persons)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1,102,799</w:t>
            </w:r>
          </w:p>
        </w:tc>
        <w:tc>
          <w:tcPr>
            <w:tcW w:w="3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3.38%</w:t>
            </w:r>
          </w:p>
        </w:tc>
      </w:tr>
      <w:tr>
        <w:trPr>
          <w:trHeight w:val="383"/>
        </w:trPr>
        <w:tc>
          <w:tcPr>
            <w:tcW w:w="8420" w:type="dxa"/>
            <w:vAlign w:val="bottom"/>
          </w:tcPr>
          <w:p>
            <w:pPr>
              <w:spacing w:after="0"/>
              <w:rPr>
                <w:sz w:val="20"/>
                <w:szCs w:val="20"/>
                <w:color w:val="auto"/>
              </w:rPr>
            </w:pPr>
            <w:r>
              <w:rPr>
                <w:rFonts w:ascii="Arial" w:cs="Arial" w:eastAsia="Arial" w:hAnsi="Arial"/>
                <w:sz w:val="16"/>
                <w:szCs w:val="16"/>
                <w:b w:val="1"/>
                <w:bCs w:val="1"/>
                <w:color w:val="auto"/>
              </w:rPr>
              <w:t>Major Stockholders: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Eastern Capital Limited</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27,528,476(4)</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49.9%</w:t>
            </w: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Empery Asset Master, Ltd</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4,057,149(5)</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Empery Tax Efficient II, LP</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3,978,059(6)</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Brio Capital Master Fund</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3,860,979(7)</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197"/>
        </w:trPr>
        <w:tc>
          <w:tcPr>
            <w:tcW w:w="8420" w:type="dxa"/>
            <w:vAlign w:val="bottom"/>
          </w:tcPr>
          <w:p>
            <w:pPr>
              <w:spacing w:after="0"/>
              <w:rPr>
                <w:sz w:val="20"/>
                <w:szCs w:val="20"/>
                <w:color w:val="auto"/>
              </w:rPr>
            </w:pPr>
            <w:r>
              <w:rPr>
                <w:rFonts w:ascii="Arial" w:cs="Arial" w:eastAsia="Arial" w:hAnsi="Arial"/>
                <w:sz w:val="16"/>
                <w:szCs w:val="16"/>
                <w:color w:val="auto"/>
              </w:rPr>
              <w:t>Iroquois Capital Management</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4,135,674(8)</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210"/>
        </w:trPr>
        <w:tc>
          <w:tcPr>
            <w:tcW w:w="8420" w:type="dxa"/>
            <w:vAlign w:val="bottom"/>
          </w:tcPr>
          <w:p>
            <w:pPr>
              <w:spacing w:after="0"/>
              <w:rPr>
                <w:sz w:val="20"/>
                <w:szCs w:val="20"/>
                <w:color w:val="auto"/>
              </w:rPr>
            </w:pPr>
            <w:r>
              <w:rPr>
                <w:rFonts w:ascii="Arial" w:cs="Arial" w:eastAsia="Arial" w:hAnsi="Arial"/>
                <w:sz w:val="16"/>
                <w:szCs w:val="16"/>
                <w:color w:val="auto"/>
              </w:rPr>
              <w:t>American Capital Management LLC</w:t>
            </w:r>
          </w:p>
        </w:tc>
        <w:tc>
          <w:tcPr>
            <w:tcW w:w="1660" w:type="dxa"/>
            <w:vAlign w:val="bottom"/>
            <w:gridSpan w:val="3"/>
          </w:tcPr>
          <w:p>
            <w:pPr>
              <w:jc w:val="right"/>
              <w:ind w:right="200"/>
              <w:spacing w:after="0" w:line="190" w:lineRule="exact"/>
              <w:rPr>
                <w:sz w:val="20"/>
                <w:szCs w:val="20"/>
                <w:color w:val="auto"/>
              </w:rPr>
            </w:pPr>
            <w:r>
              <w:rPr>
                <w:rFonts w:ascii="Arial" w:cs="Arial" w:eastAsia="Arial" w:hAnsi="Arial"/>
                <w:sz w:val="13"/>
                <w:szCs w:val="13"/>
                <w:color w:val="auto"/>
              </w:rPr>
              <w:t>4,053,266</w:t>
            </w:r>
            <w:r>
              <w:rPr>
                <w:rFonts w:ascii="Arial" w:cs="Arial" w:eastAsia="Arial" w:hAnsi="Arial"/>
                <w:sz w:val="21"/>
                <w:szCs w:val="21"/>
                <w:color w:val="auto"/>
                <w:vertAlign w:val="subscript"/>
              </w:rPr>
              <w:t>(9)</w:t>
            </w:r>
          </w:p>
        </w:tc>
        <w:tc>
          <w:tcPr>
            <w:tcW w:w="1340" w:type="dxa"/>
            <w:vAlign w:val="bottom"/>
            <w:gridSpan w:val="2"/>
          </w:tcPr>
          <w:p>
            <w:pPr>
              <w:jc w:val="right"/>
              <w:ind w:right="60"/>
              <w:spacing w:after="0" w:line="190" w:lineRule="exact"/>
              <w:rPr>
                <w:sz w:val="20"/>
                <w:szCs w:val="20"/>
                <w:color w:val="auto"/>
              </w:rPr>
            </w:pPr>
            <w:r>
              <w:rPr>
                <w:rFonts w:ascii="Arial" w:cs="Arial" w:eastAsia="Arial" w:hAnsi="Arial"/>
                <w:sz w:val="13"/>
                <w:szCs w:val="13"/>
                <w:color w:val="auto"/>
              </w:rPr>
              <w:t>9.9</w:t>
            </w:r>
            <w:r>
              <w:rPr>
                <w:rFonts w:ascii="Arial" w:cs="Arial" w:eastAsia="Arial" w:hAnsi="Arial"/>
                <w:sz w:val="21"/>
                <w:szCs w:val="21"/>
                <w:color w:val="auto"/>
                <w:vertAlign w:val="subscript"/>
              </w:rPr>
              <w:t>%</w:t>
            </w:r>
          </w:p>
        </w:tc>
      </w:tr>
      <w:tr>
        <w:trPr>
          <w:trHeight w:val="20"/>
        </w:trPr>
        <w:tc>
          <w:tcPr>
            <w:tcW w:w="8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241" w:hanging="241"/>
        <w:spacing w:after="0" w:line="258" w:lineRule="auto"/>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July 2, 2015, there were 38,038,920 shares of common stock issued and outstanding.</w:t>
      </w:r>
    </w:p>
    <w:p>
      <w:pPr>
        <w:spacing w:after="0" w:line="4" w:lineRule="exact"/>
        <w:rPr>
          <w:rFonts w:ascii="Arial" w:cs="Arial" w:eastAsia="Arial" w:hAnsi="Arial"/>
          <w:sz w:val="16"/>
          <w:szCs w:val="16"/>
          <w:color w:val="auto"/>
        </w:rPr>
      </w:pPr>
    </w:p>
    <w:p>
      <w:pPr>
        <w:ind w:left="241" w:hanging="241"/>
        <w:spacing w:after="0" w:line="186" w:lineRule="auto"/>
        <w:tabs>
          <w:tab w:leader="none" w:pos="241" w:val="left"/>
        </w:tabs>
        <w:numPr>
          <w:ilvl w:val="0"/>
          <w:numId w:val="31"/>
        </w:numPr>
        <w:rPr>
          <w:rFonts w:ascii="Arial" w:cs="Arial" w:eastAsia="Arial" w:hAnsi="Arial"/>
          <w:sz w:val="29"/>
          <w:szCs w:val="29"/>
          <w:color w:val="auto"/>
          <w:vertAlign w:val="subscript"/>
        </w:rPr>
      </w:pPr>
      <w:r>
        <w:rPr>
          <w:rFonts w:ascii="Arial" w:cs="Arial" w:eastAsia="Arial" w:hAnsi="Arial"/>
          <w:sz w:val="15"/>
          <w:szCs w:val="15"/>
          <w:color w:val="auto"/>
        </w:rPr>
        <w:t>This figure includes (i) 806,970 shares of common stock; and (ii) 18,000 options to acquire an equivalent number of common shares at $17 for 5 years and 20,000 options to acquire an equivalent number of common shares at $19 for 5 years.</w:t>
      </w:r>
    </w:p>
    <w:p>
      <w:pPr>
        <w:spacing w:after="0" w:line="2" w:lineRule="exact"/>
        <w:rPr>
          <w:rFonts w:ascii="Arial" w:cs="Arial" w:eastAsia="Arial" w:hAnsi="Arial"/>
          <w:sz w:val="29"/>
          <w:szCs w:val="29"/>
          <w:color w:val="auto"/>
          <w:vertAlign w:val="subscript"/>
        </w:rPr>
      </w:pPr>
    </w:p>
    <w:p>
      <w:pPr>
        <w:ind w:left="241" w:hanging="241"/>
        <w:spacing w:after="0"/>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figure includes (i) 225,000 shares of common stock; and (ii) 2,000 vested options exercisable at $17 and 2,500 vested options exercisable at $18.</w:t>
      </w:r>
    </w:p>
    <w:p>
      <w:pPr>
        <w:spacing w:after="0" w:line="13" w:lineRule="exact"/>
        <w:rPr>
          <w:rFonts w:ascii="Arial" w:cs="Arial" w:eastAsia="Arial" w:hAnsi="Arial"/>
          <w:sz w:val="16"/>
          <w:szCs w:val="16"/>
          <w:color w:val="auto"/>
        </w:rPr>
      </w:pPr>
    </w:p>
    <w:p>
      <w:pPr>
        <w:jc w:val="both"/>
        <w:ind w:left="241" w:hanging="241"/>
        <w:spacing w:after="0" w:line="257" w:lineRule="auto"/>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figure includes 5,000,000 shares of common stock issued to Eastern Capital Limited in March 2015 (we have not verified that Eastern Capital Limited still holds these shares), 5,000,000 shares of common stock issued to Eastern Capital Limited in June 2015 upon the exercise of 5,000,000 Series C-1 Warrants and 17,528,476 shares of common stock underlying the warrants. The remaining warrants held by the shareholders are subject to a “blocker provision” contained in each warrant under which the holder thereof does not have the right to exercise each such warrant to the extent (but only to the extent) that such exercise would result in beneficial ownership by the holder thereof, or any of its affiliates, of more than 49.9% of the common stock.</w:t>
      </w:r>
    </w:p>
    <w:p>
      <w:pPr>
        <w:jc w:val="both"/>
        <w:ind w:left="241" w:hanging="241"/>
        <w:spacing w:after="0" w:line="274" w:lineRule="auto"/>
        <w:tabs>
          <w:tab w:leader="none" w:pos="241"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1" w:hanging="241"/>
        <w:spacing w:after="0" w:line="285" w:lineRule="auto"/>
        <w:tabs>
          <w:tab w:leader="none" w:pos="241"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2" w:right="239" w:bottom="1440" w:gutter="0" w:footer="0" w:header="0"/>
        </w:sectPr>
      </w:pPr>
    </w:p>
    <w:bookmarkStart w:id="48" w:name="page49"/>
    <w:bookmarkEnd w:id="48"/>
    <w:p>
      <w:pPr>
        <w:jc w:val="right"/>
        <w:ind w:left="241" w:hanging="241"/>
        <w:spacing w:after="0" w:line="282" w:lineRule="auto"/>
        <w:tabs>
          <w:tab w:leader="none" w:pos="91" w:val="left"/>
        </w:tabs>
        <w:numPr>
          <w:ilvl w:val="0"/>
          <w:numId w:val="32"/>
        </w:numPr>
        <w:rPr>
          <w:rFonts w:ascii="Arial" w:cs="Arial" w:eastAsia="Arial" w:hAnsi="Arial"/>
          <w:sz w:val="15"/>
          <w:szCs w:val="15"/>
          <w:color w:val="auto"/>
        </w:rPr>
      </w:pPr>
      <w:r>
        <w:rPr>
          <w:rFonts w:ascii="Arial" w:cs="Arial" w:eastAsia="Arial" w:hAnsi="Arial"/>
          <w:sz w:val="15"/>
          <w:szCs w:val="15"/>
          <w:color w:val="auto"/>
        </w:rPr>
        <w:t>7)This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w:t>
      </w:r>
    </w:p>
    <w:p>
      <w:pPr>
        <w:ind w:left="241"/>
        <w:spacing w:after="0" w:line="257" w:lineRule="auto"/>
        <w:rPr>
          <w:sz w:val="20"/>
          <w:szCs w:val="20"/>
          <w:color w:val="auto"/>
        </w:rPr>
      </w:pPr>
      <w:r>
        <w:rPr>
          <w:rFonts w:ascii="Arial" w:cs="Arial" w:eastAsia="Arial" w:hAnsi="Arial"/>
          <w:sz w:val="16"/>
          <w:szCs w:val="16"/>
          <w:color w:val="auto"/>
        </w:rPr>
        <w:t>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1" w:hanging="241"/>
        <w:spacing w:after="0" w:line="274" w:lineRule="auto"/>
        <w:tabs>
          <w:tab w:leader="none" w:pos="241"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figure includes 4,135,674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1" w:hanging="241"/>
        <w:spacing w:after="0" w:line="282" w:lineRule="auto"/>
        <w:tabs>
          <w:tab w:leader="none" w:pos="241"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figure includes 750,000 shares of common stock issued to this shareholder in January 2015 (we have not verified that this shareholder still holds these shares) and 3,303,266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158"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There are no arrangements or understanding among the parties set out above or their respective associates or affiliates concerning election of directors or any other matters which may require shareholder approval.</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5"/>
          <w:szCs w:val="15"/>
          <w:color w:val="auto"/>
        </w:rPr>
        <w:t>A description of the Company’s equity compensation plan is provided in Part II, Item 5 of this Form 10-K and is hereby incorporated by reference into this Item 12.</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Changes in Control</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5"/>
          <w:szCs w:val="15"/>
          <w:color w:val="auto"/>
        </w:rPr>
        <w:t>We are unaware of any contract, or other arrangement or provision, the operation of which may at a subsequent date result in a change of control of our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legality and validity of the securities offered from time to time under this prospectus will be passed upon by Sanders Ortoli Vaughn-Flam Rosenstadt LLP.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DISCLOSURE OF COMMISSION POSITION ON INDEMNIFICATION FOR SECURITIES ACT LIABILITIES</w:t>
      </w:r>
    </w:p>
    <w:p>
      <w:pPr>
        <w:spacing w:after="0" w:line="214" w:lineRule="exact"/>
        <w:rPr>
          <w:sz w:val="20"/>
          <w:szCs w:val="20"/>
          <w:color w:val="auto"/>
        </w:rPr>
      </w:pPr>
    </w:p>
    <w:p>
      <w:pPr>
        <w:ind w:left="1" w:right="60"/>
        <w:spacing w:after="0" w:line="265" w:lineRule="auto"/>
        <w:rPr>
          <w:sz w:val="20"/>
          <w:szCs w:val="20"/>
          <w:color w:val="auto"/>
        </w:rPr>
      </w:pPr>
      <w:r>
        <w:rPr>
          <w:rFonts w:ascii="Arial" w:cs="Arial" w:eastAsia="Arial" w:hAnsi="Arial"/>
          <w:sz w:val="16"/>
          <w:szCs w:val="16"/>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67" w:lineRule="exact"/>
        <w:rPr>
          <w:sz w:val="20"/>
          <w:szCs w:val="20"/>
          <w:color w:val="auto"/>
        </w:rPr>
      </w:pPr>
    </w:p>
    <w:p>
      <w:pPr>
        <w:ind w:left="1" w:right="20"/>
        <w:spacing w:after="0" w:line="272" w:lineRule="auto"/>
        <w:rPr>
          <w:sz w:val="20"/>
          <w:szCs w:val="20"/>
          <w:color w:val="auto"/>
        </w:rPr>
      </w:pPr>
      <w:r>
        <w:rPr>
          <w:rFonts w:ascii="Arial" w:cs="Arial" w:eastAsia="Arial" w:hAnsi="Arial"/>
          <w:sz w:val="16"/>
          <w:szCs w:val="16"/>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4"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Our consolidated financial statements as of December 31, 2014 have been included in the registration statement in reliance upon the report of Marcum LLP, independent registered public accounting firm, and upon the authority of said firm as experts in accounting and auditing. Our consolidated financial statements as of December 31, 2013 have been included in the registration statement in reliance upon the report of Dale Matheson Carr-Hilton LaBonte LLP, independent registered public accounting firm, and upon the authority of said firm as experts in accounting and auditing.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4" w:lineRule="exact"/>
        <w:rPr>
          <w:sz w:val="20"/>
          <w:szCs w:val="20"/>
          <w:color w:val="auto"/>
        </w:rPr>
      </w:pPr>
    </w:p>
    <w:p>
      <w:pPr>
        <w:jc w:val="both"/>
        <w:ind w:left="1"/>
        <w:spacing w:after="0" w:line="281" w:lineRule="auto"/>
        <w:rPr>
          <w:sz w:val="20"/>
          <w:szCs w:val="20"/>
          <w:color w:val="auto"/>
        </w:rPr>
      </w:pPr>
      <w:r>
        <w:rPr>
          <w:rFonts w:ascii="Arial" w:cs="Arial" w:eastAsia="Arial" w:hAnsi="Arial"/>
          <w:sz w:val="15"/>
          <w:szCs w:val="15"/>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5"/>
          <w:szCs w:val="15"/>
          <w:u w:val="single" w:color="auto"/>
          <w:color w:val="auto"/>
        </w:rPr>
        <w:t>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6"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2"/>
        </w:trPr>
        <w:tc>
          <w:tcPr>
            <w:tcW w:w="10460" w:type="dxa"/>
            <w:vAlign w:val="bottom"/>
          </w:tcPr>
          <w:p>
            <w:pPr>
              <w:ind w:left="4180"/>
              <w:spacing w:after="0"/>
              <w:rPr>
                <w:sz w:val="20"/>
                <w:szCs w:val="20"/>
                <w:color w:val="auto"/>
              </w:rPr>
            </w:pPr>
            <w:r>
              <w:rPr>
                <w:rFonts w:ascii="Arial" w:cs="Arial" w:eastAsia="Arial" w:hAnsi="Arial"/>
                <w:sz w:val="16"/>
                <w:szCs w:val="16"/>
                <w:b w:val="1"/>
                <w:bCs w:val="1"/>
                <w:color w:val="auto"/>
              </w:rPr>
              <w:t>Index to Consolidated Financial Statements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814"/>
        </w:trPr>
        <w:tc>
          <w:tcPr>
            <w:tcW w:w="10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Page</w:t>
            </w:r>
          </w:p>
        </w:tc>
      </w:tr>
      <w:tr>
        <w:trPr>
          <w:trHeight w:val="20"/>
        </w:trPr>
        <w:tc>
          <w:tcPr>
            <w:tcW w:w="10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83"/>
        </w:trPr>
        <w:tc>
          <w:tcPr>
            <w:tcW w:w="10460" w:type="dxa"/>
            <w:vAlign w:val="bottom"/>
          </w:tcPr>
          <w:p>
            <w:pPr>
              <w:spacing w:after="0"/>
              <w:rPr>
                <w:sz w:val="20"/>
                <w:szCs w:val="20"/>
                <w:color w:val="auto"/>
              </w:rPr>
            </w:pPr>
            <w:r>
              <w:rPr>
                <w:rFonts w:ascii="Arial" w:cs="Arial" w:eastAsia="Arial" w:hAnsi="Arial"/>
                <w:sz w:val="16"/>
                <w:szCs w:val="16"/>
                <w:color w:val="auto"/>
              </w:rPr>
              <w:t>Report of Independent Registered Public Accounting Firm, dated April 15, 2015</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F-1</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Report of Independent Registered Public Accounting Firm, dated April 14, 2014</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F-2</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Consolidated Balance Sheets as of December 31, 2014 and 2013</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F-3</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Consolidated Statements of Operations for the Years Ended December 31, 2014 and 2013</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F-4</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Consolidated Statements of Stockholders’ Deficit from July 27, 1999 (Inception) to December 31, 2014</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F-5</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Consolidated Statements of Cash Flows for the Years Ended December 31, 2014 and 2013</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F-6</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Notes to Consolidated Financial Statements for the Years Ended December 31, 2014</w:t>
            </w:r>
          </w:p>
        </w:tc>
        <w:tc>
          <w:tcPr>
            <w:tcW w:w="300" w:type="dxa"/>
            <w:vAlign w:val="bottom"/>
          </w:tcPr>
          <w:p>
            <w:pPr>
              <w:spacing w:after="0"/>
              <w:rPr>
                <w:sz w:val="24"/>
                <w:szCs w:val="24"/>
                <w:color w:val="auto"/>
              </w:rPr>
            </w:pPr>
          </w:p>
        </w:tc>
        <w:tc>
          <w:tcPr>
            <w:tcW w:w="660" w:type="dxa"/>
            <w:vAlign w:val="bottom"/>
          </w:tcPr>
          <w:p>
            <w:pPr>
              <w:jc w:val="right"/>
              <w:ind w:right="258"/>
              <w:spacing w:after="0"/>
              <w:rPr>
                <w:sz w:val="20"/>
                <w:szCs w:val="20"/>
                <w:color w:val="auto"/>
              </w:rPr>
            </w:pPr>
            <w:r>
              <w:rPr>
                <w:rFonts w:ascii="Arial" w:cs="Arial" w:eastAsia="Arial" w:hAnsi="Arial"/>
                <w:sz w:val="16"/>
                <w:szCs w:val="16"/>
                <w:color w:val="auto"/>
              </w:rPr>
              <w:t>F-8</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Condensed Consolidated Balance Sheets as of March 31, 2015 (Unaudited) and December 31, 2014</w:t>
            </w:r>
          </w:p>
        </w:tc>
        <w:tc>
          <w:tcPr>
            <w:tcW w:w="300" w:type="dxa"/>
            <w:vAlign w:val="bottom"/>
          </w:tcPr>
          <w:p>
            <w:pPr>
              <w:spacing w:after="0"/>
              <w:rPr>
                <w:sz w:val="24"/>
                <w:szCs w:val="24"/>
                <w:color w:val="auto"/>
              </w:rPr>
            </w:pPr>
          </w:p>
        </w:tc>
        <w:tc>
          <w:tcPr>
            <w:tcW w:w="660" w:type="dxa"/>
            <w:vAlign w:val="bottom"/>
          </w:tcPr>
          <w:p>
            <w:pPr>
              <w:jc w:val="right"/>
              <w:ind w:right="218"/>
              <w:spacing w:after="0"/>
              <w:rPr>
                <w:sz w:val="20"/>
                <w:szCs w:val="20"/>
                <w:color w:val="auto"/>
              </w:rPr>
            </w:pPr>
            <w:r>
              <w:rPr>
                <w:rFonts w:ascii="Arial" w:cs="Arial" w:eastAsia="Arial" w:hAnsi="Arial"/>
                <w:sz w:val="16"/>
                <w:szCs w:val="16"/>
                <w:color w:val="auto"/>
              </w:rPr>
              <w:t>F-21</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Condensed Consolidated Statements of Operations and Comprehensive Loss (Unaudited) for the Three Months Ended March 31, 2015 and 2014,</w:t>
            </w:r>
          </w:p>
        </w:tc>
        <w:tc>
          <w:tcPr>
            <w:tcW w:w="960" w:type="dxa"/>
            <w:vAlign w:val="bottom"/>
            <w:gridSpan w:val="2"/>
          </w:tcPr>
          <w:p>
            <w:pPr>
              <w:jc w:val="right"/>
              <w:ind w:right="258"/>
              <w:spacing w:after="0"/>
              <w:rPr>
                <w:sz w:val="20"/>
                <w:szCs w:val="20"/>
                <w:color w:val="auto"/>
              </w:rPr>
            </w:pPr>
            <w:r>
              <w:rPr>
                <w:rFonts w:ascii="Arial" w:cs="Arial" w:eastAsia="Arial" w:hAnsi="Arial"/>
                <w:sz w:val="16"/>
                <w:szCs w:val="16"/>
                <w:color w:val="auto"/>
              </w:rPr>
              <w:t>F-22</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Consolidated Statements of Stockholders’ Equity (Deficit)</w:t>
            </w:r>
          </w:p>
        </w:tc>
        <w:tc>
          <w:tcPr>
            <w:tcW w:w="960" w:type="dxa"/>
            <w:vAlign w:val="bottom"/>
            <w:gridSpan w:val="2"/>
          </w:tcPr>
          <w:p>
            <w:pPr>
              <w:jc w:val="right"/>
              <w:ind w:right="258"/>
              <w:spacing w:after="0"/>
              <w:rPr>
                <w:sz w:val="20"/>
                <w:szCs w:val="20"/>
                <w:color w:val="auto"/>
              </w:rPr>
            </w:pPr>
            <w:r>
              <w:rPr>
                <w:rFonts w:ascii="Arial" w:cs="Arial" w:eastAsia="Arial" w:hAnsi="Arial"/>
                <w:sz w:val="16"/>
                <w:szCs w:val="16"/>
                <w:color w:val="auto"/>
              </w:rPr>
              <w:t>F-23</w:t>
            </w:r>
          </w:p>
        </w:tc>
      </w:tr>
      <w:tr>
        <w:trPr>
          <w:trHeight w:val="383"/>
        </w:trPr>
        <w:tc>
          <w:tcPr>
            <w:tcW w:w="10460" w:type="dxa"/>
            <w:vAlign w:val="bottom"/>
          </w:tcPr>
          <w:p>
            <w:pPr>
              <w:spacing w:after="0"/>
              <w:rPr>
                <w:sz w:val="20"/>
                <w:szCs w:val="20"/>
                <w:color w:val="auto"/>
              </w:rPr>
            </w:pPr>
            <w:r>
              <w:rPr>
                <w:rFonts w:ascii="Arial" w:cs="Arial" w:eastAsia="Arial" w:hAnsi="Arial"/>
                <w:sz w:val="16"/>
                <w:szCs w:val="16"/>
                <w:color w:val="auto"/>
                <w:w w:val="95"/>
              </w:rPr>
              <w:t>Condensed Consolidated Statements of Cash Flows for the Three Months Ended March 31, 2015 and 2014, and for the Period from July 27, 1999 (Date of</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8"/>
        </w:trPr>
        <w:tc>
          <w:tcPr>
            <w:tcW w:w="10460" w:type="dxa"/>
            <w:vAlign w:val="bottom"/>
          </w:tcPr>
          <w:p>
            <w:pPr>
              <w:spacing w:after="0"/>
              <w:rPr>
                <w:sz w:val="20"/>
                <w:szCs w:val="20"/>
                <w:color w:val="auto"/>
              </w:rPr>
            </w:pPr>
            <w:r>
              <w:rPr>
                <w:rFonts w:ascii="Arial" w:cs="Arial" w:eastAsia="Arial" w:hAnsi="Arial"/>
                <w:sz w:val="16"/>
                <w:szCs w:val="16"/>
                <w:color w:val="auto"/>
              </w:rPr>
              <w:t>Inception) to March 31, 2010</w:t>
            </w:r>
          </w:p>
        </w:tc>
        <w:tc>
          <w:tcPr>
            <w:tcW w:w="960" w:type="dxa"/>
            <w:vAlign w:val="bottom"/>
            <w:gridSpan w:val="2"/>
          </w:tcPr>
          <w:p>
            <w:pPr>
              <w:jc w:val="right"/>
              <w:ind w:right="258"/>
              <w:spacing w:after="0"/>
              <w:rPr>
                <w:sz w:val="20"/>
                <w:szCs w:val="20"/>
                <w:color w:val="auto"/>
              </w:rPr>
            </w:pPr>
            <w:r>
              <w:rPr>
                <w:rFonts w:ascii="Arial" w:cs="Arial" w:eastAsia="Arial" w:hAnsi="Arial"/>
                <w:sz w:val="16"/>
                <w:szCs w:val="16"/>
                <w:color w:val="auto"/>
              </w:rPr>
              <w:t>F-24</w:t>
            </w:r>
          </w:p>
        </w:tc>
      </w:tr>
      <w:tr>
        <w:trPr>
          <w:trHeight w:val="394"/>
        </w:trPr>
        <w:tc>
          <w:tcPr>
            <w:tcW w:w="10460" w:type="dxa"/>
            <w:vAlign w:val="bottom"/>
          </w:tcPr>
          <w:p>
            <w:pPr>
              <w:spacing w:after="0"/>
              <w:rPr>
                <w:sz w:val="20"/>
                <w:szCs w:val="20"/>
                <w:color w:val="auto"/>
              </w:rPr>
            </w:pPr>
            <w:r>
              <w:rPr>
                <w:rFonts w:ascii="Arial" w:cs="Arial" w:eastAsia="Arial" w:hAnsi="Arial"/>
                <w:sz w:val="16"/>
                <w:szCs w:val="16"/>
                <w:color w:val="auto"/>
              </w:rPr>
              <w:t>Notes to the Condensed Consolidated Financial Statements (Unaudited) for the three-month period ended March 31, 2015</w:t>
            </w:r>
          </w:p>
        </w:tc>
        <w:tc>
          <w:tcPr>
            <w:tcW w:w="960" w:type="dxa"/>
            <w:vAlign w:val="bottom"/>
            <w:gridSpan w:val="2"/>
          </w:tcPr>
          <w:p>
            <w:pPr>
              <w:jc w:val="right"/>
              <w:ind w:right="258"/>
              <w:spacing w:after="0"/>
              <w:rPr>
                <w:sz w:val="20"/>
                <w:szCs w:val="20"/>
                <w:color w:val="auto"/>
              </w:rPr>
            </w:pPr>
            <w:r>
              <w:rPr>
                <w:rFonts w:ascii="Arial" w:cs="Arial" w:eastAsia="Arial" w:hAnsi="Arial"/>
                <w:sz w:val="16"/>
                <w:szCs w:val="16"/>
                <w:color w:val="auto"/>
              </w:rPr>
              <w:t>F-26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u w:val="single" w:color="auto"/>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To the Audit Committee of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of TapImmune, Inc.</w:t>
      </w:r>
    </w:p>
    <w:p>
      <w:pPr>
        <w:spacing w:after="0" w:line="200" w:lineRule="exact"/>
        <w:rPr>
          <w:sz w:val="20"/>
          <w:szCs w:val="20"/>
          <w:color w:val="auto"/>
        </w:rPr>
      </w:pPr>
    </w:p>
    <w:p>
      <w:pPr>
        <w:spacing w:after="0" w:line="22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 Marcum llp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New York, NY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15, 2015</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149"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456565</wp:posOffset>
            </wp:positionV>
            <wp:extent cx="7315835" cy="1650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31583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TapImmune Inc:</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“DMCL”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DALE MATHESON CARR-HILTON LABONTE LLP</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ACCOUNTANTS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14, 2014</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198"/>
              <w:spacing w:after="0"/>
              <w:rPr>
                <w:sz w:val="20"/>
                <w:szCs w:val="20"/>
                <w:color w:val="auto"/>
              </w:rPr>
            </w:pPr>
            <w:r>
              <w:rPr>
                <w:rFonts w:ascii="Arial" w:cs="Arial" w:eastAsia="Arial" w:hAnsi="Arial"/>
                <w:sz w:val="16"/>
                <w:szCs w:val="16"/>
                <w:color w:val="auto"/>
                <w:w w:val="91"/>
              </w:rPr>
              <w:t>December 31,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Current Assets</w:t>
            </w:r>
          </w:p>
        </w:tc>
        <w:tc>
          <w:tcPr>
            <w:tcW w:w="3780" w:type="dxa"/>
            <w:vAlign w:val="bottom"/>
            <w:gridSpan w:val="3"/>
          </w:tcPr>
          <w:p>
            <w:pPr>
              <w:jc w:val="right"/>
              <w:ind w:right="2763"/>
              <w:spacing w:after="0"/>
              <w:rPr>
                <w:sz w:val="20"/>
                <w:szCs w:val="20"/>
                <w:color w:val="auto"/>
              </w:rPr>
            </w:pPr>
            <w:r>
              <w:rPr>
                <w:rFonts w:ascii="Arial" w:cs="Arial" w:eastAsia="Arial" w:hAnsi="Arial"/>
                <w:sz w:val="16"/>
                <w:szCs w:val="16"/>
                <w:b w:val="1"/>
                <w:bCs w:val="1"/>
                <w:color w:val="auto"/>
              </w:rPr>
              <w:t>ASSETS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Cash</w:t>
            </w:r>
          </w:p>
        </w:tc>
        <w:tc>
          <w:tcPr>
            <w:tcW w:w="37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141,944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48,589</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Prepaid expenses and deposits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82,504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15,004</w:t>
            </w:r>
          </w:p>
        </w:tc>
        <w:tc>
          <w:tcPr>
            <w:tcW w:w="0" w:type="dxa"/>
            <w:vAlign w:val="bottom"/>
          </w:tcPr>
          <w:p>
            <w:pPr>
              <w:spacing w:after="0"/>
              <w:rPr>
                <w:sz w:val="1"/>
                <w:szCs w:val="1"/>
                <w:color w:val="auto"/>
              </w:rPr>
            </w:pPr>
          </w:p>
        </w:tc>
      </w:tr>
      <w:tr>
        <w:trPr>
          <w:trHeight w:val="209"/>
        </w:trPr>
        <w:tc>
          <w:tcPr>
            <w:tcW w:w="5020" w:type="dxa"/>
            <w:vAlign w:val="bottom"/>
          </w:tcPr>
          <w:p>
            <w:pPr>
              <w:ind w:left="80"/>
              <w:spacing w:after="0"/>
              <w:rPr>
                <w:sz w:val="20"/>
                <w:szCs w:val="20"/>
                <w:color w:val="auto"/>
              </w:rPr>
            </w:pPr>
            <w:r>
              <w:rPr>
                <w:rFonts w:ascii="Arial" w:cs="Arial" w:eastAsia="Arial" w:hAnsi="Arial"/>
                <w:sz w:val="16"/>
                <w:szCs w:val="16"/>
                <w:color w:val="auto"/>
              </w:rPr>
              <w:t>Deferred financing costs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13,439</w:t>
            </w:r>
          </w:p>
        </w:tc>
        <w:tc>
          <w:tcPr>
            <w:tcW w:w="0" w:type="dxa"/>
            <w:vAlign w:val="bottom"/>
          </w:tcPr>
          <w:p>
            <w:pPr>
              <w:spacing w:after="0"/>
              <w:rPr>
                <w:sz w:val="1"/>
                <w:szCs w:val="1"/>
                <w:color w:val="auto"/>
              </w:rPr>
            </w:pPr>
          </w:p>
        </w:tc>
      </w:tr>
      <w:tr>
        <w:trPr>
          <w:trHeight w:val="25"/>
        </w:trPr>
        <w:tc>
          <w:tcPr>
            <w:tcW w:w="50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5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224,448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77,032</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800" w:type="dxa"/>
            <w:vAlign w:val="bottom"/>
            <w:gridSpan w:val="4"/>
          </w:tcPr>
          <w:p>
            <w:pPr>
              <w:ind w:left="3440"/>
              <w:spacing w:after="0"/>
              <w:rPr>
                <w:sz w:val="20"/>
                <w:szCs w:val="20"/>
                <w:color w:val="auto"/>
              </w:rPr>
            </w:pPr>
            <w:r>
              <w:rPr>
                <w:rFonts w:ascii="Arial" w:cs="Arial" w:eastAsia="Arial" w:hAnsi="Arial"/>
                <w:sz w:val="16"/>
                <w:szCs w:val="16"/>
                <w:b w:val="1"/>
                <w:bCs w:val="1"/>
                <w:color w:val="auto"/>
              </w:rPr>
              <w:t>LIABILITIES AND STOCKHOLDERS’ EQUITY (DEFICIT)</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Accounts payable and accrued liabilities</w:t>
            </w:r>
          </w:p>
        </w:tc>
        <w:tc>
          <w:tcPr>
            <w:tcW w:w="37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693,362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3,778,401</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Research agreement obligations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492,365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492,365</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Derivative liability – conversion option</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582,300</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Derivative liability – warrants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9,415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140,504</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Convertible notes payable</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3,161,977</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Loans payable, related party (2013 - $5,200)</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42,200</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Promissory notes, related party</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52,942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277,942</w:t>
            </w:r>
          </w:p>
        </w:tc>
        <w:tc>
          <w:tcPr>
            <w:tcW w:w="0" w:type="dxa"/>
            <w:vAlign w:val="bottom"/>
          </w:tcPr>
          <w:p>
            <w:pPr>
              <w:spacing w:after="0"/>
              <w:rPr>
                <w:sz w:val="1"/>
                <w:szCs w:val="1"/>
                <w:color w:val="auto"/>
              </w:rPr>
            </w:pPr>
          </w:p>
        </w:tc>
      </w:tr>
      <w:tr>
        <w:trPr>
          <w:trHeight w:val="214"/>
        </w:trPr>
        <w:tc>
          <w:tcPr>
            <w:tcW w:w="5020" w:type="dxa"/>
            <w:vAlign w:val="bottom"/>
          </w:tcPr>
          <w:p>
            <w:pPr>
              <w:ind w:left="80"/>
              <w:spacing w:after="0"/>
              <w:rPr>
                <w:sz w:val="20"/>
                <w:szCs w:val="20"/>
                <w:color w:val="auto"/>
              </w:rPr>
            </w:pPr>
            <w:r>
              <w:rPr>
                <w:rFonts w:ascii="Arial" w:cs="Arial" w:eastAsia="Arial" w:hAnsi="Arial"/>
                <w:sz w:val="16"/>
                <w:szCs w:val="16"/>
                <w:color w:val="auto"/>
              </w:rPr>
              <w:t>Due to related parties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369,346</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1,248,084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8,845,035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50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02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800" w:type="dxa"/>
            <w:vAlign w:val="bottom"/>
            <w:gridSpan w:val="4"/>
          </w:tcPr>
          <w:p>
            <w:pPr>
              <w:spacing w:after="0"/>
              <w:rPr>
                <w:sz w:val="20"/>
                <w:szCs w:val="20"/>
                <w:color w:val="auto"/>
              </w:rPr>
            </w:pPr>
            <w:r>
              <w:rPr>
                <w:rFonts w:ascii="Arial" w:cs="Arial" w:eastAsia="Arial" w:hAnsi="Arial"/>
                <w:sz w:val="16"/>
                <w:szCs w:val="16"/>
                <w:color w:val="auto"/>
              </w:rPr>
              <w:t>Convertible preferred stock, $0.001 par value — 5,000,000 shares authorized: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800" w:type="dxa"/>
            <w:vAlign w:val="bottom"/>
            <w:gridSpan w:val="4"/>
          </w:tcPr>
          <w:p>
            <w:pPr>
              <w:ind w:left="140"/>
              <w:spacing w:after="0"/>
              <w:rPr>
                <w:sz w:val="20"/>
                <w:szCs w:val="20"/>
                <w:color w:val="auto"/>
              </w:rPr>
            </w:pPr>
            <w:r>
              <w:rPr>
                <w:rFonts w:ascii="Arial" w:cs="Arial" w:eastAsia="Arial" w:hAnsi="Arial"/>
                <w:sz w:val="16"/>
                <w:szCs w:val="16"/>
                <w:color w:val="auto"/>
                <w:w w:val="99"/>
              </w:rPr>
              <w:t>Series A, $0.001 par value, 1,250,000 shares designated, -0- shares issued and outstanding as of December 31, 2014 and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rPr>
              <w:t>December 31, 2013</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w w:val="90"/>
              </w:rPr>
              <w:t>Series B, $0.001 par value, 1,500,000 shares designated, -0- shares issued</w:t>
            </w:r>
          </w:p>
        </w:tc>
        <w:tc>
          <w:tcPr>
            <w:tcW w:w="3780" w:type="dxa"/>
            <w:vAlign w:val="bottom"/>
            <w:gridSpan w:val="3"/>
          </w:tcPr>
          <w:p>
            <w:pPr>
              <w:jc w:val="right"/>
              <w:ind w:right="643"/>
              <w:spacing w:after="0"/>
              <w:rPr>
                <w:sz w:val="20"/>
                <w:szCs w:val="20"/>
                <w:color w:val="auto"/>
              </w:rPr>
            </w:pPr>
            <w:r>
              <w:rPr>
                <w:rFonts w:ascii="Arial" w:cs="Arial" w:eastAsia="Arial" w:hAnsi="Arial"/>
                <w:sz w:val="16"/>
                <w:szCs w:val="16"/>
                <w:color w:val="auto"/>
                <w:w w:val="92"/>
              </w:rPr>
              <w:t>and outstanding as of December 31, 2014 and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rPr>
              <w:t>December 31, 2013</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Common stock, $0.001 par value, 500,000,000 shares authorized</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20,318,815 shares issued and outstanding (2013 – 1,465,712)</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20,319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85,265,776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46,715,500</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Accumulated deficit</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(86,309,731)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(55,426,635)</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(58,334)</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(1,023,636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(8,768,003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7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224,448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77,032</w:t>
            </w:r>
          </w:p>
        </w:tc>
        <w:tc>
          <w:tcPr>
            <w:tcW w:w="0" w:type="dxa"/>
            <w:vAlign w:val="bottom"/>
          </w:tcPr>
          <w:p>
            <w:pPr>
              <w:spacing w:after="0"/>
              <w:rPr>
                <w:sz w:val="1"/>
                <w:szCs w:val="1"/>
                <w:color w:val="auto"/>
              </w:rPr>
            </w:pP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89"/>
              </w:rPr>
              <w:t>Year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89"/>
              </w:rPr>
              <w:t>Year Ended</w:t>
            </w:r>
          </w:p>
        </w:tc>
      </w:t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December 31,</w:t>
            </w:r>
          </w:p>
        </w:tc>
      </w:tr>
      <w:tr>
        <w:trPr>
          <w:trHeight w:val="214"/>
        </w:trPr>
        <w:tc>
          <w:tcPr>
            <w:tcW w:w="8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2014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5"/>
              </w:rPr>
              <w:t>2013</w:t>
            </w:r>
          </w:p>
        </w:tc>
        <w:tc>
          <w:tcPr>
            <w:tcW w:w="160" w:type="dxa"/>
            <w:vAlign w:val="bottom"/>
          </w:tcPr>
          <w:p>
            <w:pPr>
              <w:spacing w:after="0"/>
              <w:rPr>
                <w:sz w:val="18"/>
                <w:szCs w:val="18"/>
                <w:color w:val="auto"/>
              </w:rPr>
            </w:pPr>
          </w:p>
        </w:tc>
      </w:tr>
      <w:tr>
        <w:trPr>
          <w:trHeight w:val="382"/>
        </w:trPr>
        <w:tc>
          <w:tcPr>
            <w:tcW w:w="85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3,181,927</w:t>
            </w:r>
          </w:p>
        </w:tc>
        <w:tc>
          <w:tcPr>
            <w:tcW w:w="1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1,966,683</w:t>
            </w:r>
          </w:p>
        </w:tc>
        <w:tc>
          <w:tcPr>
            <w:tcW w:w="160" w:type="dxa"/>
            <w:vAlign w:val="bottom"/>
          </w:tcPr>
          <w:p>
            <w:pPr>
              <w:spacing w:after="0"/>
              <w:rPr>
                <w:sz w:val="17"/>
                <w:szCs w:val="17"/>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189,000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697,634</w:t>
            </w:r>
          </w:p>
        </w:tc>
        <w:tc>
          <w:tcPr>
            <w:tcW w:w="160" w:type="dxa"/>
            <w:vAlign w:val="bottom"/>
          </w:tcPr>
          <w:p>
            <w:pPr>
              <w:spacing w:after="0"/>
              <w:rPr>
                <w:sz w:val="18"/>
                <w:szCs w:val="18"/>
                <w:color w:val="auto"/>
              </w:rPr>
            </w:pPr>
          </w:p>
        </w:tc>
      </w:tr>
      <w:tr>
        <w:trPr>
          <w:trHeight w:val="25"/>
        </w:trPr>
        <w:tc>
          <w:tcPr>
            <w:tcW w:w="8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393"/>
        </w:trPr>
        <w:tc>
          <w:tcPr>
            <w:tcW w:w="8560" w:type="dxa"/>
            <w:vAlign w:val="bottom"/>
          </w:tcPr>
          <w:p>
            <w:pPr>
              <w:spacing w:after="0"/>
              <w:rPr>
                <w:sz w:val="20"/>
                <w:szCs w:val="20"/>
                <w:color w:val="auto"/>
              </w:rPr>
            </w:pPr>
            <w:r>
              <w:rPr>
                <w:rFonts w:ascii="Arial" w:cs="Arial" w:eastAsia="Arial" w:hAnsi="Arial"/>
                <w:sz w:val="16"/>
                <w:szCs w:val="16"/>
                <w:b w:val="1"/>
                <w:bCs w:val="1"/>
                <w:color w:val="auto"/>
              </w:rPr>
              <w:t>Loss from Operations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(3,370,927)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(2,664,317)</w:t>
            </w:r>
          </w:p>
        </w:tc>
      </w:tr>
      <w:tr>
        <w:trPr>
          <w:trHeight w:val="383"/>
        </w:trPr>
        <w:tc>
          <w:tcPr>
            <w:tcW w:w="856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Foreign exchange (loss) gain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(52,976)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5,896</w:t>
            </w:r>
          </w:p>
        </w:tc>
        <w:tc>
          <w:tcPr>
            <w:tcW w:w="160" w:type="dxa"/>
            <w:vAlign w:val="bottom"/>
          </w:tcPr>
          <w:p>
            <w:pPr>
              <w:spacing w:after="0"/>
              <w:rPr>
                <w:sz w:val="17"/>
                <w:szCs w:val="17"/>
                <w:color w:val="auto"/>
              </w:rPr>
            </w:pPr>
          </w:p>
        </w:tc>
      </w:tr>
      <w:tr>
        <w:trPr>
          <w:trHeight w:val="197"/>
        </w:trPr>
        <w:tc>
          <w:tcPr>
            <w:tcW w:w="8560" w:type="dxa"/>
            <w:vAlign w:val="bottom"/>
          </w:tcPr>
          <w:p>
            <w:pPr>
              <w:ind w:left="160"/>
              <w:spacing w:after="0"/>
              <w:rPr>
                <w:sz w:val="20"/>
                <w:szCs w:val="20"/>
                <w:color w:val="auto"/>
              </w:rPr>
            </w:pPr>
            <w:r>
              <w:rPr>
                <w:rFonts w:ascii="Arial" w:cs="Arial" w:eastAsia="Arial" w:hAnsi="Arial"/>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1,546,257</w:t>
            </w:r>
          </w:p>
        </w:tc>
        <w:tc>
          <w:tcPr>
            <w:tcW w:w="160" w:type="dxa"/>
            <w:vAlign w:val="bottom"/>
          </w:tcPr>
          <w:p>
            <w:pPr>
              <w:spacing w:after="0"/>
              <w:rPr>
                <w:sz w:val="17"/>
                <w:szCs w:val="17"/>
                <w:color w:val="auto"/>
              </w:rPr>
            </w:pPr>
          </w:p>
        </w:tc>
      </w:tr>
      <w:tr>
        <w:trPr>
          <w:trHeight w:val="197"/>
        </w:trPr>
        <w:tc>
          <w:tcPr>
            <w:tcW w:w="8560" w:type="dxa"/>
            <w:vAlign w:val="bottom"/>
          </w:tcPr>
          <w:p>
            <w:pPr>
              <w:ind w:left="160"/>
              <w:spacing w:after="0"/>
              <w:rPr>
                <w:sz w:val="20"/>
                <w:szCs w:val="20"/>
                <w:color w:val="auto"/>
              </w:rPr>
            </w:pPr>
            <w:r>
              <w:rPr>
                <w:rFonts w:ascii="Arial" w:cs="Arial" w:eastAsia="Arial" w:hAnsi="Arial"/>
                <w:sz w:val="16"/>
                <w:szCs w:val="16"/>
                <w:color w:val="auto"/>
              </w:rPr>
              <w:t>Accretion of discount on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(492,296)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(1,110,831)</w:t>
            </w:r>
          </w:p>
        </w:tc>
      </w:tr>
      <w:tr>
        <w:trPr>
          <w:trHeight w:val="197"/>
        </w:trPr>
        <w:tc>
          <w:tcPr>
            <w:tcW w:w="8560" w:type="dxa"/>
            <w:vAlign w:val="bottom"/>
          </w:tcPr>
          <w:p>
            <w:pPr>
              <w:ind w:left="160"/>
              <w:spacing w:after="0"/>
              <w:rPr>
                <w:sz w:val="20"/>
                <w:szCs w:val="20"/>
                <w:color w:val="auto"/>
              </w:rPr>
            </w:pPr>
            <w:r>
              <w:rPr>
                <w:rFonts w:ascii="Arial" w:cs="Arial" w:eastAsia="Arial" w:hAnsi="Arial"/>
                <w:sz w:val="16"/>
                <w:szCs w:val="16"/>
                <w:color w:val="auto"/>
              </w:rPr>
              <w:t>Interest and financing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(83,247)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(645,562)</w:t>
            </w:r>
          </w:p>
        </w:tc>
      </w:tr>
      <w:tr>
        <w:trPr>
          <w:trHeight w:val="197"/>
        </w:trPr>
        <w:tc>
          <w:tcPr>
            <w:tcW w:w="8560" w:type="dxa"/>
            <w:vAlign w:val="bottom"/>
          </w:tcPr>
          <w:p>
            <w:pPr>
              <w:ind w:left="16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(26,884,231)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(2,560,045)</w:t>
            </w:r>
          </w:p>
        </w:tc>
      </w:tr>
      <w:tr>
        <w:trPr>
          <w:trHeight w:val="210"/>
        </w:trPr>
        <w:tc>
          <w:tcPr>
            <w:tcW w:w="8560" w:type="dxa"/>
            <w:vAlign w:val="bottom"/>
          </w:tcPr>
          <w:p>
            <w:pPr>
              <w:ind w:left="160"/>
              <w:spacing w:after="0"/>
              <w:rPr>
                <w:sz w:val="20"/>
                <w:szCs w:val="20"/>
                <w:color w:val="auto"/>
              </w:rPr>
            </w:pPr>
            <w:r>
              <w:rPr>
                <w:rFonts w:ascii="Arial" w:cs="Arial" w:eastAsia="Arial" w:hAnsi="Arial"/>
                <w:sz w:val="16"/>
                <w:szCs w:val="16"/>
                <w:color w:val="auto"/>
              </w:rPr>
              <w:t>Loss on lawsuit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(103,950)</w:t>
            </w:r>
          </w:p>
        </w:tc>
      </w:tr>
      <w:tr>
        <w:trPr>
          <w:trHeight w:val="25"/>
        </w:trPr>
        <w:tc>
          <w:tcPr>
            <w:tcW w:w="8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399"/>
        </w:trPr>
        <w:tc>
          <w:tcPr>
            <w:tcW w:w="8560" w:type="dxa"/>
            <w:vAlign w:val="bottom"/>
          </w:tcPr>
          <w:p>
            <w:pPr>
              <w:spacing w:after="0"/>
              <w:rPr>
                <w:sz w:val="20"/>
                <w:szCs w:val="20"/>
                <w:color w:val="auto"/>
              </w:rPr>
            </w:pPr>
            <w:r>
              <w:rPr>
                <w:rFonts w:ascii="Arial" w:cs="Arial" w:eastAsia="Arial" w:hAnsi="Arial"/>
                <w:sz w:val="16"/>
                <w:szCs w:val="16"/>
                <w:b w:val="1"/>
                <w:bCs w:val="1"/>
                <w:color w:val="auto"/>
              </w:rPr>
              <w:t>Net Loss for the Period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(30,883,096)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(5,532,552)</w:t>
            </w:r>
          </w:p>
        </w:tc>
      </w:tr>
      <w:tr>
        <w:trPr>
          <w:trHeight w:val="382"/>
        </w:trPr>
        <w:tc>
          <w:tcPr>
            <w:tcW w:w="8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58,334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3,314</w:t>
            </w:r>
          </w:p>
        </w:tc>
        <w:tc>
          <w:tcPr>
            <w:tcW w:w="160" w:type="dxa"/>
            <w:vAlign w:val="bottom"/>
          </w:tcPr>
          <w:p>
            <w:pPr>
              <w:spacing w:after="0"/>
              <w:rPr>
                <w:sz w:val="18"/>
                <w:szCs w:val="18"/>
                <w:color w:val="auto"/>
              </w:rPr>
            </w:pPr>
          </w:p>
        </w:tc>
      </w:tr>
      <w:tr>
        <w:trPr>
          <w:trHeight w:val="25"/>
        </w:trPr>
        <w:tc>
          <w:tcPr>
            <w:tcW w:w="8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394"/>
        </w:trPr>
        <w:tc>
          <w:tcPr>
            <w:tcW w:w="8560" w:type="dxa"/>
            <w:vAlign w:val="bottom"/>
          </w:tcPr>
          <w:p>
            <w:pPr>
              <w:spacing w:after="0"/>
              <w:rPr>
                <w:sz w:val="20"/>
                <w:szCs w:val="20"/>
                <w:color w:val="auto"/>
              </w:rPr>
            </w:pPr>
            <w:r>
              <w:rPr>
                <w:rFonts w:ascii="Arial" w:cs="Arial" w:eastAsia="Arial" w:hAnsi="Arial"/>
                <w:sz w:val="16"/>
                <w:szCs w:val="16"/>
                <w:b w:val="1"/>
                <w:bCs w:val="1"/>
                <w:color w:val="auto"/>
              </w:rPr>
              <w:t>TOTAL COMPREHENSIVE LOSS</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(30,824,762</w:t>
            </w:r>
            <w:r>
              <w:rPr>
                <w:rFonts w:ascii="Arial" w:cs="Arial" w:eastAsia="Arial" w:hAnsi="Arial"/>
                <w:sz w:val="32"/>
                <w:szCs w:val="32"/>
                <w:color w:val="auto"/>
                <w:vertAlign w:val="subscript"/>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(5,529,238</w:t>
            </w:r>
            <w:r>
              <w:rPr>
                <w:rFonts w:ascii="Arial" w:cs="Arial" w:eastAsia="Arial" w:hAnsi="Arial"/>
                <w:sz w:val="32"/>
                <w:szCs w:val="32"/>
                <w:color w:val="auto"/>
                <w:vertAlign w:val="subscript"/>
              </w:rPr>
              <w:t>)</w:t>
            </w:r>
          </w:p>
        </w:tc>
      </w:tr>
      <w:tr>
        <w:trPr>
          <w:trHeight w:val="20"/>
        </w:trPr>
        <w:tc>
          <w:tcPr>
            <w:tcW w:w="8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7"/>
        </w:trPr>
        <w:tc>
          <w:tcPr>
            <w:tcW w:w="8560" w:type="dxa"/>
            <w:vAlign w:val="bottom"/>
          </w:tcPr>
          <w:p>
            <w:pPr>
              <w:spacing w:after="0"/>
              <w:rPr>
                <w:sz w:val="20"/>
                <w:szCs w:val="20"/>
                <w:color w:val="auto"/>
              </w:rPr>
            </w:pPr>
            <w:r>
              <w:rPr>
                <w:rFonts w:ascii="Arial" w:cs="Arial" w:eastAsia="Arial" w:hAnsi="Arial"/>
                <w:sz w:val="16"/>
                <w:szCs w:val="16"/>
                <w:b w:val="1"/>
                <w:bCs w:val="1"/>
                <w:color w:val="auto"/>
              </w:rPr>
              <w:t>Basic and Diluted Net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4"/>
        </w:trPr>
        <w:tc>
          <w:tcPr>
            <w:tcW w:w="8560" w:type="dxa"/>
            <w:vAlign w:val="bottom"/>
          </w:tcPr>
          <w:p>
            <w:pPr>
              <w:spacing w:after="0"/>
              <w:rPr>
                <w:sz w:val="20"/>
                <w:szCs w:val="20"/>
                <w:color w:val="auto"/>
              </w:rPr>
            </w:pPr>
            <w:r>
              <w:rPr>
                <w:rFonts w:ascii="Arial" w:cs="Arial" w:eastAsia="Arial" w:hAnsi="Arial"/>
                <w:sz w:val="16"/>
                <w:szCs w:val="16"/>
                <w:b w:val="1"/>
                <w:bCs w:val="1"/>
                <w:color w:val="auto"/>
              </w:rPr>
              <w:t>per Share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line="193" w:lineRule="exact"/>
              <w:rPr>
                <w:sz w:val="20"/>
                <w:szCs w:val="20"/>
                <w:color w:val="auto"/>
              </w:rPr>
            </w:pPr>
            <w:r>
              <w:rPr>
                <w:rFonts w:ascii="Arial" w:cs="Arial" w:eastAsia="Arial" w:hAnsi="Arial"/>
                <w:sz w:val="13"/>
                <w:szCs w:val="13"/>
                <w:color w:val="auto"/>
              </w:rPr>
              <w:t>(2.00</w:t>
            </w:r>
            <w:r>
              <w:rPr>
                <w:rFonts w:ascii="Arial" w:cs="Arial" w:eastAsia="Arial" w:hAnsi="Arial"/>
                <w:sz w:val="22"/>
                <w:szCs w:val="22"/>
                <w:color w:val="auto"/>
                <w:vertAlign w:val="subscript"/>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line="193" w:lineRule="exact"/>
              <w:rPr>
                <w:sz w:val="20"/>
                <w:szCs w:val="20"/>
                <w:color w:val="auto"/>
              </w:rPr>
            </w:pPr>
            <w:r>
              <w:rPr>
                <w:rFonts w:ascii="Arial" w:cs="Arial" w:eastAsia="Arial" w:hAnsi="Arial"/>
                <w:sz w:val="13"/>
                <w:szCs w:val="13"/>
                <w:color w:val="auto"/>
              </w:rPr>
              <w:t>(4.87</w:t>
            </w:r>
            <w:r>
              <w:rPr>
                <w:rFonts w:ascii="Arial" w:cs="Arial" w:eastAsia="Arial" w:hAnsi="Arial"/>
                <w:sz w:val="22"/>
                <w:szCs w:val="22"/>
                <w:color w:val="auto"/>
                <w:vertAlign w:val="subscript"/>
              </w:rPr>
              <w:t>)</w:t>
            </w:r>
          </w:p>
        </w:tc>
      </w:tr>
      <w:tr>
        <w:trPr>
          <w:trHeight w:val="20"/>
        </w:trPr>
        <w:tc>
          <w:tcPr>
            <w:tcW w:w="8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7"/>
        </w:trPr>
        <w:tc>
          <w:tcPr>
            <w:tcW w:w="8560" w:type="dxa"/>
            <w:vAlign w:val="bottom"/>
          </w:tcPr>
          <w:p>
            <w:pPr>
              <w:spacing w:after="0"/>
              <w:rPr>
                <w:sz w:val="20"/>
                <w:szCs w:val="20"/>
                <w:color w:val="auto"/>
              </w:rPr>
            </w:pPr>
            <w:r>
              <w:rPr>
                <w:rFonts w:ascii="Arial" w:cs="Arial" w:eastAsia="Arial" w:hAnsi="Arial"/>
                <w:sz w:val="16"/>
                <w:szCs w:val="16"/>
                <w:b w:val="1"/>
                <w:bCs w:val="1"/>
                <w:color w:val="auto"/>
              </w:rPr>
              <w:t>Weighted Average Number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b w:val="1"/>
                <w:bCs w:val="1"/>
                <w:color w:val="auto"/>
              </w:rPr>
              <w:t>Common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15,465,213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1,136,115</w:t>
            </w:r>
          </w:p>
        </w:tc>
        <w:tc>
          <w:tcPr>
            <w:tcW w:w="160" w:type="dxa"/>
            <w:vAlign w:val="bottom"/>
          </w:tcPr>
          <w:p>
            <w:pPr>
              <w:spacing w:after="0"/>
              <w:rPr>
                <w:sz w:val="18"/>
                <w:szCs w:val="18"/>
                <w:color w:val="auto"/>
              </w:rPr>
            </w:pPr>
          </w:p>
        </w:tc>
      </w:tr>
      <w:tr>
        <w:trPr>
          <w:trHeight w:val="20"/>
        </w:trPr>
        <w:tc>
          <w:tcPr>
            <w:tcW w:w="8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EQUITY (DEFICIT)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6"/>
          </w:tcPr>
          <w:p>
            <w:pPr>
              <w:ind w:left="680"/>
              <w:spacing w:after="0"/>
              <w:rPr>
                <w:sz w:val="20"/>
                <w:szCs w:val="20"/>
                <w:color w:val="auto"/>
              </w:rPr>
            </w:pPr>
            <w:r>
              <w:rPr>
                <w:rFonts w:ascii="Arial" w:cs="Arial" w:eastAsia="Arial" w:hAnsi="Arial"/>
                <w:sz w:val="16"/>
                <w:szCs w:val="16"/>
                <w:color w:val="auto"/>
              </w:rPr>
              <w:t>Common Stock</w:t>
            </w:r>
          </w:p>
        </w:tc>
        <w:tc>
          <w:tcPr>
            <w:tcW w:w="1380" w:type="dxa"/>
            <w:vAlign w:val="bottom"/>
            <w:tcBorders>
              <w:top w:val="single" w:sz="8" w:color="auto"/>
            </w:tcBorders>
            <w:gridSpan w:val="3"/>
            <w:vMerge w:val="restart"/>
          </w:tcPr>
          <w:p>
            <w:pPr>
              <w:ind w:left="260"/>
              <w:spacing w:after="0"/>
              <w:rPr>
                <w:sz w:val="20"/>
                <w:szCs w:val="20"/>
                <w:color w:val="auto"/>
              </w:rPr>
            </w:pPr>
            <w:r>
              <w:rPr>
                <w:rFonts w:ascii="Arial" w:cs="Arial" w:eastAsia="Arial" w:hAnsi="Arial"/>
                <w:sz w:val="16"/>
                <w:szCs w:val="16"/>
                <w:color w:val="auto"/>
              </w:rPr>
              <w:t>Paid In</w:t>
            </w:r>
          </w:p>
        </w:tc>
        <w:tc>
          <w:tcPr>
            <w:tcW w:w="138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6"/>
                <w:szCs w:val="16"/>
                <w:color w:val="auto"/>
                <w:w w:val="95"/>
              </w:rPr>
              <w:t>Accumulated</w:t>
            </w:r>
          </w:p>
        </w:tc>
        <w:tc>
          <w:tcPr>
            <w:tcW w:w="150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6"/>
                <w:szCs w:val="16"/>
                <w:color w:val="auto"/>
                <w:w w:val="92"/>
              </w:rPr>
              <w:t>Comprehensive</w:t>
            </w: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6"/>
                <w:szCs w:val="16"/>
                <w:color w:val="auto"/>
                <w:w w:val="96"/>
              </w:rPr>
              <w:t>Number of</w:t>
            </w:r>
          </w:p>
        </w:tc>
        <w:tc>
          <w:tcPr>
            <w:tcW w:w="1380" w:type="dxa"/>
            <w:vAlign w:val="bottom"/>
            <w:gridSpan w:val="3"/>
          </w:tcPr>
          <w:p>
            <w:pPr>
              <w:ind w:left="240"/>
              <w:spacing w:after="0"/>
              <w:rPr>
                <w:sz w:val="20"/>
                <w:szCs w:val="20"/>
                <w:color w:val="auto"/>
              </w:rPr>
            </w:pPr>
            <w:r>
              <w:rPr>
                <w:rFonts w:ascii="Arial" w:cs="Arial" w:eastAsia="Arial" w:hAnsi="Arial"/>
                <w:sz w:val="16"/>
                <w:szCs w:val="16"/>
                <w:color w:val="auto"/>
              </w:rPr>
              <w:t>Amount</w:t>
            </w:r>
          </w:p>
        </w:tc>
        <w:tc>
          <w:tcPr>
            <w:tcW w:w="1380" w:type="dxa"/>
            <w:vAlign w:val="bottom"/>
            <w:gridSpan w:val="3"/>
          </w:tcPr>
          <w:p>
            <w:pPr>
              <w:ind w:left="260"/>
              <w:spacing w:after="0"/>
              <w:rPr>
                <w:sz w:val="20"/>
                <w:szCs w:val="20"/>
                <w:color w:val="auto"/>
              </w:rPr>
            </w:pPr>
            <w:r>
              <w:rPr>
                <w:rFonts w:ascii="Arial" w:cs="Arial" w:eastAsia="Arial" w:hAnsi="Arial"/>
                <w:sz w:val="16"/>
                <w:szCs w:val="16"/>
                <w:color w:val="auto"/>
              </w:rPr>
              <w:t>Capital</w:t>
            </w:r>
          </w:p>
        </w:tc>
        <w:tc>
          <w:tcPr>
            <w:tcW w:w="1380" w:type="dxa"/>
            <w:vAlign w:val="bottom"/>
            <w:gridSpan w:val="3"/>
          </w:tcPr>
          <w:p>
            <w:pPr>
              <w:jc w:val="center"/>
              <w:ind w:right="380"/>
              <w:spacing w:after="0"/>
              <w:rPr>
                <w:sz w:val="20"/>
                <w:szCs w:val="20"/>
                <w:color w:val="auto"/>
              </w:rPr>
            </w:pPr>
            <w:r>
              <w:rPr>
                <w:rFonts w:ascii="Arial" w:cs="Arial" w:eastAsia="Arial" w:hAnsi="Arial"/>
                <w:sz w:val="16"/>
                <w:szCs w:val="16"/>
                <w:color w:val="auto"/>
                <w:w w:val="98"/>
              </w:rPr>
              <w:t>Deficit</w:t>
            </w:r>
          </w:p>
        </w:tc>
        <w:tc>
          <w:tcPr>
            <w:tcW w:w="1500" w:type="dxa"/>
            <w:vAlign w:val="bottom"/>
            <w:gridSpan w:val="3"/>
          </w:tcPr>
          <w:p>
            <w:pPr>
              <w:jc w:val="center"/>
              <w:ind w:right="380"/>
              <w:spacing w:after="0"/>
              <w:rPr>
                <w:sz w:val="20"/>
                <w:szCs w:val="20"/>
                <w:color w:val="auto"/>
              </w:rPr>
            </w:pPr>
            <w:r>
              <w:rPr>
                <w:rFonts w:ascii="Arial" w:cs="Arial" w:eastAsia="Arial" w:hAnsi="Arial"/>
                <w:sz w:val="16"/>
                <w:szCs w:val="16"/>
                <w:color w:val="auto"/>
                <w:w w:val="94"/>
              </w:rPr>
              <w:t>Loss</w:t>
            </w:r>
          </w:p>
        </w:tc>
        <w:tc>
          <w:tcPr>
            <w:tcW w:w="1120" w:type="dxa"/>
            <w:vAlign w:val="bottom"/>
            <w:gridSpan w:val="2"/>
          </w:tcPr>
          <w:p>
            <w:pPr>
              <w:jc w:val="right"/>
              <w:ind w:right="378"/>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6"/>
                <w:szCs w:val="16"/>
                <w:color w:val="auto"/>
                <w:w w:val="83"/>
              </w:rPr>
              <w:t>shares</w:t>
            </w:r>
          </w:p>
        </w:tc>
        <w:tc>
          <w:tcPr>
            <w:tcW w:w="100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5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gridSpan w:val="3"/>
          </w:tcPr>
          <w:p>
            <w:pPr>
              <w:spacing w:after="0"/>
              <w:rPr>
                <w:sz w:val="20"/>
                <w:szCs w:val="20"/>
                <w:color w:val="auto"/>
              </w:rPr>
            </w:pPr>
            <w:r>
              <w:rPr>
                <w:rFonts w:ascii="Arial" w:cs="Arial" w:eastAsia="Arial" w:hAnsi="Arial"/>
                <w:sz w:val="16"/>
                <w:szCs w:val="16"/>
                <w:color w:val="auto"/>
              </w:rPr>
              <w:t>Balance, December 31, 2012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764,029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43,912,427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(49,894,083)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(6,042,522)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Notes converted into shares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412,047</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1,477,175</w:t>
            </w:r>
          </w:p>
        </w:tc>
        <w:tc>
          <w:tcPr>
            <w:tcW w:w="120" w:type="dxa"/>
            <w:vAlign w:val="bottom"/>
          </w:tcPr>
          <w:p>
            <w:pPr>
              <w:spacing w:after="0"/>
              <w:rPr>
                <w:sz w:val="24"/>
                <w:szCs w:val="24"/>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1,477,587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Stock based compensation in 2013</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46,840</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46,840</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Obligation to issue shares at fair value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220"/>
              <w:spacing w:after="0"/>
              <w:rPr>
                <w:sz w:val="20"/>
                <w:szCs w:val="20"/>
                <w:color w:val="auto"/>
              </w:rPr>
            </w:pPr>
            <w:r>
              <w:rPr>
                <w:rFonts w:ascii="Arial" w:cs="Arial" w:eastAsia="Arial" w:hAnsi="Arial"/>
                <w:sz w:val="16"/>
                <w:szCs w:val="16"/>
                <w:color w:val="auto"/>
              </w:rPr>
              <w:t>pursuant to service agreements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31,891</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31,891</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Issued at fair value pursuant to</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220"/>
              <w:spacing w:after="0"/>
              <w:rPr>
                <w:sz w:val="20"/>
                <w:szCs w:val="20"/>
                <w:color w:val="auto"/>
              </w:rPr>
            </w:pPr>
            <w:r>
              <w:rPr>
                <w:rFonts w:ascii="Arial" w:cs="Arial" w:eastAsia="Arial" w:hAnsi="Arial"/>
                <w:sz w:val="16"/>
                <w:szCs w:val="16"/>
                <w:color w:val="auto"/>
              </w:rPr>
              <w:t>debt settlement agreements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264,649</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1,211,362</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1,211,627</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Finders’ fee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(11,300)</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(11,300)</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Issued at fair value pursuant to service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agreements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38,932</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Shares issued for director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8,173</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8,176</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Non-cash exercise of warrants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18,986</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3,314</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14"/>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18"/>
              <w:spacing w:after="0"/>
              <w:rPr>
                <w:sz w:val="20"/>
                <w:szCs w:val="20"/>
                <w:color w:val="auto"/>
              </w:rPr>
            </w:pPr>
            <w:r>
              <w:rPr>
                <w:rFonts w:ascii="Arial" w:cs="Arial" w:eastAsia="Arial" w:hAnsi="Arial"/>
                <w:sz w:val="16"/>
                <w:szCs w:val="16"/>
                <w:color w:val="auto"/>
              </w:rPr>
              <w:t>(5,532,552)</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(5,532,552)</w:t>
            </w:r>
          </w:p>
        </w:tc>
        <w:tc>
          <w:tcPr>
            <w:tcW w:w="0" w:type="dxa"/>
            <w:vAlign w:val="bottom"/>
          </w:tcPr>
          <w:p>
            <w:pPr>
              <w:spacing w:after="0"/>
              <w:rPr>
                <w:sz w:val="1"/>
                <w:szCs w:val="1"/>
                <w:color w:val="auto"/>
              </w:rPr>
            </w:pPr>
          </w:p>
        </w:tc>
      </w:tr>
      <w:tr>
        <w:trPr>
          <w:trHeight w:val="208"/>
        </w:trPr>
        <w:tc>
          <w:tcPr>
            <w:tcW w:w="3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1,465,712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46,715,500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(55,426,635)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(8,768,003)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Convertible notes, promissory notes, loan</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payable-related party, due to related parties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and accrued interest converted into Series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A and B preferred stock and immediately</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converted into commons stock</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14,048,701</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14,049</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30,937,029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30,951,078</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Conversion of accounts payable to</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common stock</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1,836,361</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4,347,592</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4,349,428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Private placement (net of finders’ fee)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2,157,042</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1,875,343</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1,877,500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58,334</w:t>
            </w:r>
          </w:p>
        </w:tc>
        <w:tc>
          <w:tcPr>
            <w:tcW w:w="120" w:type="dxa"/>
            <w:vAlign w:val="bottom"/>
          </w:tcPr>
          <w:p>
            <w:pPr>
              <w:spacing w:after="0"/>
              <w:rPr>
                <w:sz w:val="17"/>
                <w:szCs w:val="17"/>
                <w:color w:val="auto"/>
              </w:rPr>
            </w:pPr>
          </w:p>
        </w:tc>
        <w:tc>
          <w:tcPr>
            <w:tcW w:w="1120" w:type="dxa"/>
            <w:vAlign w:val="bottom"/>
            <w:gridSpan w:val="2"/>
          </w:tcPr>
          <w:p>
            <w:pPr>
              <w:jc w:val="right"/>
              <w:ind w:right="38"/>
              <w:spacing w:after="0"/>
              <w:rPr>
                <w:sz w:val="20"/>
                <w:szCs w:val="20"/>
                <w:color w:val="auto"/>
              </w:rPr>
            </w:pPr>
            <w:r>
              <w:rPr>
                <w:rFonts w:ascii="Arial" w:cs="Arial" w:eastAsia="Arial" w:hAnsi="Arial"/>
                <w:sz w:val="16"/>
                <w:szCs w:val="16"/>
                <w:color w:val="auto"/>
              </w:rPr>
              <w:t>58,334</w:t>
            </w:r>
          </w:p>
        </w:tc>
        <w:tc>
          <w:tcPr>
            <w:tcW w:w="0" w:type="dxa"/>
            <w:vAlign w:val="bottom"/>
          </w:tcPr>
          <w:p>
            <w:pPr>
              <w:spacing w:after="0"/>
              <w:rPr>
                <w:sz w:val="1"/>
                <w:szCs w:val="1"/>
                <w:color w:val="auto"/>
              </w:rPr>
            </w:pPr>
          </w:p>
        </w:tc>
      </w:tr>
      <w:tr>
        <w:trPr>
          <w:trHeight w:val="197"/>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Stock- 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811,000</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1,390,312</w:t>
            </w:r>
          </w:p>
        </w:tc>
        <w:tc>
          <w:tcPr>
            <w:tcW w:w="120" w:type="dxa"/>
            <w:vAlign w:val="bottom"/>
          </w:tcPr>
          <w:p>
            <w:pPr>
              <w:spacing w:after="0"/>
              <w:rPr>
                <w:sz w:val="17"/>
                <w:szCs w:val="17"/>
                <w:color w:val="auto"/>
              </w:rPr>
            </w:pPr>
          </w:p>
        </w:tc>
        <w:tc>
          <w:tcPr>
            <w:tcW w:w="1260" w:type="dxa"/>
            <w:vAlign w:val="bottom"/>
            <w:gridSpan w:val="2"/>
          </w:tcPr>
          <w:p>
            <w:pPr>
              <w:jc w:val="right"/>
              <w:ind w:right="1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1,391,123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80" w:type="dxa"/>
            <w:vAlign w:val="bottom"/>
            <w:gridSpan w:val="3"/>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18"/>
              <w:spacing w:after="0"/>
              <w:rPr>
                <w:sz w:val="20"/>
                <w:szCs w:val="20"/>
                <w:color w:val="auto"/>
              </w:rPr>
            </w:pPr>
            <w:r>
              <w:rPr>
                <w:rFonts w:ascii="Arial" w:cs="Arial" w:eastAsia="Arial" w:hAnsi="Arial"/>
                <w:sz w:val="16"/>
                <w:szCs w:val="16"/>
                <w:color w:val="auto"/>
              </w:rPr>
              <w:t>(30,883,096)</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(30,883,096)</w:t>
            </w:r>
          </w:p>
        </w:tc>
        <w:tc>
          <w:tcPr>
            <w:tcW w:w="0" w:type="dxa"/>
            <w:vAlign w:val="bottom"/>
          </w:tcPr>
          <w:p>
            <w:pPr>
              <w:spacing w:after="0"/>
              <w:rPr>
                <w:sz w:val="1"/>
                <w:szCs w:val="1"/>
                <w:color w:val="auto"/>
              </w:rPr>
            </w:pPr>
          </w:p>
        </w:tc>
      </w:tr>
      <w:tr>
        <w:trPr>
          <w:trHeight w:val="197"/>
        </w:trPr>
        <w:tc>
          <w:tcPr>
            <w:tcW w:w="302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6"/>
                <w:szCs w:val="16"/>
                <w:color w:val="auto"/>
              </w:rPr>
              <w:t>Balance, December 31, 2014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20,318,816</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20,319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85,265,776</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(86,309,731</w:t>
            </w:r>
          </w:p>
        </w:tc>
        <w:tc>
          <w:tcPr>
            <w:tcW w:w="260" w:type="dxa"/>
            <w:vAlign w:val="bottom"/>
          </w:tcPr>
          <w:p>
            <w:pPr>
              <w:jc w:val="right"/>
              <w:ind w:right="118"/>
              <w:spacing w:after="0" w:line="177"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(1,023,636</w:t>
            </w:r>
          </w:p>
        </w:tc>
        <w:tc>
          <w:tcPr>
            <w:tcW w:w="120" w:type="dxa"/>
            <w:vAlign w:val="bottom"/>
          </w:tcPr>
          <w:p>
            <w:pPr>
              <w:jc w:val="right"/>
              <w:spacing w:after="0" w:line="177"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178"/>
              <w:spacing w:after="0"/>
              <w:rPr>
                <w:sz w:val="20"/>
                <w:szCs w:val="20"/>
                <w:color w:val="auto"/>
              </w:rPr>
            </w:pPr>
            <w:r>
              <w:rPr>
                <w:rFonts w:ascii="Arial" w:cs="Arial" w:eastAsia="Arial" w:hAnsi="Arial"/>
                <w:sz w:val="16"/>
                <w:szCs w:val="16"/>
                <w:color w:val="auto"/>
                <w:w w:val="89"/>
              </w:rPr>
              <w:t>Year Ended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199"/>
              <w:spacing w:after="0"/>
              <w:rPr>
                <w:sz w:val="20"/>
                <w:szCs w:val="20"/>
                <w:color w:val="auto"/>
              </w:rPr>
            </w:pPr>
            <w:r>
              <w:rPr>
                <w:rFonts w:ascii="Arial" w:cs="Arial" w:eastAsia="Arial" w:hAnsi="Arial"/>
                <w:sz w:val="16"/>
                <w:szCs w:val="16"/>
                <w:color w:val="auto"/>
                <w:w w:val="89"/>
              </w:rPr>
              <w:t>Year Ended</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78"/>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99"/>
              <w:spacing w:after="0"/>
              <w:rPr>
                <w:sz w:val="20"/>
                <w:szCs w:val="20"/>
                <w:color w:val="auto"/>
              </w:rPr>
            </w:pPr>
            <w:r>
              <w:rPr>
                <w:rFonts w:ascii="Arial" w:cs="Arial" w:eastAsia="Arial" w:hAnsi="Arial"/>
                <w:sz w:val="16"/>
                <w:szCs w:val="16"/>
                <w:color w:val="auto"/>
                <w:w w:val="91"/>
              </w:rPr>
              <w:t>December 31,</w:t>
            </w:r>
          </w:p>
        </w:tc>
      </w:tr>
      <w:tr>
        <w:trPr>
          <w:trHeight w:val="214"/>
        </w:trPr>
        <w:tc>
          <w:tcPr>
            <w:tcW w:w="8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8"/>
                <w:szCs w:val="18"/>
                <w:color w:val="auto"/>
              </w:rPr>
            </w:pPr>
          </w:p>
        </w:tc>
      </w:tr>
      <w:tr>
        <w:trPr>
          <w:trHeight w:val="382"/>
        </w:trPr>
        <w:tc>
          <w:tcPr>
            <w:tcW w:w="85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(30,883,096)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(5,532,552)</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Adjustments to reconcile net loss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net cash from operating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(1,546,257)</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26,884,231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2,560,045</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Accretion of discount on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492,296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1,110,831</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Non-cash interest and finance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83,247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645,562</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1,391,123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132,093</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Foreign exchange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58,334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Prepaid expenses and deposits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(67,500)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24,013</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(145,199)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1,835,315</w:t>
            </w:r>
          </w:p>
        </w:tc>
      </w:tr>
      <w:tr>
        <w:trPr>
          <w:trHeight w:val="214"/>
        </w:trPr>
        <w:tc>
          <w:tcPr>
            <w:tcW w:w="8580" w:type="dxa"/>
            <w:vAlign w:val="bottom"/>
          </w:tcPr>
          <w:p>
            <w:pPr>
              <w:ind w:left="140"/>
              <w:spacing w:after="0"/>
              <w:rPr>
                <w:sz w:val="20"/>
                <w:szCs w:val="20"/>
                <w:color w:val="auto"/>
              </w:rPr>
            </w:pPr>
            <w:r>
              <w:rPr>
                <w:rFonts w:ascii="Arial" w:cs="Arial" w:eastAsia="Arial" w:hAnsi="Arial"/>
                <w:sz w:val="16"/>
                <w:szCs w:val="16"/>
                <w:color w:val="auto"/>
              </w:rPr>
              <w:t>Research agreement obligations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76,367</w:t>
            </w:r>
          </w:p>
        </w:tc>
      </w:tr>
      <w:tr>
        <w:trPr>
          <w:trHeight w:val="202"/>
        </w:trPr>
        <w:tc>
          <w:tcPr>
            <w:tcW w:w="8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(2,187,145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(694,583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r>
      <w:tr>
        <w:trPr>
          <w:trHeight w:val="382"/>
        </w:trPr>
        <w:tc>
          <w:tcPr>
            <w:tcW w:w="85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Issuance of shares, net of issuance costs of $387,500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1,877,500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Convertible notes issuance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418,000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728,000</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Proceeds from loans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32,200</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Repayment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(30,867)</w:t>
            </w:r>
          </w:p>
        </w:tc>
      </w:tr>
      <w:tr>
        <w:trPr>
          <w:trHeight w:val="197"/>
        </w:trPr>
        <w:tc>
          <w:tcPr>
            <w:tcW w:w="8580" w:type="dxa"/>
            <w:vAlign w:val="bottom"/>
          </w:tcPr>
          <w:p>
            <w:pPr>
              <w:ind w:left="140"/>
              <w:spacing w:after="0"/>
              <w:rPr>
                <w:sz w:val="20"/>
                <w:szCs w:val="20"/>
                <w:color w:val="auto"/>
              </w:rPr>
            </w:pPr>
            <w:r>
              <w:rPr>
                <w:rFonts w:ascii="Arial" w:cs="Arial" w:eastAsia="Arial" w:hAnsi="Arial"/>
                <w:sz w:val="16"/>
                <w:szCs w:val="16"/>
                <w:color w:val="auto"/>
              </w:rPr>
              <w:t>Repayment of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(20,000)</w:t>
            </w:r>
          </w:p>
        </w:tc>
      </w:tr>
      <w:tr>
        <w:trPr>
          <w:trHeight w:val="214"/>
        </w:trPr>
        <w:tc>
          <w:tcPr>
            <w:tcW w:w="8580" w:type="dxa"/>
            <w:vAlign w:val="bottom"/>
          </w:tcPr>
          <w:p>
            <w:pPr>
              <w:ind w:left="140"/>
              <w:spacing w:after="0"/>
              <w:rPr>
                <w:sz w:val="20"/>
                <w:szCs w:val="20"/>
                <w:color w:val="auto"/>
              </w:rPr>
            </w:pPr>
            <w:r>
              <w:rPr>
                <w:rFonts w:ascii="Arial" w:cs="Arial" w:eastAsia="Arial" w:hAnsi="Arial"/>
                <w:sz w:val="16"/>
                <w:szCs w:val="16"/>
                <w:color w:val="auto"/>
              </w:rPr>
              <w:t>Repayment of promissory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r>
      <w:tr>
        <w:trPr>
          <w:trHeight w:val="202"/>
        </w:trPr>
        <w:tc>
          <w:tcPr>
            <w:tcW w:w="8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2,280,500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709,333</w:t>
            </w:r>
          </w:p>
        </w:tc>
        <w:tc>
          <w:tcPr>
            <w:tcW w:w="120" w:type="dxa"/>
            <w:vAlign w:val="bottom"/>
          </w:tcPr>
          <w:p>
            <w:pPr>
              <w:spacing w:after="0"/>
              <w:rPr>
                <w:sz w:val="17"/>
                <w:szCs w:val="17"/>
                <w:color w:val="auto"/>
              </w:rPr>
            </w:pPr>
          </w:p>
        </w:tc>
      </w:tr>
      <w:tr>
        <w:trPr>
          <w:trHeight w:val="393"/>
        </w:trPr>
        <w:tc>
          <w:tcPr>
            <w:tcW w:w="8580" w:type="dxa"/>
            <w:vAlign w:val="bottom"/>
          </w:tcPr>
          <w:p>
            <w:pPr>
              <w:spacing w:after="0"/>
              <w:rPr>
                <w:sz w:val="20"/>
                <w:szCs w:val="20"/>
                <w:color w:val="auto"/>
              </w:rPr>
            </w:pPr>
            <w:r>
              <w:rPr>
                <w:rFonts w:ascii="Arial" w:cs="Arial" w:eastAsia="Arial" w:hAnsi="Arial"/>
                <w:sz w:val="16"/>
                <w:szCs w:val="16"/>
                <w:b w:val="1"/>
                <w:bCs w:val="1"/>
                <w:color w:val="auto"/>
              </w:rPr>
              <w:t>INCREASE IN CASH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93,355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14,750</w:t>
            </w:r>
          </w:p>
        </w:tc>
      </w:tr>
      <w:tr>
        <w:trPr>
          <w:trHeight w:val="395"/>
        </w:trPr>
        <w:tc>
          <w:tcPr>
            <w:tcW w:w="8580" w:type="dxa"/>
            <w:vAlign w:val="bottom"/>
          </w:tcPr>
          <w:p>
            <w:pPr>
              <w:spacing w:after="0"/>
              <w:rPr>
                <w:sz w:val="20"/>
                <w:szCs w:val="20"/>
                <w:color w:val="auto"/>
              </w:rPr>
            </w:pPr>
            <w:r>
              <w:rPr>
                <w:rFonts w:ascii="Arial" w:cs="Arial" w:eastAsia="Arial" w:hAnsi="Arial"/>
                <w:sz w:val="16"/>
                <w:szCs w:val="16"/>
                <w:b w:val="1"/>
                <w:bCs w:val="1"/>
                <w:color w:val="auto"/>
              </w:rPr>
              <w:t>CASH, BEGINNING OF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48,589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33,839</w:t>
            </w:r>
          </w:p>
        </w:tc>
      </w:tr>
      <w:tr>
        <w:trPr>
          <w:trHeight w:val="25"/>
        </w:trPr>
        <w:tc>
          <w:tcPr>
            <w:tcW w:w="8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394"/>
        </w:trPr>
        <w:tc>
          <w:tcPr>
            <w:tcW w:w="8580" w:type="dxa"/>
            <w:vAlign w:val="bottom"/>
          </w:tcPr>
          <w:p>
            <w:pPr>
              <w:spacing w:after="0"/>
              <w:rPr>
                <w:sz w:val="20"/>
                <w:szCs w:val="20"/>
                <w:color w:val="auto"/>
              </w:rPr>
            </w:pPr>
            <w:r>
              <w:rPr>
                <w:rFonts w:ascii="Arial" w:cs="Arial" w:eastAsia="Arial" w:hAnsi="Arial"/>
                <w:sz w:val="16"/>
                <w:szCs w:val="16"/>
                <w:b w:val="1"/>
                <w:bCs w:val="1"/>
                <w:color w:val="auto"/>
              </w:rPr>
              <w:t>CASH, END OF YEAR</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141,944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48,589</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89"/>
              </w:rPr>
              <w:t>Year Ended</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89"/>
              </w:rPr>
              <w:t>Year Ended</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December 31,</w:t>
            </w:r>
          </w:p>
        </w:tc>
      </w:tr>
      <w:tr>
        <w:trPr>
          <w:trHeight w:val="214"/>
        </w:trPr>
        <w:tc>
          <w:tcPr>
            <w:tcW w:w="8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8"/>
                <w:szCs w:val="18"/>
                <w:color w:val="auto"/>
              </w:rPr>
            </w:pPr>
          </w:p>
        </w:tc>
      </w:tr>
      <w:tr>
        <w:trPr>
          <w:trHeight w:val="393"/>
        </w:trPr>
        <w:tc>
          <w:tcPr>
            <w:tcW w:w="858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Accounts payable settled in common stock</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2,415,000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558,000</w:t>
            </w:r>
          </w:p>
        </w:tc>
      </w:tr>
      <w:tr>
        <w:trPr>
          <w:trHeight w:val="383"/>
        </w:trPr>
        <w:tc>
          <w:tcPr>
            <w:tcW w:w="8580" w:type="dxa"/>
            <w:vAlign w:val="bottom"/>
          </w:tcPr>
          <w:p>
            <w:pPr>
              <w:spacing w:after="0"/>
              <w:rPr>
                <w:sz w:val="20"/>
                <w:szCs w:val="20"/>
                <w:color w:val="auto"/>
              </w:rPr>
            </w:pPr>
            <w:r>
              <w:rPr>
                <w:rFonts w:ascii="Arial" w:cs="Arial" w:eastAsia="Arial" w:hAnsi="Arial"/>
                <w:sz w:val="16"/>
                <w:szCs w:val="16"/>
                <w:b w:val="1"/>
                <w:bCs w:val="1"/>
                <w:color w:val="auto"/>
              </w:rPr>
              <w:t>Conversion of debt obligations into 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525,000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Convertible notes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4,116,000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738,000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Loans payable, related party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42,000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Promissory notes, related party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210,000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369,000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8580" w:type="dxa"/>
            <w:vAlign w:val="bottom"/>
          </w:tcPr>
          <w:p>
            <w:pPr>
              <w:spacing w:after="0"/>
              <w:rPr>
                <w:sz w:val="20"/>
                <w:szCs w:val="20"/>
                <w:color w:val="auto"/>
              </w:rPr>
            </w:pPr>
            <w:r>
              <w:rPr>
                <w:rFonts w:ascii="Arial" w:cs="Arial" w:eastAsia="Arial" w:hAnsi="Arial"/>
                <w:sz w:val="16"/>
                <w:szCs w:val="16"/>
                <w:color w:val="auto"/>
              </w:rPr>
              <w:t>Fair value derivative liability – conversion option at conversion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708,000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8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i w:val="1"/>
          <w:iCs w:val="1"/>
          <w:color w:val="auto"/>
        </w:rPr>
        <w:t>TAPIMMUNE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1: NATURE OF OPERATIONS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I study at the Mayo Clinic is currently evaluating the safety and immune responses of a set of proprietary HER2/neu antigens that will be part of the "Prime" for a HER2/neu breast cancer vaccine.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Phase II advancement will be assessed in the second quarter of 2015. TapImmune has an exclusive option to license this set of peptides after successful phase 1 trials.</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67" w:lineRule="exact"/>
        <w:rPr>
          <w:sz w:val="20"/>
          <w:szCs w:val="20"/>
          <w:color w:val="auto"/>
        </w:rPr>
      </w:pPr>
    </w:p>
    <w:p>
      <w:pPr>
        <w:jc w:val="both"/>
        <w:ind w:firstLine="46"/>
        <w:spacing w:after="0" w:line="288" w:lineRule="auto"/>
        <w:rPr>
          <w:sz w:val="20"/>
          <w:szCs w:val="20"/>
          <w:color w:val="auto"/>
        </w:rPr>
      </w:pPr>
      <w:r>
        <w:rPr>
          <w:rFonts w:ascii="Arial" w:cs="Arial" w:eastAsia="Arial" w:hAnsi="Arial"/>
          <w:sz w:val="16"/>
          <w:szCs w:val="16"/>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8" w:name="page59"/>
    <w:bookmarkEnd w:id="58"/>
    <w:p>
      <w:pPr>
        <w:jc w:val="both"/>
        <w:spacing w:after="0" w:line="267"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There is no certainty that the Company will be able to arrange sufficient funding to satisfy current debt obligations or to continue development of products to marketability.</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financial statements are presented in United States dollars and have been prepared in accordance with accounting principles generally accepted in the United States of America (“GAAP”).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7" w:lineRule="exact"/>
        <w:rPr>
          <w:sz w:val="20"/>
          <w:szCs w:val="20"/>
          <w:color w:val="auto"/>
        </w:rPr>
      </w:pPr>
    </w:p>
    <w:p>
      <w:pPr>
        <w:ind w:left="1060" w:hanging="175"/>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1-Quoted prices (unadjusted) in active markets for identical assets and liabilities.</w:t>
      </w:r>
    </w:p>
    <w:p>
      <w:pPr>
        <w:spacing w:after="0" w:line="210" w:lineRule="exact"/>
        <w:rPr>
          <w:rFonts w:ascii="Arial" w:cs="Arial" w:eastAsia="Arial" w:hAnsi="Arial"/>
          <w:sz w:val="16"/>
          <w:szCs w:val="16"/>
          <w:color w:val="auto"/>
        </w:rPr>
      </w:pPr>
    </w:p>
    <w:p>
      <w:pPr>
        <w:ind w:left="880" w:firstLine="5"/>
        <w:spacing w:after="0" w:line="272" w:lineRule="auto"/>
        <w:tabs>
          <w:tab w:leader="none" w:pos="10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62" w:lineRule="exact"/>
        <w:rPr>
          <w:rFonts w:ascii="Arial" w:cs="Arial" w:eastAsia="Arial" w:hAnsi="Arial"/>
          <w:sz w:val="16"/>
          <w:szCs w:val="16"/>
          <w:color w:val="auto"/>
        </w:rPr>
      </w:pPr>
    </w:p>
    <w:p>
      <w:pPr>
        <w:ind w:left="880" w:right="280" w:firstLine="5"/>
        <w:spacing w:after="0" w:line="288" w:lineRule="auto"/>
        <w:tabs>
          <w:tab w:leader="none" w:pos="10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Financial Instruments and Concentration of Credit Risk.</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Period Reclassifications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Stock-Based Compensation</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of options represents the period that the Company’s stock-based awards are expected to be outstanding based on the simplified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the half-life from vesting to the end of its contractual term.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computes stock price volatility over expected terms based on its historical common stock trading prices.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The Company bases the risk-free interest rate on the implied yield available on U.S. Treasury zero-coupon issues with an equivalent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term.</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 in the foreseeable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Liability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55"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60" w:name="page61"/>
    <w:bookmarkEnd w:id="60"/>
    <w:p>
      <w:pPr>
        <w:jc w:val="both"/>
        <w:spacing w:after="0" w:line="265" w:lineRule="auto"/>
        <w:rPr>
          <w:sz w:val="20"/>
          <w:szCs w:val="20"/>
          <w:color w:val="auto"/>
        </w:rPr>
      </w:pPr>
      <w:r>
        <w:rPr>
          <w:rFonts w:ascii="Arial" w:cs="Arial" w:eastAsia="Arial" w:hAnsi="Arial"/>
          <w:sz w:val="16"/>
          <w:szCs w:val="16"/>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The Company has evaluated the application ASC 480-10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xml:space="preserve">, ASC 815-40 </w:t>
      </w:r>
      <w:r>
        <w:rPr>
          <w:rFonts w:ascii="Arial" w:cs="Arial" w:eastAsia="Arial" w:hAnsi="Arial"/>
          <w:sz w:val="15"/>
          <w:szCs w:val="15"/>
          <w:i w:val="1"/>
          <w:iCs w:val="1"/>
          <w:color w:val="auto"/>
        </w:rPr>
        <w:t>Contracts in an Entity’s Own Equity</w:t>
      </w:r>
      <w:r>
        <w:rPr>
          <w:rFonts w:ascii="Arial" w:cs="Arial" w:eastAsia="Arial" w:hAnsi="Arial"/>
          <w:sz w:val="15"/>
          <w:szCs w:val="15"/>
          <w:color w:val="auto"/>
        </w:rPr>
        <w:t xml:space="preserve"> and ASC 718-10 </w:t>
      </w:r>
      <w:r>
        <w:rPr>
          <w:rFonts w:ascii="Arial" w:cs="Arial" w:eastAsia="Arial" w:hAnsi="Arial"/>
          <w:sz w:val="15"/>
          <w:szCs w:val="15"/>
          <w:i w:val="1"/>
          <w:iCs w:val="1"/>
          <w:color w:val="auto"/>
        </w:rPr>
        <w:t xml:space="preserve">Compensation – Stock Compensation </w:t>
      </w:r>
      <w:r>
        <w:rPr>
          <w:rFonts w:ascii="Arial" w:cs="Arial" w:eastAsia="Arial" w:hAnsi="Arial"/>
          <w:sz w:val="15"/>
          <w:szCs w:val="15"/>
          <w:color w:val="auto"/>
        </w:rPr>
        <w:t>to the issued and outstanding warrants to purchase common stock that were issued with the convertible notes, private placements,</w:t>
      </w:r>
      <w:r>
        <w:rPr>
          <w:rFonts w:ascii="Arial" w:cs="Arial" w:eastAsia="Arial" w:hAnsi="Arial"/>
          <w:sz w:val="15"/>
          <w:szCs w:val="15"/>
          <w:i w:val="1"/>
          <w:iCs w:val="1"/>
          <w:color w:val="auto"/>
        </w:rPr>
        <w:t xml:space="preserve"> </w:t>
      </w:r>
      <w:r>
        <w:rPr>
          <w:rFonts w:ascii="Arial" w:cs="Arial" w:eastAsia="Arial" w:hAnsi="Arial"/>
          <w:sz w:val="15"/>
          <w:szCs w:val="15"/>
          <w:color w:val="auto"/>
        </w:rPr>
        <w:t>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per Common Share</w:t>
      </w:r>
    </w:p>
    <w:p>
      <w:pPr>
        <w:spacing w:after="0" w:line="214" w:lineRule="exact"/>
        <w:rPr>
          <w:sz w:val="20"/>
          <w:szCs w:val="20"/>
          <w:color w:val="auto"/>
        </w:rPr>
      </w:pPr>
    </w:p>
    <w:p>
      <w:pPr>
        <w:ind w:right="380"/>
        <w:spacing w:after="0" w:line="299" w:lineRule="auto"/>
        <w:rPr>
          <w:sz w:val="20"/>
          <w:szCs w:val="20"/>
          <w:color w:val="auto"/>
        </w:rPr>
      </w:pPr>
      <w:r>
        <w:rPr>
          <w:rFonts w:ascii="Arial" w:cs="Arial" w:eastAsia="Arial" w:hAnsi="Arial"/>
          <w:sz w:val="15"/>
          <w:szCs w:val="15"/>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Share Applicable to Common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2014 and 2013, due to net losses.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700" w:type="dxa"/>
            <w:vAlign w:val="bottom"/>
          </w:tcPr>
          <w:p>
            <w:pPr>
              <w:spacing w:after="0"/>
              <w:rPr>
                <w:sz w:val="18"/>
                <w:szCs w:val="18"/>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4"/>
              </w:rPr>
              <w:t>December 31,</w:t>
            </w:r>
          </w:p>
        </w:tc>
        <w:tc>
          <w:tcPr>
            <w:tcW w:w="820" w:type="dxa"/>
            <w:vAlign w:val="bottom"/>
            <w:tcBorders>
              <w:bottom w:val="single" w:sz="8" w:color="auto"/>
            </w:tcBorders>
          </w:tcPr>
          <w:p>
            <w:pPr>
              <w:spacing w:after="0"/>
              <w:rPr>
                <w:sz w:val="18"/>
                <w:szCs w:val="18"/>
                <w:color w:val="auto"/>
              </w:rPr>
            </w:pPr>
          </w:p>
        </w:tc>
      </w:tr>
      <w:tr>
        <w:trPr>
          <w:trHeight w:val="202"/>
        </w:trPr>
        <w:tc>
          <w:tcPr>
            <w:tcW w:w="8700" w:type="dxa"/>
            <w:vAlign w:val="bottom"/>
          </w:tcPr>
          <w:p>
            <w:pPr>
              <w:spacing w:after="0"/>
              <w:rPr>
                <w:sz w:val="17"/>
                <w:szCs w:val="17"/>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2013</w:t>
            </w:r>
          </w:p>
        </w:tc>
      </w:tr>
      <w:tr>
        <w:trPr>
          <w:trHeight w:val="185"/>
        </w:trPr>
        <w:tc>
          <w:tcPr>
            <w:tcW w:w="8700" w:type="dxa"/>
            <w:vAlign w:val="bottom"/>
          </w:tcPr>
          <w:p>
            <w:pPr>
              <w:spacing w:after="0"/>
              <w:rPr>
                <w:sz w:val="20"/>
                <w:szCs w:val="20"/>
                <w:color w:val="auto"/>
              </w:rPr>
            </w:pPr>
            <w:r>
              <w:rPr>
                <w:rFonts w:ascii="Arial" w:cs="Arial" w:eastAsia="Arial" w:hAnsi="Arial"/>
                <w:sz w:val="16"/>
                <w:szCs w:val="16"/>
                <w:color w:val="auto"/>
              </w:rPr>
              <w:t>Common 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65,430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65,430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6"/>
                <w:szCs w:val="16"/>
                <w:color w:val="auto"/>
              </w:rPr>
              <w:t>2,556,133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25,168</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6"/>
                <w:szCs w:val="16"/>
                <w:color w:val="auto"/>
              </w:rPr>
              <w:t>103,284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124,284</w:t>
            </w:r>
          </w:p>
        </w:tc>
      </w:tr>
      <w:tr>
        <w:trPr>
          <w:trHeight w:val="214"/>
        </w:trPr>
        <w:tc>
          <w:tcPr>
            <w:tcW w:w="8700" w:type="dxa"/>
            <w:vAlign w:val="bottom"/>
          </w:tcPr>
          <w:p>
            <w:pPr>
              <w:spacing w:after="0"/>
              <w:rPr>
                <w:sz w:val="20"/>
                <w:szCs w:val="20"/>
                <w:color w:val="auto"/>
              </w:rPr>
            </w:pPr>
            <w:r>
              <w:rPr>
                <w:rFonts w:ascii="Arial" w:cs="Arial" w:eastAsia="Arial" w:hAnsi="Arial"/>
                <w:sz w:val="16"/>
                <w:szCs w:val="16"/>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738,760</w:t>
            </w:r>
          </w:p>
        </w:tc>
      </w:tr>
      <w:tr>
        <w:trPr>
          <w:trHeight w:val="197"/>
        </w:trPr>
        <w:tc>
          <w:tcPr>
            <w:tcW w:w="8700" w:type="dxa"/>
            <w:vAlign w:val="bottom"/>
          </w:tcPr>
          <w:p>
            <w:pPr>
              <w:spacing w:after="0" w:line="177" w:lineRule="exact"/>
              <w:rPr>
                <w:sz w:val="20"/>
                <w:szCs w:val="20"/>
                <w:color w:val="auto"/>
              </w:rPr>
            </w:pPr>
            <w:r>
              <w:rPr>
                <w:rFonts w:ascii="Arial" w:cs="Arial" w:eastAsia="Arial" w:hAnsi="Arial"/>
                <w:sz w:val="16"/>
                <w:szCs w:val="16"/>
                <w:color w:val="auto"/>
              </w:rPr>
              <w:t>Excluded potentially dilutive securities</w:t>
            </w:r>
          </w:p>
        </w:tc>
        <w:tc>
          <w:tcPr>
            <w:tcW w:w="11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2,724,847</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953,642</w:t>
            </w:r>
          </w:p>
        </w:tc>
      </w:tr>
      <w:tr>
        <w:trPr>
          <w:trHeight w:val="20"/>
        </w:trPr>
        <w:tc>
          <w:tcPr>
            <w:tcW w:w="8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Accounting Standards Update No. 2014-10, </w:t>
      </w:r>
      <w:r>
        <w:rPr>
          <w:rFonts w:ascii="Arial" w:cs="Arial" w:eastAsia="Arial" w:hAnsi="Arial"/>
          <w:sz w:val="16"/>
          <w:szCs w:val="16"/>
          <w:i w:val="1"/>
          <w:iCs w:val="1"/>
          <w:color w:val="auto"/>
        </w:rPr>
        <w:t>Development Stage Entities (Topic 915): Elimination of Certain Financial Reporting Requirements, Including an Amendment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Guidance in Topic 810, Consolidation </w:t>
      </w:r>
      <w:r>
        <w:rPr>
          <w:rFonts w:ascii="Arial" w:cs="Arial" w:eastAsia="Arial" w:hAnsi="Arial"/>
          <w:sz w:val="16"/>
          <w:szCs w:val="16"/>
          <w:color w:val="auto"/>
        </w:rPr>
        <w:t>removes all incremental financial reporting requirements for development stage entities,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removal of reporting of the 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67" w:lineRule="exact"/>
        <w:rPr>
          <w:sz w:val="20"/>
          <w:szCs w:val="20"/>
          <w:color w:val="auto"/>
        </w:rPr>
      </w:pPr>
    </w:p>
    <w:p>
      <w:pPr>
        <w:jc w:val="both"/>
        <w:ind w:firstLine="48"/>
        <w:spacing w:after="0" w:line="299" w:lineRule="auto"/>
        <w:rPr>
          <w:sz w:val="20"/>
          <w:szCs w:val="20"/>
          <w:color w:val="auto"/>
        </w:rPr>
      </w:pPr>
      <w:r>
        <w:rPr>
          <w:rFonts w:ascii="Arial" w:cs="Arial" w:eastAsia="Arial" w:hAnsi="Arial"/>
          <w:sz w:val="15"/>
          <w:szCs w:val="15"/>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1" w:name="page62"/>
    <w:bookmarkEnd w:id="61"/>
    <w:p>
      <w:pPr>
        <w:ind w:left="300"/>
        <w:spacing w:after="0"/>
        <w:rPr>
          <w:sz w:val="20"/>
          <w:szCs w:val="20"/>
          <w:color w:val="auto"/>
        </w:rPr>
      </w:pPr>
      <w:r>
        <w:rPr>
          <w:rFonts w:ascii="Arial" w:cs="Arial" w:eastAsia="Arial" w:hAnsi="Arial"/>
          <w:sz w:val="16"/>
          <w:szCs w:val="16"/>
          <w:b w:val="1"/>
          <w:bCs w:val="1"/>
          <w:color w:val="auto"/>
        </w:rPr>
        <w:t>NOTE 3: ACCOUNTS PAYABLE AND ACCRUED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Payable and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December 31,</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rPr>
              <w:t>December 31,</w:t>
            </w:r>
          </w:p>
        </w:tc>
      </w:tr>
      <w:tr>
        <w:trPr>
          <w:trHeight w:val="214"/>
        </w:trPr>
        <w:tc>
          <w:tcPr>
            <w:tcW w:w="5440" w:type="dxa"/>
            <w:vAlign w:val="bottom"/>
          </w:tcPr>
          <w:p>
            <w:pPr>
              <w:spacing w:after="0"/>
              <w:rPr>
                <w:sz w:val="18"/>
                <w:szCs w:val="18"/>
                <w:color w:val="auto"/>
              </w:rPr>
            </w:pPr>
          </w:p>
        </w:tc>
        <w:tc>
          <w:tcPr>
            <w:tcW w:w="4420" w:type="dxa"/>
            <w:vAlign w:val="bottom"/>
            <w:gridSpan w:val="2"/>
          </w:tcPr>
          <w:p>
            <w:pPr>
              <w:jc w:val="right"/>
              <w:ind w:right="320"/>
              <w:spacing w:after="0"/>
              <w:rPr>
                <w:sz w:val="20"/>
                <w:szCs w:val="20"/>
                <w:color w:val="auto"/>
              </w:rPr>
            </w:pPr>
            <w:r>
              <w:rPr>
                <w:rFonts w:ascii="Arial" w:cs="Arial" w:eastAsia="Arial" w:hAnsi="Arial"/>
                <w:sz w:val="16"/>
                <w:szCs w:val="16"/>
                <w:color w:val="auto"/>
              </w:rPr>
              <w:t>2014</w:t>
            </w:r>
          </w:p>
        </w:tc>
        <w:tc>
          <w:tcPr>
            <w:tcW w:w="1440" w:type="dxa"/>
            <w:vAlign w:val="bottom"/>
            <w:gridSpan w:val="2"/>
          </w:tcPr>
          <w:p>
            <w:pPr>
              <w:jc w:val="right"/>
              <w:ind w:right="36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r>
      <w:tr>
        <w:trPr>
          <w:trHeight w:val="208"/>
        </w:trPr>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60" w:type="dxa"/>
            <w:vAlign w:val="bottom"/>
            <w:tcBorders>
              <w:top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1180" w:type="dxa"/>
            <w:vAlign w:val="bottom"/>
            <w:tcBorders>
              <w:top w:val="single" w:sz="8" w:color="auto"/>
            </w:tcBorders>
          </w:tcPr>
          <w:p>
            <w:pPr>
              <w:jc w:val="right"/>
              <w:ind w:right="102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r>
      <w:tr>
        <w:trPr>
          <w:trHeight w:val="370"/>
        </w:trPr>
        <w:tc>
          <w:tcPr>
            <w:tcW w:w="5440" w:type="dxa"/>
            <w:vAlign w:val="bottom"/>
          </w:tcPr>
          <w:p>
            <w:pPr>
              <w:ind w:left="40"/>
              <w:spacing w:after="0"/>
              <w:rPr>
                <w:sz w:val="20"/>
                <w:szCs w:val="20"/>
                <w:color w:val="auto"/>
              </w:rPr>
            </w:pPr>
            <w:r>
              <w:rPr>
                <w:rFonts w:ascii="Arial" w:cs="Arial" w:eastAsia="Arial" w:hAnsi="Arial"/>
                <w:sz w:val="16"/>
                <w:szCs w:val="16"/>
                <w:color w:val="auto"/>
              </w:rPr>
              <w:t>Trade accounts payable</w:t>
            </w:r>
          </w:p>
        </w:tc>
        <w:tc>
          <w:tcPr>
            <w:tcW w:w="4420" w:type="dxa"/>
            <w:vAlign w:val="bottom"/>
            <w:gridSpan w:val="2"/>
          </w:tcPr>
          <w:p>
            <w:pPr>
              <w:jc w:val="right"/>
              <w:spacing w:after="0"/>
              <w:rPr>
                <w:sz w:val="20"/>
                <w:szCs w:val="20"/>
                <w:color w:val="auto"/>
              </w:rPr>
            </w:pPr>
            <w:r>
              <w:rPr>
                <w:rFonts w:ascii="Arial" w:cs="Arial" w:eastAsia="Arial" w:hAnsi="Arial"/>
                <w:sz w:val="16"/>
                <w:szCs w:val="16"/>
                <w:color w:val="auto"/>
              </w:rPr>
              <w:t>620,826</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1,450,083</w:t>
            </w:r>
          </w:p>
        </w:tc>
      </w:tr>
      <w:tr>
        <w:trPr>
          <w:trHeight w:val="197"/>
        </w:trPr>
        <w:tc>
          <w:tcPr>
            <w:tcW w:w="5440" w:type="dxa"/>
            <w:vAlign w:val="bottom"/>
          </w:tcPr>
          <w:p>
            <w:pPr>
              <w:ind w:left="40"/>
              <w:spacing w:after="0"/>
              <w:rPr>
                <w:sz w:val="20"/>
                <w:szCs w:val="20"/>
                <w:color w:val="auto"/>
              </w:rPr>
            </w:pPr>
            <w:r>
              <w:rPr>
                <w:rFonts w:ascii="Arial" w:cs="Arial" w:eastAsia="Arial" w:hAnsi="Arial"/>
                <w:sz w:val="16"/>
                <w:szCs w:val="16"/>
                <w:color w:val="auto"/>
              </w:rPr>
              <w:t>Share-settled debt</w:t>
            </w:r>
          </w:p>
        </w:tc>
        <w:tc>
          <w:tcPr>
            <w:tcW w:w="4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1,348,663</w:t>
            </w:r>
          </w:p>
        </w:tc>
      </w:tr>
      <w:tr>
        <w:trPr>
          <w:trHeight w:val="197"/>
        </w:trPr>
        <w:tc>
          <w:tcPr>
            <w:tcW w:w="544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4420" w:type="dxa"/>
            <w:vAlign w:val="bottom"/>
            <w:gridSpan w:val="2"/>
          </w:tcPr>
          <w:p>
            <w:pPr>
              <w:jc w:val="right"/>
              <w:spacing w:after="0"/>
              <w:rPr>
                <w:sz w:val="20"/>
                <w:szCs w:val="20"/>
                <w:color w:val="auto"/>
              </w:rPr>
            </w:pPr>
            <w:r>
              <w:rPr>
                <w:rFonts w:ascii="Arial" w:cs="Arial" w:eastAsia="Arial" w:hAnsi="Arial"/>
                <w:sz w:val="16"/>
                <w:szCs w:val="16"/>
                <w:color w:val="auto"/>
              </w:rPr>
              <w:t>68,448</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201,334</w:t>
            </w:r>
          </w:p>
        </w:tc>
      </w:tr>
      <w:tr>
        <w:trPr>
          <w:trHeight w:val="197"/>
        </w:trPr>
        <w:tc>
          <w:tcPr>
            <w:tcW w:w="5440" w:type="dxa"/>
            <w:vAlign w:val="bottom"/>
          </w:tcPr>
          <w:p>
            <w:pPr>
              <w:ind w:left="40"/>
              <w:spacing w:after="0"/>
              <w:rPr>
                <w:sz w:val="20"/>
                <w:szCs w:val="20"/>
                <w:color w:val="auto"/>
              </w:rPr>
            </w:pPr>
            <w:r>
              <w:rPr>
                <w:rFonts w:ascii="Arial" w:cs="Arial" w:eastAsia="Arial" w:hAnsi="Arial"/>
                <w:sz w:val="16"/>
                <w:szCs w:val="16"/>
                <w:color w:val="auto"/>
              </w:rPr>
              <w:t>Employee payroll and severance</w:t>
            </w:r>
          </w:p>
        </w:tc>
        <w:tc>
          <w:tcPr>
            <w:tcW w:w="4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220,290</w:t>
            </w:r>
          </w:p>
        </w:tc>
      </w:tr>
      <w:tr>
        <w:trPr>
          <w:trHeight w:val="214"/>
        </w:trPr>
        <w:tc>
          <w:tcPr>
            <w:tcW w:w="544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4420" w:type="dxa"/>
            <w:vAlign w:val="bottom"/>
            <w:gridSpan w:val="2"/>
          </w:tcPr>
          <w:p>
            <w:pPr>
              <w:jc w:val="right"/>
              <w:spacing w:after="0"/>
              <w:rPr>
                <w:sz w:val="20"/>
                <w:szCs w:val="20"/>
                <w:color w:val="auto"/>
              </w:rPr>
            </w:pPr>
            <w:r>
              <w:rPr>
                <w:rFonts w:ascii="Arial" w:cs="Arial" w:eastAsia="Arial" w:hAnsi="Arial"/>
                <w:sz w:val="16"/>
                <w:szCs w:val="16"/>
                <w:color w:val="auto"/>
              </w:rPr>
              <w:t>4,088</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558,032</w:t>
            </w:r>
          </w:p>
        </w:tc>
      </w:tr>
      <w:tr>
        <w:trPr>
          <w:trHeight w:val="197"/>
        </w:trPr>
        <w:tc>
          <w:tcPr>
            <w:tcW w:w="54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693,362</w:t>
            </w:r>
          </w:p>
        </w:tc>
        <w:tc>
          <w:tcPr>
            <w:tcW w:w="26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3,778,401</w:t>
            </w:r>
          </w:p>
        </w:tc>
        <w:tc>
          <w:tcPr>
            <w:tcW w:w="12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4: RESEARCH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Crucell Holland B.V. (“Crucell”) – Research License and Option Agreement</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5: DERIVATIVE LIABILITY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3"/>
              </w:rPr>
              <w:t>Weighted Average Inputs for the Period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For the Quarter</w:t>
            </w:r>
          </w:p>
        </w:tc>
        <w:tc>
          <w:tcPr>
            <w:tcW w:w="10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For the Quarter</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Ending March 31,</w:t>
            </w:r>
          </w:p>
        </w:tc>
        <w:tc>
          <w:tcPr>
            <w:tcW w:w="1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ending June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6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Date of valuation</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Total</w:t>
            </w:r>
          </w:p>
        </w:tc>
      </w:tr>
      <w:tr>
        <w:trPr>
          <w:trHeight w:val="185"/>
        </w:trPr>
        <w:tc>
          <w:tcPr>
            <w:tcW w:w="6820" w:type="dxa"/>
            <w:vAlign w:val="bottom"/>
          </w:tcPr>
          <w:p>
            <w:pPr>
              <w:spacing w:after="0"/>
              <w:rPr>
                <w:sz w:val="20"/>
                <w:szCs w:val="20"/>
                <w:color w:val="auto"/>
              </w:rPr>
            </w:pPr>
            <w:r>
              <w:rPr>
                <w:rFonts w:ascii="Arial" w:cs="Arial" w:eastAsia="Arial" w:hAnsi="Arial"/>
                <w:sz w:val="16"/>
                <w:szCs w:val="16"/>
                <w:color w:val="auto"/>
              </w:rPr>
              <w:t>Dividend yield (per share)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Strike price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1.027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0.88</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Volatility (annual)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199.00%</w:t>
            </w:r>
          </w:p>
        </w:tc>
        <w:tc>
          <w:tcPr>
            <w:tcW w:w="1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199.00%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Risk-free rate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8"/>
        </w:trPr>
        <w:tc>
          <w:tcPr>
            <w:tcW w:w="6820" w:type="dxa"/>
            <w:vAlign w:val="bottom"/>
          </w:tcPr>
          <w:p>
            <w:pPr>
              <w:spacing w:after="0"/>
              <w:rPr>
                <w:sz w:val="20"/>
                <w:szCs w:val="20"/>
                <w:color w:val="auto"/>
              </w:rPr>
            </w:pPr>
            <w:r>
              <w:rPr>
                <w:rFonts w:ascii="Arial" w:cs="Arial" w:eastAsia="Arial" w:hAnsi="Arial"/>
                <w:sz w:val="16"/>
                <w:szCs w:val="16"/>
                <w:color w:val="auto"/>
              </w:rPr>
              <w:t>Contractual term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0.06</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5"/>
        </w:trPr>
        <w:tc>
          <w:tcPr>
            <w:tcW w:w="6820" w:type="dxa"/>
            <w:vAlign w:val="bottom"/>
          </w:tcPr>
          <w:p>
            <w:pPr>
              <w:spacing w:after="0"/>
              <w:rPr>
                <w:sz w:val="20"/>
                <w:szCs w:val="20"/>
                <w:color w:val="auto"/>
              </w:rPr>
            </w:pPr>
            <w:r>
              <w:rPr>
                <w:rFonts w:ascii="Arial" w:cs="Arial" w:eastAsia="Arial" w:hAnsi="Arial"/>
                <w:sz w:val="16"/>
                <w:szCs w:val="16"/>
                <w:color w:val="auto"/>
              </w:rPr>
              <w:t>Fair value of Conversion Option at extinguishment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708,000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4,000</w:t>
            </w:r>
          </w:p>
        </w:tc>
        <w:tc>
          <w:tcPr>
            <w:tcW w:w="24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38"/>
              <w:spacing w:after="0"/>
              <w:rPr>
                <w:sz w:val="20"/>
                <w:szCs w:val="20"/>
                <w:color w:val="auto"/>
              </w:rPr>
            </w:pPr>
            <w:r>
              <w:rPr>
                <w:rFonts w:ascii="Arial" w:cs="Arial" w:eastAsia="Arial" w:hAnsi="Arial"/>
                <w:sz w:val="16"/>
                <w:szCs w:val="16"/>
                <w:b w:val="1"/>
                <w:bCs w:val="1"/>
                <w:color w:val="auto"/>
              </w:rPr>
              <w:t>712,000</w:t>
            </w:r>
          </w:p>
        </w:tc>
      </w:tr>
      <w:tr>
        <w:trPr>
          <w:trHeight w:val="25"/>
        </w:trPr>
        <w:tc>
          <w:tcPr>
            <w:tcW w:w="6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62" w:name="page63"/>
    <w:bookmarkEnd w:id="62"/>
    <w:p>
      <w:pPr>
        <w:spacing w:after="0" w:line="264"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December 31, 2013</w:t>
            </w:r>
          </w:p>
        </w:tc>
        <w:tc>
          <w:tcPr>
            <w:tcW w:w="9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December 31, 2014</w:t>
            </w:r>
          </w:p>
        </w:tc>
        <w:tc>
          <w:tcPr>
            <w:tcW w:w="1120" w:type="dxa"/>
            <w:vAlign w:val="bottom"/>
            <w:tcBorders>
              <w:bottom w:val="single" w:sz="8" w:color="auto"/>
            </w:tcBorders>
          </w:tcPr>
          <w:p>
            <w:pPr>
              <w:spacing w:after="0"/>
              <w:rPr>
                <w:sz w:val="17"/>
                <w:szCs w:val="17"/>
                <w:color w:val="auto"/>
              </w:rPr>
            </w:pPr>
          </w:p>
        </w:tc>
      </w:tr>
      <w:tr>
        <w:trPr>
          <w:trHeight w:val="185"/>
        </w:trPr>
        <w:tc>
          <w:tcPr>
            <w:tcW w:w="2000" w:type="dxa"/>
            <w:vAlign w:val="bottom"/>
          </w:tcPr>
          <w:p>
            <w:pPr>
              <w:spacing w:after="0"/>
              <w:rPr>
                <w:sz w:val="16"/>
                <w:szCs w:val="16"/>
                <w:color w:val="auto"/>
              </w:rPr>
            </w:pPr>
          </w:p>
        </w:tc>
        <w:tc>
          <w:tcPr>
            <w:tcW w:w="1340" w:type="dxa"/>
            <w:vAlign w:val="bottom"/>
          </w:tcPr>
          <w:p>
            <w:pPr>
              <w:ind w:left="400"/>
              <w:spacing w:after="0"/>
              <w:rPr>
                <w:sz w:val="20"/>
                <w:szCs w:val="20"/>
                <w:color w:val="auto"/>
              </w:rPr>
            </w:pPr>
            <w:r>
              <w:rPr>
                <w:rFonts w:ascii="Arial" w:cs="Arial" w:eastAsia="Arial" w:hAnsi="Arial"/>
                <w:sz w:val="16"/>
                <w:szCs w:val="16"/>
                <w:color w:val="auto"/>
              </w:rPr>
              <w:t>Contractual</w:t>
            </w: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ind w:left="180"/>
              <w:spacing w:after="0"/>
              <w:rPr>
                <w:sz w:val="20"/>
                <w:szCs w:val="20"/>
                <w:color w:val="auto"/>
              </w:rPr>
            </w:pPr>
            <w:r>
              <w:rPr>
                <w:rFonts w:ascii="Arial" w:cs="Arial" w:eastAsia="Arial" w:hAnsi="Arial"/>
                <w:sz w:val="16"/>
                <w:szCs w:val="16"/>
                <w:color w:val="auto"/>
              </w:rPr>
              <w:t>Contractual</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2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Life (Years)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Risk free 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Dividend yield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Volatility</w:t>
            </w: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Life (Years)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Risk free 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Dividend yield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Volatility</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5"/>
        </w:trPr>
        <w:tc>
          <w:tcPr>
            <w:tcW w:w="2000" w:type="dxa"/>
            <w:vAlign w:val="bottom"/>
          </w:tcPr>
          <w:p>
            <w:pPr>
              <w:spacing w:after="0" w:line="175" w:lineRule="exact"/>
              <w:rPr>
                <w:sz w:val="20"/>
                <w:szCs w:val="20"/>
                <w:color w:val="auto"/>
              </w:rPr>
            </w:pPr>
            <w:r>
              <w:rPr>
                <w:rFonts w:ascii="Arial" w:cs="Arial" w:eastAsia="Arial" w:hAnsi="Arial"/>
                <w:sz w:val="16"/>
                <w:szCs w:val="16"/>
                <w:color w:val="auto"/>
              </w:rPr>
              <w:t>Share purchase warrants</w:t>
            </w:r>
          </w:p>
        </w:tc>
        <w:tc>
          <w:tcPr>
            <w:tcW w:w="1340" w:type="dxa"/>
            <w:vAlign w:val="bottom"/>
          </w:tcPr>
          <w:p>
            <w:pPr>
              <w:ind w:left="400"/>
              <w:spacing w:after="0" w:line="175" w:lineRule="exact"/>
              <w:rPr>
                <w:sz w:val="20"/>
                <w:szCs w:val="20"/>
                <w:color w:val="auto"/>
              </w:rPr>
            </w:pPr>
            <w:r>
              <w:rPr>
                <w:rFonts w:ascii="Arial" w:cs="Arial" w:eastAsia="Arial" w:hAnsi="Arial"/>
                <w:sz w:val="16"/>
                <w:szCs w:val="16"/>
                <w:color w:val="auto"/>
              </w:rPr>
              <w:t>0.85 to 2.78</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w w:val="92"/>
              </w:rPr>
              <w:t>0.13% to 0.78%</w:t>
            </w:r>
          </w:p>
        </w:tc>
        <w:tc>
          <w:tcPr>
            <w:tcW w:w="1200" w:type="dxa"/>
            <w:vAlign w:val="bottom"/>
          </w:tcPr>
          <w:p>
            <w:pPr>
              <w:jc w:val="right"/>
              <w:ind w:right="318"/>
              <w:spacing w:after="0" w:line="175" w:lineRule="exact"/>
              <w:rPr>
                <w:sz w:val="20"/>
                <w:szCs w:val="20"/>
                <w:color w:val="auto"/>
              </w:rPr>
            </w:pPr>
            <w:r>
              <w:rPr>
                <w:rFonts w:ascii="Arial" w:cs="Arial" w:eastAsia="Arial" w:hAnsi="Arial"/>
                <w:sz w:val="16"/>
                <w:szCs w:val="16"/>
                <w:color w:val="auto"/>
              </w:rPr>
              <w:t>0.00%</w:t>
            </w:r>
          </w:p>
        </w:tc>
        <w:tc>
          <w:tcPr>
            <w:tcW w:w="900" w:type="dxa"/>
            <w:vAlign w:val="bottom"/>
          </w:tcPr>
          <w:p>
            <w:pPr>
              <w:jc w:val="right"/>
              <w:ind w:right="198"/>
              <w:spacing w:after="0" w:line="175" w:lineRule="exact"/>
              <w:rPr>
                <w:sz w:val="20"/>
                <w:szCs w:val="20"/>
                <w:color w:val="auto"/>
              </w:rPr>
            </w:pPr>
            <w:r>
              <w:rPr>
                <w:rFonts w:ascii="Arial" w:cs="Arial" w:eastAsia="Arial" w:hAnsi="Arial"/>
                <w:sz w:val="16"/>
                <w:szCs w:val="16"/>
                <w:color w:val="auto"/>
              </w:rPr>
              <w:t>199%</w:t>
            </w:r>
          </w:p>
        </w:tc>
        <w:tc>
          <w:tcPr>
            <w:tcW w:w="1080" w:type="dxa"/>
            <w:vAlign w:val="bottom"/>
          </w:tcPr>
          <w:p>
            <w:pPr>
              <w:ind w:left="160"/>
              <w:spacing w:after="0" w:line="175" w:lineRule="exact"/>
              <w:rPr>
                <w:sz w:val="20"/>
                <w:szCs w:val="20"/>
                <w:color w:val="auto"/>
              </w:rPr>
            </w:pPr>
            <w:r>
              <w:rPr>
                <w:rFonts w:ascii="Arial" w:cs="Arial" w:eastAsia="Arial" w:hAnsi="Arial"/>
                <w:sz w:val="16"/>
                <w:szCs w:val="16"/>
                <w:color w:val="auto"/>
              </w:rPr>
              <w:t>1.22 to 3.53</w:t>
            </w:r>
          </w:p>
        </w:tc>
        <w:tc>
          <w:tcPr>
            <w:tcW w:w="1260" w:type="dxa"/>
            <w:vAlign w:val="bottom"/>
          </w:tcPr>
          <w:p>
            <w:pPr>
              <w:jc w:val="center"/>
              <w:spacing w:after="0" w:line="175" w:lineRule="exact"/>
              <w:rPr>
                <w:sz w:val="20"/>
                <w:szCs w:val="20"/>
                <w:color w:val="auto"/>
              </w:rPr>
            </w:pPr>
            <w:r>
              <w:rPr>
                <w:rFonts w:ascii="Arial" w:cs="Arial" w:eastAsia="Arial" w:hAnsi="Arial"/>
                <w:sz w:val="16"/>
                <w:szCs w:val="16"/>
                <w:color w:val="auto"/>
                <w:w w:val="93"/>
              </w:rPr>
              <w:t>0.25% to 1.10%</w:t>
            </w:r>
          </w:p>
        </w:tc>
        <w:tc>
          <w:tcPr>
            <w:tcW w:w="1200" w:type="dxa"/>
            <w:vAlign w:val="bottom"/>
          </w:tcPr>
          <w:p>
            <w:pPr>
              <w:jc w:val="right"/>
              <w:ind w:right="338"/>
              <w:spacing w:after="0" w:line="175" w:lineRule="exact"/>
              <w:rPr>
                <w:sz w:val="20"/>
                <w:szCs w:val="20"/>
                <w:color w:val="auto"/>
              </w:rPr>
            </w:pPr>
            <w:r>
              <w:rPr>
                <w:rFonts w:ascii="Arial" w:cs="Arial" w:eastAsia="Arial" w:hAnsi="Arial"/>
                <w:sz w:val="16"/>
                <w:szCs w:val="16"/>
                <w:color w:val="auto"/>
              </w:rPr>
              <w:t>0.00%</w:t>
            </w:r>
          </w:p>
        </w:tc>
        <w:tc>
          <w:tcPr>
            <w:tcW w:w="1120" w:type="dxa"/>
            <w:vAlign w:val="bottom"/>
          </w:tcPr>
          <w:p>
            <w:pPr>
              <w:jc w:val="center"/>
              <w:spacing w:after="0" w:line="175" w:lineRule="exact"/>
              <w:rPr>
                <w:sz w:val="20"/>
                <w:szCs w:val="20"/>
                <w:color w:val="auto"/>
              </w:rPr>
            </w:pPr>
            <w:r>
              <w:rPr>
                <w:rFonts w:ascii="Arial" w:cs="Arial" w:eastAsia="Arial" w:hAnsi="Arial"/>
                <w:sz w:val="16"/>
                <w:szCs w:val="16"/>
                <w:color w:val="auto"/>
                <w:w w:val="93"/>
              </w:rPr>
              <w:t>155.90% to</w:t>
            </w:r>
          </w:p>
        </w:tc>
      </w:tr>
      <w:tr>
        <w:trPr>
          <w:trHeight w:val="209"/>
        </w:trPr>
        <w:tc>
          <w:tcPr>
            <w:tcW w:w="2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190.68%</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and Liabilities Measured at Fair Value on a Recurring Basis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liabilities measured at fair value on a recurring basis are summarized below and disclosed on the balance sheet under Derivative liability – warrants and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 conversion option: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5"/>
          </w:tcPr>
          <w:p>
            <w:pPr>
              <w:jc w:val="center"/>
              <w:ind w:left="898"/>
              <w:spacing w:after="0"/>
              <w:rPr>
                <w:sz w:val="20"/>
                <w:szCs w:val="20"/>
                <w:color w:val="auto"/>
              </w:rPr>
            </w:pPr>
            <w:r>
              <w:rPr>
                <w:rFonts w:ascii="Arial" w:cs="Arial" w:eastAsia="Arial" w:hAnsi="Arial"/>
                <w:sz w:val="16"/>
                <w:szCs w:val="16"/>
                <w:b w:val="1"/>
                <w:bCs w:val="1"/>
                <w:color w:val="auto"/>
                <w:w w:val="91"/>
              </w:rPr>
              <w:t>As of December 31, 2014</w:t>
            </w:r>
          </w:p>
        </w:tc>
        <w:tc>
          <w:tcPr>
            <w:tcW w:w="9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jc w:val="right"/>
              <w:ind w:right="43"/>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Fair Value</w:t>
            </w:r>
          </w:p>
        </w:tc>
        <w:tc>
          <w:tcPr>
            <w:tcW w:w="14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197"/>
        </w:trPr>
        <w:tc>
          <w:tcPr>
            <w:tcW w:w="4580" w:type="dxa"/>
            <w:vAlign w:val="bottom"/>
            <w:gridSpan w:val="2"/>
          </w:tcPr>
          <w:p>
            <w:pPr>
              <w:spacing w:after="0"/>
              <w:rPr>
                <w:sz w:val="20"/>
                <w:szCs w:val="20"/>
                <w:color w:val="auto"/>
              </w:rPr>
            </w:pPr>
            <w:r>
              <w:rPr>
                <w:rFonts w:ascii="Arial" w:cs="Arial" w:eastAsia="Arial" w:hAnsi="Arial"/>
                <w:sz w:val="16"/>
                <w:szCs w:val="16"/>
                <w:color w:val="auto"/>
              </w:rPr>
              <w:t>Derivative liability - warrants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9,415</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9,415</w:t>
            </w: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9,415</w:t>
            </w:r>
          </w:p>
        </w:tc>
      </w:tr>
      <w:tr>
        <w:trPr>
          <w:trHeight w:val="209"/>
        </w:trPr>
        <w:tc>
          <w:tcPr>
            <w:tcW w:w="446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9,415</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9,415</w:t>
            </w: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9,415</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02"/>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left="898"/>
              <w:spacing w:after="0"/>
              <w:rPr>
                <w:sz w:val="20"/>
                <w:szCs w:val="20"/>
                <w:color w:val="auto"/>
              </w:rPr>
            </w:pPr>
            <w:r>
              <w:rPr>
                <w:rFonts w:ascii="Arial" w:cs="Arial" w:eastAsia="Arial" w:hAnsi="Arial"/>
                <w:sz w:val="16"/>
                <w:szCs w:val="16"/>
                <w:b w:val="1"/>
                <w:bCs w:val="1"/>
                <w:color w:val="auto"/>
                <w:w w:val="91"/>
              </w:rPr>
              <w:t>As of December 31, 2013</w:t>
            </w: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jc w:val="right"/>
              <w:ind w:right="43"/>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Carrying Value</w:t>
            </w:r>
          </w:p>
        </w:tc>
        <w:tc>
          <w:tcPr>
            <w:tcW w:w="14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197"/>
        </w:trPr>
        <w:tc>
          <w:tcPr>
            <w:tcW w:w="4580" w:type="dxa"/>
            <w:vAlign w:val="bottom"/>
            <w:gridSpan w:val="2"/>
          </w:tcPr>
          <w:p>
            <w:pPr>
              <w:spacing w:after="0"/>
              <w:rPr>
                <w:sz w:val="20"/>
                <w:szCs w:val="20"/>
                <w:color w:val="auto"/>
              </w:rPr>
            </w:pPr>
            <w:r>
              <w:rPr>
                <w:rFonts w:ascii="Arial" w:cs="Arial" w:eastAsia="Arial" w:hAnsi="Arial"/>
                <w:sz w:val="16"/>
                <w:szCs w:val="16"/>
                <w:color w:val="auto"/>
              </w:rPr>
              <w:t>Derivative liability - warrants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140,504</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140,504</w:t>
            </w: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140,504</w:t>
            </w:r>
          </w:p>
        </w:tc>
      </w:tr>
      <w:tr>
        <w:trPr>
          <w:trHeight w:val="214"/>
        </w:trPr>
        <w:tc>
          <w:tcPr>
            <w:tcW w:w="4580" w:type="dxa"/>
            <w:vAlign w:val="bottom"/>
            <w:gridSpan w:val="2"/>
          </w:tcPr>
          <w:p>
            <w:pPr>
              <w:spacing w:after="0"/>
              <w:rPr>
                <w:sz w:val="20"/>
                <w:szCs w:val="20"/>
                <w:color w:val="auto"/>
              </w:rPr>
            </w:pPr>
            <w:r>
              <w:rPr>
                <w:rFonts w:ascii="Arial" w:cs="Arial" w:eastAsia="Arial" w:hAnsi="Arial"/>
                <w:sz w:val="16"/>
                <w:szCs w:val="16"/>
                <w:color w:val="auto"/>
              </w:rPr>
              <w:t>Derivative liability – conversion 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582,300</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582,300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582,300</w:t>
            </w:r>
          </w:p>
        </w:tc>
      </w:tr>
      <w:tr>
        <w:trPr>
          <w:trHeight w:val="197"/>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120" w:type="dxa"/>
            <w:vAlign w:val="bottom"/>
          </w:tcPr>
          <w:p>
            <w:pPr>
              <w:spacing w:after="0"/>
              <w:rPr>
                <w:sz w:val="17"/>
                <w:szCs w:val="17"/>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between Level 1, 2 or 3 during the year ended December 31, 2014.</w:t>
      </w:r>
    </w:p>
    <w:p>
      <w:pPr>
        <w:sectPr>
          <w:pgSz w:w="11900" w:h="16838" w:orient="portrait"/>
          <w:cols w:equalWidth="0" w:num="1">
            <w:col w:w="11420"/>
          </w:cols>
          <w:pgMar w:left="240" w:top="903" w:right="2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changes in Level 3 liabilities measured at fair value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Balance – January 1, 2013</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Additions during the year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Total unrealized (gains) or losses included in net loss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warrant liability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Balance – December 31, 2013</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Gain on settlement of debt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conversion option liability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warrant liability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Balance – December 31, 2014</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6"/>
                <w:szCs w:val="16"/>
                <w:color w:val="auto"/>
                <w:w w:val="98"/>
              </w:rPr>
              <w:t>Derivative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6"/>
                <w:szCs w:val="16"/>
                <w:color w:val="auto"/>
              </w:rPr>
              <w:t>liability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Derivative</w:t>
            </w: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6"/>
                <w:szCs w:val="16"/>
                <w:color w:val="auto"/>
                <w:w w:val="93"/>
              </w:rPr>
              <w:t>conversion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color w:val="auto"/>
              </w:rPr>
              <w:t>liability –</w:t>
            </w:r>
          </w:p>
        </w:tc>
      </w:tr>
      <w:tr>
        <w:trPr>
          <w:trHeight w:val="214"/>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6"/>
                <w:szCs w:val="16"/>
                <w:color w:val="auto"/>
                <w:w w:val="96"/>
              </w:rPr>
              <w:t>option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warrants</w:t>
            </w:r>
          </w:p>
        </w:tc>
      </w:tr>
      <w:tr>
        <w:trPr>
          <w:trHeight w:val="18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868,000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977,000</w:t>
            </w:r>
          </w:p>
        </w:tc>
        <w:tc>
          <w:tcPr>
            <w:tcW w:w="4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811,000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206,000</w:t>
            </w: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(1,096,000)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14"/>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(1,043,000)</w:t>
            </w:r>
          </w:p>
        </w:tc>
      </w:tr>
      <w:tr>
        <w:trPr>
          <w:trHeight w:val="18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583,000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140,000</w:t>
            </w:r>
          </w:p>
        </w:tc>
        <w:tc>
          <w:tcPr>
            <w:tcW w:w="4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(714,000)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131,000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14"/>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(131,000)</w:t>
            </w:r>
          </w:p>
        </w:tc>
      </w:tr>
      <w:tr>
        <w:trPr>
          <w:trHeight w:val="197"/>
        </w:trPr>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980" w:space="720"/>
            <w:col w:w="2720"/>
          </w:cols>
          <w:pgMar w:left="240" w:top="903" w:right="239" w:bottom="1440" w:gutter="0" w:footer="0" w:header="0"/>
          <w:type w:val="continuous"/>
        </w:sectPr>
      </w:pPr>
    </w:p>
    <w:p>
      <w:pPr>
        <w:jc w:val="both"/>
        <w:spacing w:after="0" w:line="263" w:lineRule="auto"/>
        <w:rPr>
          <w:sz w:val="20"/>
          <w:szCs w:val="20"/>
          <w:color w:val="auto"/>
        </w:rPr>
      </w:pPr>
      <w:r>
        <w:rPr>
          <w:rFonts w:ascii="Arial" w:cs="Arial" w:eastAsia="Arial" w:hAnsi="Arial"/>
          <w:sz w:val="16"/>
          <w:szCs w:val="16"/>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type w:val="continuous"/>
        </w:sectPr>
      </w:pPr>
    </w:p>
    <w:bookmarkStart w:id="63" w:name="page64"/>
    <w:bookmarkEnd w:id="63"/>
    <w:p>
      <w:pPr>
        <w:jc w:val="both"/>
        <w:spacing w:after="0" w:line="265" w:lineRule="auto"/>
        <w:rPr>
          <w:sz w:val="20"/>
          <w:szCs w:val="20"/>
          <w:color w:val="auto"/>
        </w:rPr>
      </w:pPr>
      <w:r>
        <w:rPr>
          <w:rFonts w:ascii="Arial" w:cs="Arial" w:eastAsia="Arial" w:hAnsi="Arial"/>
          <w:sz w:val="16"/>
          <w:szCs w:val="16"/>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6: CONVERTIBLE NOTES PAYABLE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outstanding convertible note obligations:</w:t>
      </w:r>
    </w:p>
    <w:p>
      <w:pPr>
        <w:sectPr>
          <w:pgSz w:w="11900" w:h="16838" w:orient="portrait"/>
          <w:cols w:equalWidth="0" w:num="1">
            <w:col w:w="11420"/>
          </w:cols>
          <w:pgMar w:left="240" w:top="484" w:right="239" w:bottom="1440" w:gutter="0" w:footer="0" w:header="0"/>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Stated</w:t>
            </w:r>
          </w:p>
        </w:tc>
      </w:tr>
      <w:tr>
        <w:trPr>
          <w:trHeight w:val="197"/>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Interest</w:t>
            </w:r>
          </w:p>
        </w:tc>
      </w:tr>
      <w:tr>
        <w:trPr>
          <w:trHeight w:val="218"/>
        </w:trPr>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Issue Date</w:t>
            </w:r>
          </w:p>
        </w:tc>
        <w:tc>
          <w:tcPr>
            <w:tcW w:w="120" w:type="dxa"/>
            <w:vAlign w:val="bottom"/>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8"/>
                <w:szCs w:val="18"/>
                <w:color w:val="auto"/>
              </w:rPr>
            </w:pPr>
          </w:p>
        </w:tc>
      </w:tr>
      <w:tr>
        <w:trPr>
          <w:trHeight w:val="185"/>
        </w:trPr>
        <w:tc>
          <w:tcPr>
            <w:tcW w:w="1300" w:type="dxa"/>
            <w:vAlign w:val="bottom"/>
          </w:tcPr>
          <w:p>
            <w:pPr>
              <w:spacing w:after="0"/>
              <w:rPr>
                <w:sz w:val="20"/>
                <w:szCs w:val="20"/>
                <w:color w:val="auto"/>
              </w:rPr>
            </w:pPr>
            <w:r>
              <w:rPr>
                <w:rFonts w:ascii="Arial" w:cs="Arial" w:eastAsia="Arial" w:hAnsi="Arial"/>
                <w:sz w:val="16"/>
                <w:szCs w:val="16"/>
                <w:color w:val="auto"/>
              </w:rPr>
              <w:t>2/24/2011</w:t>
            </w:r>
          </w:p>
        </w:tc>
        <w:tc>
          <w:tcPr>
            <w:tcW w:w="12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2/24/2014</w:t>
            </w:r>
          </w:p>
        </w:tc>
        <w:tc>
          <w:tcPr>
            <w:tcW w:w="12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4/4/2011</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4/4/2014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6/6/2011</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6/6/2014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8/12/2012</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11/12/2012</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8/20/2012</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8/20/2013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10/15/2012</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10/15/2013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11/20/2012</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11/20/2013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5.0%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12/18/2012</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12/14/2013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9.0%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1/5/2013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5/31/2014</w:t>
            </w:r>
          </w:p>
        </w:tc>
        <w:tc>
          <w:tcPr>
            <w:tcW w:w="120" w:type="dxa"/>
            <w:vAlign w:val="bottom"/>
          </w:tcPr>
          <w:p>
            <w:pPr>
              <w:spacing w:after="0"/>
              <w:rPr>
                <w:sz w:val="17"/>
                <w:szCs w:val="17"/>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None</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1/31/2013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5/31/2014</w:t>
            </w:r>
          </w:p>
        </w:tc>
        <w:tc>
          <w:tcPr>
            <w:tcW w:w="120" w:type="dxa"/>
            <w:vAlign w:val="bottom"/>
          </w:tcPr>
          <w:p>
            <w:pPr>
              <w:spacing w:after="0"/>
              <w:rPr>
                <w:sz w:val="17"/>
                <w:szCs w:val="17"/>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None</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2/27/2013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2/27/2014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5.0%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4/2/2013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6/2/2013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4/18/2013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12/18/2013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5/2/2013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5/31/2014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5/5/2013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7/5/2013</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5/14/2013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5/14/2014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6/27/2013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6/27/2014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5.0%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6/19/2013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6/19/2014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7/12/2013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7/12/2014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10/18/2013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4/18/2014</w:t>
            </w:r>
          </w:p>
        </w:tc>
        <w:tc>
          <w:tcPr>
            <w:tcW w:w="120" w:type="dxa"/>
            <w:vAlign w:val="bottom"/>
          </w:tcPr>
          <w:p>
            <w:pPr>
              <w:spacing w:after="0"/>
              <w:rPr>
                <w:sz w:val="17"/>
                <w:szCs w:val="17"/>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None</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11/1/2013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5/1/2014</w:t>
            </w:r>
          </w:p>
        </w:tc>
        <w:tc>
          <w:tcPr>
            <w:tcW w:w="120" w:type="dxa"/>
            <w:vAlign w:val="bottom"/>
          </w:tcPr>
          <w:p>
            <w:pPr>
              <w:spacing w:after="0"/>
              <w:rPr>
                <w:sz w:val="17"/>
                <w:szCs w:val="17"/>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None</w:t>
            </w:r>
          </w:p>
        </w:tc>
      </w:tr>
      <w:tr>
        <w:trPr>
          <w:trHeight w:val="208"/>
        </w:trPr>
        <w:tc>
          <w:tcPr>
            <w:tcW w:w="1300" w:type="dxa"/>
            <w:vAlign w:val="bottom"/>
          </w:tcPr>
          <w:p>
            <w:pPr>
              <w:spacing w:after="0"/>
              <w:rPr>
                <w:sz w:val="20"/>
                <w:szCs w:val="20"/>
                <w:color w:val="auto"/>
              </w:rPr>
            </w:pPr>
            <w:r>
              <w:rPr>
                <w:rFonts w:ascii="Arial" w:cs="Arial" w:eastAsia="Arial" w:hAnsi="Arial"/>
                <w:sz w:val="16"/>
                <w:szCs w:val="16"/>
                <w:color w:val="auto"/>
              </w:rPr>
              <w:t>12/19/2013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6/19/2014</w:t>
            </w:r>
          </w:p>
        </w:tc>
        <w:tc>
          <w:tcPr>
            <w:tcW w:w="1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None</w:t>
            </w:r>
          </w:p>
        </w:tc>
      </w:tr>
      <w:tr>
        <w:trPr>
          <w:trHeight w:val="222"/>
        </w:trPr>
        <w:tc>
          <w:tcPr>
            <w:tcW w:w="1300" w:type="dxa"/>
            <w:vAlign w:val="bottom"/>
          </w:tcPr>
          <w:p>
            <w:pPr>
              <w:spacing w:after="0"/>
              <w:rPr>
                <w:sz w:val="20"/>
                <w:szCs w:val="20"/>
                <w:color w:val="auto"/>
              </w:rPr>
            </w:pPr>
            <w:r>
              <w:rPr>
                <w:rFonts w:ascii="Arial" w:cs="Arial" w:eastAsia="Arial" w:hAnsi="Arial"/>
                <w:sz w:val="16"/>
                <w:szCs w:val="16"/>
                <w:color w:val="auto"/>
              </w:rPr>
              <w:t>12/23/2013</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6/23/2014</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10.0%</w:t>
            </w:r>
          </w:p>
        </w:tc>
      </w:tr>
    </w:tbl>
    <w:p>
      <w:pPr>
        <w:spacing w:after="0" w:line="1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Total convertible notes</w:t>
      </w:r>
    </w:p>
    <w:p>
      <w:pPr>
        <w:spacing w:after="0" w:line="3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Unamortized note discount</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Principal Balance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December 31,</w:t>
            </w:r>
          </w:p>
        </w:tc>
      </w:tr>
      <w:tr>
        <w:trPr>
          <w:trHeight w:val="218"/>
        </w:trPr>
        <w:tc>
          <w:tcPr>
            <w:tcW w:w="1660" w:type="dxa"/>
            <w:vAlign w:val="bottom"/>
            <w:gridSpan w:val="4"/>
          </w:tcPr>
          <w:p>
            <w:pPr>
              <w:spacing w:after="0"/>
              <w:rPr>
                <w:sz w:val="20"/>
                <w:szCs w:val="20"/>
                <w:color w:val="auto"/>
              </w:rPr>
            </w:pPr>
            <w:r>
              <w:rPr>
                <w:rFonts w:ascii="Arial" w:cs="Arial" w:eastAsia="Arial" w:hAnsi="Arial"/>
                <w:sz w:val="16"/>
                <w:szCs w:val="16"/>
                <w:b w:val="1"/>
                <w:bCs w:val="1"/>
                <w:color w:val="auto"/>
              </w:rPr>
              <w:t>Conversion Terms</w:t>
            </w: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98"/>
              <w:spacing w:after="0"/>
              <w:rPr>
                <w:sz w:val="20"/>
                <w:szCs w:val="20"/>
                <w:color w:val="auto"/>
              </w:rPr>
            </w:pPr>
            <w:r>
              <w:rPr>
                <w:rFonts w:ascii="Arial" w:cs="Arial" w:eastAsia="Arial" w:hAnsi="Arial"/>
                <w:sz w:val="16"/>
                <w:szCs w:val="16"/>
                <w:b w:val="1"/>
                <w:bCs w:val="1"/>
                <w:color w:val="auto"/>
              </w:rPr>
              <w:t>2013</w:t>
            </w:r>
          </w:p>
        </w:tc>
      </w:tr>
      <w:tr>
        <w:trPr>
          <w:trHeight w:val="185"/>
        </w:trPr>
        <w:tc>
          <w:tcPr>
            <w:tcW w:w="1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Variable at $25.00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$ 980,858</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$25.00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215,000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$25.00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$9.00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27,500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$9.00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$12.00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$9.00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10,748</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$10.00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$8.00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452,729</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$4.00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24,135</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$9.00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58,500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$7.00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80,967</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$7.00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31,688</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$3.44</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$7.00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$6.00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$9.00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37,620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$9.00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Fixed at $3.00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96,800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$1.00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94,444</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$1.00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197"/>
        </w:trPr>
        <w:tc>
          <w:tcPr>
            <w:tcW w:w="1660" w:type="dxa"/>
            <w:vAlign w:val="bottom"/>
            <w:gridSpan w:val="4"/>
          </w:tcPr>
          <w:p>
            <w:pPr>
              <w:spacing w:after="0"/>
              <w:rPr>
                <w:sz w:val="20"/>
                <w:szCs w:val="20"/>
                <w:color w:val="auto"/>
              </w:rPr>
            </w:pPr>
            <w:r>
              <w:rPr>
                <w:rFonts w:ascii="Arial" w:cs="Arial" w:eastAsia="Arial" w:hAnsi="Arial"/>
                <w:sz w:val="16"/>
                <w:szCs w:val="16"/>
                <w:color w:val="auto"/>
              </w:rPr>
              <w:t>Variable at $1.00</w:t>
            </w:r>
          </w:p>
        </w:tc>
        <w:tc>
          <w:tcPr>
            <w:tcW w:w="10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277,222</w:t>
            </w:r>
          </w:p>
        </w:tc>
      </w:tr>
      <w:tr>
        <w:trPr>
          <w:trHeight w:val="214"/>
        </w:trPr>
        <w:tc>
          <w:tcPr>
            <w:tcW w:w="1600" w:type="dxa"/>
            <w:vAlign w:val="bottom"/>
            <w:gridSpan w:val="3"/>
          </w:tcPr>
          <w:p>
            <w:pPr>
              <w:spacing w:after="0"/>
              <w:rPr>
                <w:sz w:val="20"/>
                <w:szCs w:val="20"/>
                <w:color w:val="auto"/>
              </w:rPr>
            </w:pPr>
            <w:r>
              <w:rPr>
                <w:rFonts w:ascii="Arial" w:cs="Arial" w:eastAsia="Arial" w:hAnsi="Arial"/>
                <w:sz w:val="16"/>
                <w:szCs w:val="16"/>
                <w:color w:val="auto"/>
              </w:rPr>
              <w:t>Fixed at $7.00</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536,400</w:t>
            </w:r>
          </w:p>
        </w:tc>
      </w:tr>
      <w:tr>
        <w:trPr>
          <w:trHeight w:val="382"/>
        </w:trPr>
        <w:tc>
          <w:tcPr>
            <w:tcW w:w="1660" w:type="dxa"/>
            <w:vAlign w:val="bottom"/>
            <w:gridSpan w:val="4"/>
          </w:tcPr>
          <w:p>
            <w:pPr>
              <w:ind w:left="1580"/>
              <w:spacing w:after="0"/>
              <w:rPr>
                <w:sz w:val="20"/>
                <w:szCs w:val="20"/>
                <w:color w:val="auto"/>
              </w:rPr>
            </w:pPr>
            <w:r>
              <w:rPr>
                <w:rFonts w:ascii="Arial" w:cs="Arial" w:eastAsia="Arial" w:hAnsi="Arial"/>
                <w:sz w:val="15"/>
                <w:szCs w:val="15"/>
                <w:color w:val="auto"/>
                <w:w w:val="71"/>
              </w:rPr>
              <w:t>$</w:t>
            </w:r>
          </w:p>
        </w:tc>
        <w:tc>
          <w:tcPr>
            <w:tcW w:w="1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3,697,611</w:t>
            </w:r>
          </w:p>
        </w:tc>
      </w:tr>
      <w:tr>
        <w:trPr>
          <w:trHeight w:val="214"/>
        </w:trPr>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(535,634)</w:t>
            </w:r>
          </w:p>
        </w:tc>
      </w:tr>
      <w:tr>
        <w:trPr>
          <w:trHeight w:val="197"/>
        </w:trPr>
        <w:tc>
          <w:tcPr>
            <w:tcW w:w="15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3,161,977</w:t>
            </w: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380"/>
            <w:col w:w="6480"/>
          </w:cols>
          <w:pgMar w:left="240" w:top="484" w:right="2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6376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i w:val="1"/>
          <w:iCs w:val="1"/>
          <w:color w:val="auto"/>
        </w:rPr>
        <w:t>Issuance of Convertible Preferred Stock</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the Company issued $418,000 of convertible notes. The notes carried no interest rate and were converted shortly thereafter (see Extinguishment loss) into preferred stock and immediately into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converted to Preferred Stock and immediately converted into common stock</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7: LOANS PAYABLE</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NOTE 8: PROMISSORY NOTES, RELATED PARTY</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2014, a note holder converted outstanding principal of $210,000 and accrued interest of $12,000 into preferred stock which was immediately converted into common shares (see note 6).</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$15,000 (2013 - $nil) of the promissory notes were repaid to an officer and director of the Company.</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NOTE 9: DUE TO RELATED PARTIES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CAPITAL STOCK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Split and increase in authorized shares</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50" w:lineRule="exact"/>
        <w:rPr>
          <w:sz w:val="20"/>
          <w:szCs w:val="20"/>
          <w:color w:val="auto"/>
        </w:rPr>
      </w:pPr>
    </w:p>
    <w:p>
      <w:pPr>
        <w:ind w:left="580" w:hanging="286"/>
        <w:spacing w:after="0"/>
        <w:tabs>
          <w:tab w:leader="none" w:pos="5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rank pari passu to the common stock with respect to rights on liquidation, winding up and dissolution;</w:t>
      </w:r>
    </w:p>
    <w:p>
      <w:pPr>
        <w:spacing w:after="0" w:line="210" w:lineRule="exact"/>
        <w:rPr>
          <w:rFonts w:ascii="Arial" w:cs="Arial" w:eastAsia="Arial" w:hAnsi="Arial"/>
          <w:sz w:val="16"/>
          <w:szCs w:val="16"/>
          <w:color w:val="auto"/>
        </w:rPr>
      </w:pPr>
    </w:p>
    <w:p>
      <w:pPr>
        <w:ind w:left="580" w:hanging="286"/>
        <w:spacing w:after="0"/>
        <w:tabs>
          <w:tab w:leader="none" w:pos="5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have no dividend rights except as may be declared by the Board in its sole and absolute discretion;</w:t>
      </w:r>
    </w:p>
    <w:p>
      <w:pPr>
        <w:spacing w:after="0" w:line="210" w:lineRule="exact"/>
        <w:rPr>
          <w:rFonts w:ascii="Arial" w:cs="Arial" w:eastAsia="Arial" w:hAnsi="Arial"/>
          <w:sz w:val="16"/>
          <w:szCs w:val="16"/>
          <w:color w:val="auto"/>
        </w:rPr>
      </w:pPr>
    </w:p>
    <w:p>
      <w:pPr>
        <w:ind w:left="580" w:right="40" w:hanging="298"/>
        <w:spacing w:after="0" w:line="28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shall have the right to cast one thousand (1,000) votes for each share held of record on all matters submitted to a vote of holders of the Corporation’s common stock; and</w:t>
      </w:r>
    </w:p>
    <w:p>
      <w:pPr>
        <w:spacing w:after="0" w:line="149" w:lineRule="exact"/>
        <w:rPr>
          <w:rFonts w:ascii="Arial" w:cs="Arial" w:eastAsia="Arial" w:hAnsi="Arial"/>
          <w:sz w:val="16"/>
          <w:szCs w:val="16"/>
          <w:color w:val="auto"/>
        </w:rPr>
      </w:pPr>
    </w:p>
    <w:p>
      <w:pPr>
        <w:ind w:left="580" w:hanging="286"/>
        <w:spacing w:after="0"/>
        <w:tabs>
          <w:tab w:leader="none" w:pos="5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shall automatically convert into seven (7) shares of common upon the occurrence of a 1:100 reverse stock split.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5" w:name="page66"/>
    <w:bookmarkEnd w:id="65"/>
    <w:p>
      <w:pPr>
        <w:spacing w:after="0"/>
        <w:rPr>
          <w:sz w:val="20"/>
          <w:szCs w:val="20"/>
          <w:color w:val="auto"/>
        </w:rPr>
      </w:pPr>
      <w:r>
        <w:rPr>
          <w:rFonts w:ascii="Arial" w:cs="Arial" w:eastAsia="Arial" w:hAnsi="Arial"/>
          <w:sz w:val="15"/>
          <w:szCs w:val="15"/>
          <w:color w:val="auto"/>
        </w:rPr>
        <w:t>All prior period share transactions included in the Company’s stock transactions and balances have been retroactively restated for the reverse stock splits described above.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There are no shares outstanding under preferred shares as of December 31, 2014.</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Share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placements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Plan</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expensed portion of the value of the granted and vested options during the year ended December 31, 2014 was $15,000 (2013 - $132,093) which was recorded as stock based consulting and management fees.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purchase options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options as of December 31, 2014 and 2013 and changes during the years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8"/>
              <w:spacing w:after="0"/>
              <w:rPr>
                <w:sz w:val="20"/>
                <w:szCs w:val="20"/>
                <w:color w:val="auto"/>
              </w:rPr>
            </w:pPr>
            <w:r>
              <w:rPr>
                <w:rFonts w:ascii="Arial" w:cs="Arial" w:eastAsia="Arial" w:hAnsi="Arial"/>
                <w:sz w:val="16"/>
                <w:szCs w:val="16"/>
                <w:color w:val="auto"/>
                <w:w w:val="94"/>
              </w:rPr>
              <w:t>Weighted</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1"/>
              </w:rPr>
              <w:t>Weighted</w:t>
            </w:r>
          </w:p>
        </w:tc>
      </w:tr>
      <w:tr>
        <w:trPr>
          <w:trHeight w:val="19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color w:val="auto"/>
              </w:rPr>
              <w:t>Number of</w:t>
            </w:r>
          </w:p>
        </w:tc>
        <w:tc>
          <w:tcPr>
            <w:tcW w:w="100" w:type="dxa"/>
            <w:vAlign w:val="bottom"/>
          </w:tcPr>
          <w:p>
            <w:pPr>
              <w:spacing w:after="0"/>
              <w:rPr>
                <w:sz w:val="17"/>
                <w:szCs w:val="17"/>
                <w:color w:val="auto"/>
              </w:rPr>
            </w:pPr>
          </w:p>
        </w:tc>
        <w:tc>
          <w:tcPr>
            <w:tcW w:w="1060" w:type="dxa"/>
            <w:vAlign w:val="bottom"/>
          </w:tcPr>
          <w:p>
            <w:pPr>
              <w:jc w:val="center"/>
              <w:ind w:right="18"/>
              <w:spacing w:after="0"/>
              <w:rPr>
                <w:sz w:val="20"/>
                <w:szCs w:val="20"/>
                <w:color w:val="auto"/>
              </w:rPr>
            </w:pPr>
            <w:r>
              <w:rPr>
                <w:rFonts w:ascii="Arial" w:cs="Arial" w:eastAsia="Arial" w:hAnsi="Arial"/>
                <w:sz w:val="16"/>
                <w:szCs w:val="16"/>
                <w:color w:val="auto"/>
                <w:w w:val="93"/>
              </w:rPr>
              <w:t>Average</w:t>
            </w:r>
          </w:p>
        </w:tc>
        <w:tc>
          <w:tcPr>
            <w:tcW w:w="24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Average</w:t>
            </w:r>
          </w:p>
        </w:tc>
      </w:tr>
      <w:tr>
        <w:trPr>
          <w:trHeight w:val="214"/>
        </w:trPr>
        <w:tc>
          <w:tcPr>
            <w:tcW w:w="7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Options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3"/>
              </w:rPr>
              <w:t>Exercise Price</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Remaining Life</w:t>
            </w:r>
          </w:p>
        </w:tc>
        <w:tc>
          <w:tcPr>
            <w:tcW w:w="120" w:type="dxa"/>
            <w:vAlign w:val="bottom"/>
          </w:tcPr>
          <w:p>
            <w:pPr>
              <w:spacing w:after="0"/>
              <w:rPr>
                <w:sz w:val="18"/>
                <w:szCs w:val="18"/>
                <w:color w:val="auto"/>
              </w:rPr>
            </w:pPr>
          </w:p>
        </w:tc>
      </w:tr>
      <w:tr>
        <w:trPr>
          <w:trHeight w:val="382"/>
        </w:trPr>
        <w:tc>
          <w:tcPr>
            <w:tcW w:w="7200" w:type="dxa"/>
            <w:vAlign w:val="bottom"/>
          </w:tcPr>
          <w:p>
            <w:pPr>
              <w:spacing w:after="0"/>
              <w:rPr>
                <w:sz w:val="20"/>
                <w:szCs w:val="20"/>
                <w:color w:val="auto"/>
              </w:rPr>
            </w:pPr>
            <w:r>
              <w:rPr>
                <w:rFonts w:ascii="Arial" w:cs="Arial" w:eastAsia="Arial" w:hAnsi="Arial"/>
                <w:sz w:val="16"/>
                <w:szCs w:val="16"/>
                <w:b w:val="1"/>
                <w:bCs w:val="1"/>
                <w:color w:val="auto"/>
              </w:rPr>
              <w:t>Balance, December 31, 2012</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65,430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18.00</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6.05</w:t>
            </w:r>
          </w:p>
        </w:tc>
      </w:tr>
      <w:tr>
        <w:trPr>
          <w:trHeight w:val="197"/>
        </w:trPr>
        <w:tc>
          <w:tcPr>
            <w:tcW w:w="7200" w:type="dxa"/>
            <w:vAlign w:val="bottom"/>
          </w:tcPr>
          <w:p>
            <w:pPr>
              <w:ind w:left="80"/>
              <w:spacing w:after="0"/>
              <w:rPr>
                <w:sz w:val="20"/>
                <w:szCs w:val="20"/>
                <w:color w:val="auto"/>
              </w:rPr>
            </w:pPr>
            <w:r>
              <w:rPr>
                <w:rFonts w:ascii="Arial" w:cs="Arial" w:eastAsia="Arial" w:hAnsi="Arial"/>
                <w:sz w:val="16"/>
                <w:szCs w:val="16"/>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14"/>
        </w:trPr>
        <w:tc>
          <w:tcPr>
            <w:tcW w:w="7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Cancelled/Forfeited</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382"/>
        </w:trPr>
        <w:tc>
          <w:tcPr>
            <w:tcW w:w="7200" w:type="dxa"/>
            <w:vAlign w:val="bottom"/>
          </w:tcPr>
          <w:p>
            <w:pPr>
              <w:spacing w:after="0"/>
              <w:rPr>
                <w:sz w:val="20"/>
                <w:szCs w:val="20"/>
                <w:color w:val="auto"/>
              </w:rPr>
            </w:pPr>
            <w:r>
              <w:rPr>
                <w:rFonts w:ascii="Arial" w:cs="Arial" w:eastAsia="Arial" w:hAnsi="Arial"/>
                <w:sz w:val="16"/>
                <w:szCs w:val="16"/>
                <w:b w:val="1"/>
                <w:bCs w:val="1"/>
                <w:color w:val="auto"/>
              </w:rPr>
              <w:t>Balance, December 31, 2013</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65,430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18.00</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5.04</w:t>
            </w:r>
          </w:p>
        </w:tc>
      </w:tr>
      <w:tr>
        <w:trPr>
          <w:trHeight w:val="197"/>
        </w:trPr>
        <w:tc>
          <w:tcPr>
            <w:tcW w:w="7200" w:type="dxa"/>
            <w:vAlign w:val="bottom"/>
          </w:tcPr>
          <w:p>
            <w:pPr>
              <w:ind w:left="80"/>
              <w:spacing w:after="0"/>
              <w:rPr>
                <w:sz w:val="20"/>
                <w:szCs w:val="20"/>
                <w:color w:val="auto"/>
              </w:rPr>
            </w:pPr>
            <w:r>
              <w:rPr>
                <w:rFonts w:ascii="Arial" w:cs="Arial" w:eastAsia="Arial" w:hAnsi="Arial"/>
                <w:sz w:val="16"/>
                <w:szCs w:val="16"/>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7200" w:type="dxa"/>
            <w:vAlign w:val="bottom"/>
          </w:tcPr>
          <w:p>
            <w:pPr>
              <w:ind w:left="80"/>
              <w:spacing w:after="0"/>
              <w:rPr>
                <w:sz w:val="20"/>
                <w:szCs w:val="20"/>
                <w:color w:val="auto"/>
              </w:rPr>
            </w:pPr>
            <w:r>
              <w:rPr>
                <w:rFonts w:ascii="Arial" w:cs="Arial" w:eastAsia="Arial" w:hAnsi="Arial"/>
                <w:sz w:val="16"/>
                <w:szCs w:val="16"/>
                <w:color w:val="auto"/>
              </w:rPr>
              <w:t>Cancelled/Forfeited</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200" w:type="dxa"/>
            <w:vAlign w:val="bottom"/>
          </w:tcPr>
          <w:p>
            <w:pPr>
              <w:spacing w:after="0"/>
              <w:rPr>
                <w:sz w:val="20"/>
                <w:szCs w:val="20"/>
                <w:color w:val="auto"/>
              </w:rPr>
            </w:pPr>
            <w:r>
              <w:rPr>
                <w:rFonts w:ascii="Arial" w:cs="Arial" w:eastAsia="Arial" w:hAnsi="Arial"/>
                <w:sz w:val="16"/>
                <w:szCs w:val="16"/>
                <w:b w:val="1"/>
                <w:bCs w:val="1"/>
                <w:color w:val="auto"/>
              </w:rPr>
              <w:t>Balance, December 31, 2014</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65,430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18.00</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4.04</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7200" w:type="dxa"/>
            <w:vAlign w:val="bottom"/>
          </w:tcPr>
          <w:p>
            <w:pPr>
              <w:spacing w:after="0"/>
              <w:rPr>
                <w:sz w:val="20"/>
                <w:szCs w:val="20"/>
                <w:color w:val="auto"/>
              </w:rPr>
            </w:pPr>
            <w:r>
              <w:rPr>
                <w:rFonts w:ascii="Arial" w:cs="Arial" w:eastAsia="Arial" w:hAnsi="Arial"/>
                <w:sz w:val="16"/>
                <w:szCs w:val="16"/>
                <w:color w:val="auto"/>
              </w:rPr>
              <w:t>At December 31, 2014, the intrinsic value of the vested options was equal to $nil (2013 - $nil).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1"/>
        </w:trPr>
        <w:tc>
          <w:tcPr>
            <w:tcW w:w="7200" w:type="dxa"/>
            <w:vAlign w:val="bottom"/>
          </w:tcPr>
          <w:p>
            <w:pPr>
              <w:ind w:left="5560"/>
              <w:spacing w:after="0"/>
              <w:rPr>
                <w:sz w:val="20"/>
                <w:szCs w:val="20"/>
                <w:color w:val="auto"/>
              </w:rPr>
            </w:pPr>
            <w:r>
              <w:rPr>
                <w:rFonts w:ascii="Arial" w:cs="Arial" w:eastAsia="Arial" w:hAnsi="Arial"/>
                <w:sz w:val="16"/>
                <w:szCs w:val="16"/>
                <w:color w:val="auto"/>
              </w:rPr>
              <w:t>F-16</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7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A summary of the status of the Company’s unvested options as of December 31, 2014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1"/>
              </w:rPr>
              <w:t>Weighted</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Average</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Grant-Date</w:t>
            </w:r>
          </w:p>
        </w:tc>
      </w:tr>
      <w:tr>
        <w:trPr>
          <w:trHeight w:val="214"/>
        </w:trPr>
        <w:tc>
          <w:tcPr>
            <w:tcW w:w="8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93"/>
              </w:rPr>
              <w:t>Fair Value</w:t>
            </w:r>
          </w:p>
        </w:tc>
        <w:tc>
          <w:tcPr>
            <w:tcW w:w="120" w:type="dxa"/>
            <w:vAlign w:val="bottom"/>
          </w:tcPr>
          <w:p>
            <w:pPr>
              <w:spacing w:after="0"/>
              <w:rPr>
                <w:sz w:val="18"/>
                <w:szCs w:val="18"/>
                <w:color w:val="auto"/>
              </w:rPr>
            </w:pPr>
          </w:p>
        </w:tc>
      </w:tr>
      <w:tr>
        <w:trPr>
          <w:trHeight w:val="382"/>
        </w:trPr>
        <w:tc>
          <w:tcPr>
            <w:tcW w:w="8580" w:type="dxa"/>
            <w:vAlign w:val="bottom"/>
          </w:tcPr>
          <w:p>
            <w:pPr>
              <w:spacing w:after="0"/>
              <w:rPr>
                <w:sz w:val="20"/>
                <w:szCs w:val="20"/>
                <w:color w:val="auto"/>
              </w:rPr>
            </w:pPr>
            <w:r>
              <w:rPr>
                <w:rFonts w:ascii="Arial" w:cs="Arial" w:eastAsia="Arial" w:hAnsi="Arial"/>
                <w:sz w:val="16"/>
                <w:szCs w:val="16"/>
                <w:b w:val="1"/>
                <w:bCs w:val="1"/>
                <w:color w:val="auto"/>
              </w:rPr>
              <w:t>Unvested, December 31, 2013</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1,111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18.00</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Granted</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Vested</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18.00</w:t>
            </w:r>
          </w:p>
        </w:tc>
      </w:tr>
      <w:tr>
        <w:trPr>
          <w:trHeight w:val="209"/>
        </w:trPr>
        <w:tc>
          <w:tcPr>
            <w:tcW w:w="8580" w:type="dxa"/>
            <w:vAlign w:val="bottom"/>
          </w:tcPr>
          <w:p>
            <w:pPr>
              <w:ind w:left="80"/>
              <w:spacing w:after="0"/>
              <w:rPr>
                <w:sz w:val="20"/>
                <w:szCs w:val="20"/>
                <w:color w:val="auto"/>
              </w:rPr>
            </w:pPr>
            <w:r>
              <w:rPr>
                <w:rFonts w:ascii="Arial" w:cs="Arial" w:eastAsia="Arial" w:hAnsi="Arial"/>
                <w:sz w:val="16"/>
                <w:szCs w:val="16"/>
                <w:color w:val="auto"/>
              </w:rPr>
              <w:t>Cancelled</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5"/>
        </w:trPr>
        <w:tc>
          <w:tcPr>
            <w:tcW w:w="8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394"/>
        </w:trPr>
        <w:tc>
          <w:tcPr>
            <w:tcW w:w="8580" w:type="dxa"/>
            <w:vAlign w:val="bottom"/>
          </w:tcPr>
          <w:p>
            <w:pPr>
              <w:spacing w:after="0"/>
              <w:rPr>
                <w:sz w:val="20"/>
                <w:szCs w:val="20"/>
                <w:color w:val="auto"/>
              </w:rPr>
            </w:pPr>
            <w:r>
              <w:rPr>
                <w:rFonts w:ascii="Arial" w:cs="Arial" w:eastAsia="Arial" w:hAnsi="Arial"/>
                <w:sz w:val="16"/>
                <w:szCs w:val="16"/>
                <w:b w:val="1"/>
                <w:bCs w:val="1"/>
                <w:color w:val="auto"/>
              </w:rPr>
              <w:t>Unvested, December 31, 2014</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278</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18.00</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8580" w:type="dxa"/>
            <w:vAlign w:val="bottom"/>
          </w:tcPr>
          <w:p>
            <w:pPr>
              <w:spacing w:after="0"/>
              <w:rPr>
                <w:sz w:val="20"/>
                <w:szCs w:val="20"/>
                <w:color w:val="auto"/>
              </w:rPr>
            </w:pPr>
            <w:r>
              <w:rPr>
                <w:rFonts w:ascii="Arial" w:cs="Arial" w:eastAsia="Arial" w:hAnsi="Arial"/>
                <w:sz w:val="16"/>
                <w:szCs w:val="16"/>
                <w:b w:val="1"/>
                <w:bCs w:val="1"/>
                <w:color w:val="auto"/>
              </w:rPr>
              <w:t>Share Purchase Warrants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December 31, 2014 and changes during the year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94"/>
              </w:rPr>
              <w:t>Weighted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1"/>
              </w:rPr>
              <w:t>Weighted</w:t>
            </w:r>
          </w:p>
        </w:tc>
        <w:tc>
          <w:tcPr>
            <w:tcW w:w="0" w:type="dxa"/>
            <w:vAlign w:val="bottom"/>
          </w:tcPr>
          <w:p>
            <w:pPr>
              <w:spacing w:after="0"/>
              <w:rPr>
                <w:sz w:val="1"/>
                <w:szCs w:val="1"/>
                <w:color w:val="auto"/>
              </w:rPr>
            </w:pPr>
          </w:p>
        </w:tc>
      </w:tr>
      <w:tr>
        <w:trPr>
          <w:trHeight w:val="19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214"/>
        </w:trPr>
        <w:tc>
          <w:tcPr>
            <w:tcW w:w="7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93"/>
              </w:rPr>
              <w:t>Exercise Price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Remaining Life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7200" w:type="dxa"/>
            <w:vAlign w:val="bottom"/>
          </w:tcPr>
          <w:p>
            <w:pPr>
              <w:spacing w:after="0"/>
              <w:rPr>
                <w:sz w:val="20"/>
                <w:szCs w:val="20"/>
                <w:color w:val="auto"/>
              </w:rPr>
            </w:pPr>
            <w:r>
              <w:rPr>
                <w:rFonts w:ascii="Arial" w:cs="Arial" w:eastAsia="Arial" w:hAnsi="Arial"/>
                <w:sz w:val="16"/>
                <w:szCs w:val="16"/>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149,452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25.85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7"/>
        </w:trPr>
        <w:tc>
          <w:tcPr>
            <w:tcW w:w="7200" w:type="dxa"/>
            <w:vAlign w:val="bottom"/>
          </w:tcPr>
          <w:p>
            <w:pPr>
              <w:ind w:left="80"/>
              <w:spacing w:after="0"/>
              <w:rPr>
                <w:sz w:val="20"/>
                <w:szCs w:val="20"/>
                <w:color w:val="auto"/>
              </w:rPr>
            </w:pPr>
            <w:r>
              <w:rPr>
                <w:rFonts w:ascii="Arial" w:cs="Arial" w:eastAsia="Arial" w:hAnsi="Arial"/>
                <w:sz w:val="16"/>
                <w:szCs w:val="16"/>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2,546,132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97"/>
        </w:trPr>
        <w:tc>
          <w:tcPr>
            <w:tcW w:w="7200" w:type="dxa"/>
            <w:vAlign w:val="bottom"/>
          </w:tcPr>
          <w:p>
            <w:pPr>
              <w:ind w:left="80"/>
              <w:spacing w:after="0"/>
              <w:rPr>
                <w:sz w:val="20"/>
                <w:szCs w:val="20"/>
                <w:color w:val="auto"/>
              </w:rPr>
            </w:pPr>
            <w:r>
              <w:rPr>
                <w:rFonts w:ascii="Arial" w:cs="Arial" w:eastAsia="Arial" w:hAnsi="Arial"/>
                <w:sz w:val="16"/>
                <w:szCs w:val="16"/>
                <w:color w:val="auto"/>
              </w:rPr>
              <w:t>Exercised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200" w:type="dxa"/>
            <w:vAlign w:val="bottom"/>
          </w:tcPr>
          <w:p>
            <w:pPr>
              <w:ind w:left="80"/>
              <w:spacing w:after="0"/>
              <w:rPr>
                <w:sz w:val="20"/>
                <w:szCs w:val="20"/>
                <w:color w:val="auto"/>
              </w:rPr>
            </w:pPr>
            <w:r>
              <w:rPr>
                <w:rFonts w:ascii="Arial" w:cs="Arial" w:eastAsia="Arial" w:hAnsi="Arial"/>
                <w:sz w:val="16"/>
                <w:szCs w:val="16"/>
                <w:color w:val="auto"/>
              </w:rPr>
              <w:t>Extinguished or expired</w:t>
            </w: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(36,167)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December 31, 2014</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2,659,417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200" w:type="dxa"/>
            <w:vAlign w:val="bottom"/>
          </w:tcPr>
          <w:p>
            <w:pPr>
              <w:spacing w:after="0"/>
              <w:rPr>
                <w:sz w:val="20"/>
                <w:szCs w:val="20"/>
                <w:color w:val="auto"/>
              </w:rPr>
            </w:pPr>
            <w:r>
              <w:rPr>
                <w:rFonts w:ascii="Arial" w:cs="Arial" w:eastAsia="Arial" w:hAnsi="Arial"/>
                <w:sz w:val="16"/>
                <w:szCs w:val="16"/>
                <w:b w:val="1"/>
                <w:bCs w:val="1"/>
                <w:color w:val="auto"/>
              </w:rPr>
              <w:t>NOTE 11: INCOME TAXES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200" w:type="dxa"/>
            <w:vAlign w:val="bottom"/>
          </w:tcPr>
          <w:p>
            <w:pPr>
              <w:spacing w:after="0"/>
              <w:rPr>
                <w:sz w:val="20"/>
                <w:szCs w:val="20"/>
                <w:color w:val="auto"/>
              </w:rPr>
            </w:pPr>
            <w:r>
              <w:rPr>
                <w:rFonts w:ascii="Arial" w:cs="Arial" w:eastAsia="Arial" w:hAnsi="Arial"/>
                <w:sz w:val="16"/>
                <w:szCs w:val="16"/>
                <w:color w:val="auto"/>
              </w:rPr>
              <w:t>The income tax provision (benefit) for the years ended December 31, 2014 and 2013 are as follows: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Year Ended</w:t>
            </w:r>
          </w:p>
        </w:tc>
        <w:tc>
          <w:tcPr>
            <w:tcW w:w="0" w:type="dxa"/>
            <w:vAlign w:val="bottom"/>
          </w:tcPr>
          <w:p>
            <w:pPr>
              <w:spacing w:after="0"/>
              <w:rPr>
                <w:sz w:val="1"/>
                <w:szCs w:val="1"/>
                <w:color w:val="auto"/>
              </w:rPr>
            </w:pPr>
          </w:p>
        </w:tc>
      </w:tr>
      <w:tr>
        <w:trPr>
          <w:trHeight w:val="19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7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9"/>
        </w:trPr>
        <w:tc>
          <w:tcPr>
            <w:tcW w:w="7200" w:type="dxa"/>
            <w:vAlign w:val="bottom"/>
          </w:tcPr>
          <w:p>
            <w:pPr>
              <w:spacing w:after="0"/>
              <w:rPr>
                <w:sz w:val="20"/>
                <w:szCs w:val="20"/>
                <w:color w:val="auto"/>
              </w:rPr>
            </w:pPr>
            <w:r>
              <w:rPr>
                <w:rFonts w:ascii="Arial" w:cs="Arial" w:eastAsia="Arial" w:hAnsi="Arial"/>
                <w:sz w:val="16"/>
                <w:szCs w:val="16"/>
                <w:color w:val="auto"/>
              </w:rPr>
              <w:t>Federal: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00" w:type="dxa"/>
            <w:vAlign w:val="bottom"/>
          </w:tcPr>
          <w:p>
            <w:pPr>
              <w:ind w:left="160"/>
              <w:spacing w:after="0"/>
              <w:rPr>
                <w:sz w:val="20"/>
                <w:szCs w:val="20"/>
                <w:color w:val="auto"/>
              </w:rPr>
            </w:pPr>
            <w:r>
              <w:rPr>
                <w:rFonts w:ascii="Arial" w:cs="Arial" w:eastAsia="Arial" w:hAnsi="Arial"/>
                <w:sz w:val="16"/>
                <w:szCs w:val="16"/>
                <w:color w:val="auto"/>
              </w:rPr>
              <w:t>Current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200" w:type="dxa"/>
            <w:vAlign w:val="bottom"/>
          </w:tcPr>
          <w:p>
            <w:pPr>
              <w:ind w:left="160"/>
              <w:spacing w:after="0"/>
              <w:rPr>
                <w:sz w:val="20"/>
                <w:szCs w:val="20"/>
                <w:color w:val="auto"/>
              </w:rPr>
            </w:pPr>
            <w:r>
              <w:rPr>
                <w:rFonts w:ascii="Arial" w:cs="Arial" w:eastAsia="Arial" w:hAnsi="Arial"/>
                <w:sz w:val="16"/>
                <w:szCs w:val="16"/>
                <w:color w:val="auto"/>
              </w:rPr>
              <w:t>Deferred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(1,265,000)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(1,321,000)</w:t>
            </w:r>
          </w:p>
        </w:tc>
        <w:tc>
          <w:tcPr>
            <w:tcW w:w="0" w:type="dxa"/>
            <w:vAlign w:val="bottom"/>
          </w:tcPr>
          <w:p>
            <w:pPr>
              <w:spacing w:after="0"/>
              <w:rPr>
                <w:sz w:val="1"/>
                <w:szCs w:val="1"/>
                <w:color w:val="auto"/>
              </w:rPr>
            </w:pPr>
          </w:p>
        </w:tc>
      </w:tr>
      <w:tr>
        <w:trPr>
          <w:trHeight w:val="383"/>
        </w:trPr>
        <w:tc>
          <w:tcPr>
            <w:tcW w:w="7200" w:type="dxa"/>
            <w:vAlign w:val="bottom"/>
          </w:tcPr>
          <w:p>
            <w:pPr>
              <w:spacing w:after="0"/>
              <w:rPr>
                <w:sz w:val="20"/>
                <w:szCs w:val="20"/>
                <w:color w:val="auto"/>
              </w:rPr>
            </w:pPr>
            <w:r>
              <w:rPr>
                <w:rFonts w:ascii="Arial" w:cs="Arial" w:eastAsia="Arial" w:hAnsi="Arial"/>
                <w:sz w:val="16"/>
                <w:szCs w:val="16"/>
                <w:color w:val="auto"/>
              </w:rPr>
              <w:t>State: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00" w:type="dxa"/>
            <w:vAlign w:val="bottom"/>
          </w:tcPr>
          <w:p>
            <w:pPr>
              <w:ind w:left="160"/>
              <w:spacing w:after="0"/>
              <w:rPr>
                <w:sz w:val="20"/>
                <w:szCs w:val="20"/>
                <w:color w:val="auto"/>
              </w:rPr>
            </w:pPr>
            <w:r>
              <w:rPr>
                <w:rFonts w:ascii="Arial" w:cs="Arial" w:eastAsia="Arial" w:hAnsi="Arial"/>
                <w:sz w:val="16"/>
                <w:szCs w:val="16"/>
                <w:color w:val="auto"/>
              </w:rPr>
              <w:t>Current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200" w:type="dxa"/>
            <w:vAlign w:val="bottom"/>
          </w:tcPr>
          <w:p>
            <w:pPr>
              <w:ind w:left="160"/>
              <w:spacing w:after="0"/>
              <w:rPr>
                <w:sz w:val="20"/>
                <w:szCs w:val="20"/>
                <w:color w:val="auto"/>
              </w:rPr>
            </w:pPr>
            <w:r>
              <w:rPr>
                <w:rFonts w:ascii="Arial" w:cs="Arial" w:eastAsia="Arial" w:hAnsi="Arial"/>
                <w:sz w:val="16"/>
                <w:szCs w:val="16"/>
                <w:color w:val="auto"/>
              </w:rPr>
              <w:t>Deferred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(1,265,000)</w:t>
            </w:r>
          </w:p>
        </w:tc>
        <w:tc>
          <w:tcPr>
            <w:tcW w:w="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(1,321,000)</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1,265,000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1,321,000</w:t>
            </w:r>
          </w:p>
        </w:tc>
        <w:tc>
          <w:tcPr>
            <w:tcW w:w="0" w:type="dxa"/>
            <w:vAlign w:val="bottom"/>
          </w:tcPr>
          <w:p>
            <w:pPr>
              <w:spacing w:after="0"/>
              <w:rPr>
                <w:sz w:val="1"/>
                <w:szCs w:val="1"/>
                <w:color w:val="auto"/>
              </w:rPr>
            </w:pPr>
          </w:p>
        </w:tc>
      </w:tr>
      <w:tr>
        <w:trPr>
          <w:trHeight w:val="197"/>
        </w:trPr>
        <w:tc>
          <w:tcPr>
            <w:tcW w:w="7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7200" w:type="dxa"/>
            <w:vAlign w:val="bottom"/>
          </w:tcPr>
          <w:p>
            <w:pPr>
              <w:ind w:left="5560"/>
              <w:spacing w:after="0"/>
              <w:rPr>
                <w:sz w:val="20"/>
                <w:szCs w:val="20"/>
                <w:color w:val="auto"/>
              </w:rPr>
            </w:pPr>
            <w:r>
              <w:rPr>
                <w:rFonts w:ascii="Arial" w:cs="Arial" w:eastAsia="Arial" w:hAnsi="Arial"/>
                <w:sz w:val="16"/>
                <w:szCs w:val="16"/>
                <w:color w:val="auto"/>
              </w:rPr>
              <w:t>F-17</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The effects of temporary differences that give rise to significant portions of the deferred tax assets as of December 31,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868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54521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Ney operating loss carryforwards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Stock-based compensation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Technology licensing fee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Total deferred tax assets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54521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54521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Year Ended</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December 31,</w:t>
            </w:r>
          </w:p>
        </w:tc>
      </w:tr>
      <w:tr>
        <w:trPr>
          <w:trHeight w:val="214"/>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2013</w:t>
            </w:r>
          </w:p>
        </w:tc>
        <w:tc>
          <w:tcPr>
            <w:tcW w:w="40" w:type="dxa"/>
            <w:vAlign w:val="bottom"/>
          </w:tcPr>
          <w:p>
            <w:pPr>
              <w:spacing w:after="0"/>
              <w:rPr>
                <w:sz w:val="18"/>
                <w:szCs w:val="18"/>
                <w:color w:val="auto"/>
              </w:rPr>
            </w:pPr>
          </w:p>
        </w:tc>
      </w:tr>
      <w:tr>
        <w:trPr>
          <w:trHeight w:val="579"/>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10,433,000</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9,174,000</w:t>
            </w:r>
          </w:p>
        </w:tc>
      </w:tr>
      <w:tr>
        <w:trPr>
          <w:trHeight w:val="197"/>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1,871,000</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1,866,000</w:t>
            </w: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167,000</w:t>
            </w:r>
          </w:p>
        </w:tc>
      </w:tr>
      <w:tr>
        <w:trPr>
          <w:trHeight w:val="18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12,471,000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11,207,000</w:t>
            </w:r>
          </w:p>
        </w:tc>
        <w:tc>
          <w:tcPr>
            <w:tcW w:w="4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(12,471,000)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(11,207,000)</w:t>
            </w:r>
          </w:p>
        </w:tc>
      </w:tr>
      <w:tr>
        <w:trPr>
          <w:trHeight w:val="197"/>
        </w:trPr>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720"/>
          </w:cols>
          <w:pgMar w:left="240" w:top="484" w:right="239" w:bottom="1440" w:gutter="0" w:footer="0" w:header="0"/>
          <w:type w:val="continuous"/>
        </w:sectPr>
      </w:pPr>
    </w:p>
    <w:p>
      <w:pPr>
        <w:spacing w:after="0" w:line="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5868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545211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6"/>
          <w:szCs w:val="16"/>
          <w:color w:val="auto"/>
        </w:rPr>
        <w:t>Permanent differences</w:t>
      </w:r>
    </w:p>
    <w:p>
      <w:pPr>
        <w:spacing w:after="0" w:line="24" w:lineRule="exact"/>
        <w:rPr>
          <w:sz w:val="20"/>
          <w:szCs w:val="20"/>
          <w:color w:val="auto"/>
        </w:rPr>
      </w:pPr>
    </w:p>
    <w:p>
      <w:pPr>
        <w:ind w:left="200" w:right="5040" w:hanging="37"/>
        <w:spacing w:after="0" w:line="257"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Non-cash loss on extinguishment of debt -Other permanent differences</w:t>
      </w:r>
    </w:p>
    <w:p>
      <w:pPr>
        <w:ind w:left="80"/>
        <w:spacing w:after="0"/>
        <w:rPr>
          <w:sz w:val="20"/>
          <w:szCs w:val="20"/>
          <w:color w:val="auto"/>
        </w:rPr>
      </w:pPr>
      <w:r>
        <w:rPr>
          <w:rFonts w:ascii="Arial" w:cs="Arial" w:eastAsia="Arial" w:hAnsi="Arial"/>
          <w:sz w:val="16"/>
          <w:szCs w:val="16"/>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4521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4521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21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Year Ended</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December 31,</w:t>
            </w:r>
          </w:p>
        </w:tc>
      </w:tr>
      <w:tr>
        <w:trPr>
          <w:trHeight w:val="214"/>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2013</w:t>
            </w:r>
          </w:p>
        </w:tc>
        <w:tc>
          <w:tcPr>
            <w:tcW w:w="40" w:type="dxa"/>
            <w:vAlign w:val="bottom"/>
          </w:tcPr>
          <w:p>
            <w:pPr>
              <w:spacing w:after="0"/>
              <w:rPr>
                <w:sz w:val="18"/>
                <w:szCs w:val="18"/>
                <w:color w:val="auto"/>
              </w:rPr>
            </w:pPr>
          </w:p>
        </w:tc>
      </w:tr>
      <w:tr>
        <w:trPr>
          <w:trHeight w:val="39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(10,449,000)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(1,881,000)</w:t>
            </w:r>
          </w:p>
        </w:tc>
      </w:tr>
      <w:tr>
        <w:trPr>
          <w:trHeight w:val="58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9,122,000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893,000</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(334,000)</w:t>
            </w: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1,322,000</w:t>
            </w:r>
          </w:p>
        </w:tc>
      </w:tr>
      <w:tr>
        <w:trPr>
          <w:trHeight w:val="197"/>
        </w:trPr>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720"/>
          </w:cols>
          <w:pgMar w:left="240" w:top="484" w:right="239" w:bottom="1440" w:gutter="0" w:footer="0" w:header="0"/>
          <w:type w:val="continuous"/>
        </w:sectPr>
      </w:pP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NOTE 12: CONTINGENCIES AND COMMITMENTS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Consultant Litigation</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One of our suppliers, Fischer Scientific was awarded a judgment against us for $51,000 which is equal to the amount owed to them. We intend on settling that matter in the second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13:SUBSEQUENT EVENTS</w:t>
      </w:r>
    </w:p>
    <w:p>
      <w:pPr>
        <w:spacing w:after="0" w:line="214" w:lineRule="exact"/>
        <w:rPr>
          <w:sz w:val="20"/>
          <w:szCs w:val="20"/>
          <w:color w:val="auto"/>
        </w:rPr>
      </w:pPr>
    </w:p>
    <w:p>
      <w:pPr>
        <w:ind w:left="580" w:right="20" w:hanging="286"/>
        <w:spacing w:after="0" w:line="280" w:lineRule="auto"/>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59" w:lineRule="exact"/>
        <w:rPr>
          <w:rFonts w:ascii="Arial" w:cs="Arial" w:eastAsia="Arial" w:hAnsi="Arial"/>
          <w:sz w:val="15"/>
          <w:szCs w:val="15"/>
          <w:color w:val="auto"/>
        </w:rPr>
      </w:pPr>
    </w:p>
    <w:p>
      <w:pPr>
        <w:ind w:left="580"/>
        <w:spacing w:after="0" w:line="324" w:lineRule="auto"/>
        <w:rPr>
          <w:rFonts w:ascii="Arial" w:cs="Arial" w:eastAsia="Arial" w:hAnsi="Arial"/>
          <w:sz w:val="15"/>
          <w:szCs w:val="15"/>
          <w:color w:val="auto"/>
        </w:rPr>
      </w:pPr>
      <w:r>
        <w:rPr>
          <w:rFonts w:ascii="Arial" w:cs="Arial" w:eastAsia="Arial" w:hAnsi="Arial"/>
          <w:sz w:val="15"/>
          <w:szCs w:val="15"/>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25" w:lineRule="exact"/>
        <w:rPr>
          <w:rFonts w:ascii="Arial" w:cs="Arial" w:eastAsia="Arial" w:hAnsi="Arial"/>
          <w:sz w:val="15"/>
          <w:szCs w:val="15"/>
          <w:color w:val="auto"/>
        </w:rPr>
      </w:pPr>
    </w:p>
    <w:p>
      <w:pPr>
        <w:ind w:left="580" w:right="20" w:hanging="298"/>
        <w:spacing w:after="0" w:line="263"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69" w:lineRule="exact"/>
        <w:rPr>
          <w:rFonts w:ascii="Arial" w:cs="Arial" w:eastAsia="Arial" w:hAnsi="Arial"/>
          <w:sz w:val="16"/>
          <w:szCs w:val="16"/>
          <w:color w:val="auto"/>
        </w:rPr>
      </w:pPr>
    </w:p>
    <w:p>
      <w:pPr>
        <w:ind w:left="580"/>
        <w:spacing w:after="0" w:line="324" w:lineRule="auto"/>
        <w:rPr>
          <w:rFonts w:ascii="Arial" w:cs="Arial" w:eastAsia="Arial" w:hAnsi="Arial"/>
          <w:sz w:val="16"/>
          <w:szCs w:val="16"/>
          <w:color w:val="auto"/>
        </w:rPr>
      </w:pPr>
      <w:r>
        <w:rPr>
          <w:rFonts w:ascii="Arial" w:cs="Arial" w:eastAsia="Arial" w:hAnsi="Arial"/>
          <w:sz w:val="15"/>
          <w:szCs w:val="15"/>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9" w:name="page70"/>
    <w:bookmarkEnd w:id="69"/>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90805</wp:posOffset>
            </wp:positionV>
            <wp:extent cx="726376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218"/>
              <w:spacing w:after="0"/>
              <w:rPr>
                <w:sz w:val="20"/>
                <w:szCs w:val="20"/>
                <w:color w:val="auto"/>
              </w:rPr>
            </w:pPr>
            <w:r>
              <w:rPr>
                <w:rFonts w:ascii="Arial" w:cs="Arial" w:eastAsia="Arial" w:hAnsi="Arial"/>
                <w:sz w:val="16"/>
                <w:szCs w:val="16"/>
                <w:color w:val="auto"/>
                <w:w w:val="95"/>
              </w:rPr>
              <w:t>March 31,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5"/>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3820" w:type="dxa"/>
            <w:vAlign w:val="bottom"/>
            <w:gridSpan w:val="3"/>
            <w:vMerge w:val="restart"/>
          </w:tcPr>
          <w:p>
            <w:pPr>
              <w:jc w:val="right"/>
              <w:ind w:right="2803"/>
              <w:spacing w:after="0"/>
              <w:rPr>
                <w:sz w:val="20"/>
                <w:szCs w:val="20"/>
                <w:color w:val="auto"/>
              </w:rPr>
            </w:pPr>
            <w:r>
              <w:rPr>
                <w:rFonts w:ascii="Arial" w:cs="Arial" w:eastAsia="Arial" w:hAnsi="Arial"/>
                <w:sz w:val="16"/>
                <w:szCs w:val="16"/>
                <w:b w:val="1"/>
                <w:bCs w:val="1"/>
                <w:color w:val="auto"/>
              </w:rPr>
              <w:t>ASSETS</w:t>
            </w:r>
          </w:p>
        </w:tc>
        <w:tc>
          <w:tcPr>
            <w:tcW w:w="1020" w:type="dxa"/>
            <w:vAlign w:val="bottom"/>
          </w:tcPr>
          <w:p>
            <w:pPr>
              <w:jc w:val="center"/>
              <w:ind w:right="58"/>
              <w:spacing w:after="0"/>
              <w:rPr>
                <w:sz w:val="20"/>
                <w:szCs w:val="20"/>
                <w:color w:val="auto"/>
              </w:rPr>
            </w:pPr>
            <w:r>
              <w:rPr>
                <w:rFonts w:ascii="Arial" w:cs="Arial" w:eastAsia="Arial" w:hAnsi="Arial"/>
                <w:sz w:val="16"/>
                <w:szCs w:val="16"/>
                <w:color w:val="auto"/>
                <w:w w:val="95"/>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Current Assets</w:t>
            </w:r>
          </w:p>
        </w:tc>
        <w:tc>
          <w:tcPr>
            <w:tcW w:w="3820" w:type="dxa"/>
            <w:vAlign w:val="bottom"/>
            <w:gridSpan w:val="3"/>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Cash</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1,453,505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141,944</w:t>
            </w:r>
          </w:p>
        </w:tc>
        <w:tc>
          <w:tcPr>
            <w:tcW w:w="0" w:type="dxa"/>
            <w:vAlign w:val="bottom"/>
          </w:tcPr>
          <w:p>
            <w:pPr>
              <w:spacing w:after="0"/>
              <w:rPr>
                <w:sz w:val="1"/>
                <w:szCs w:val="1"/>
                <w:color w:val="auto"/>
              </w:rPr>
            </w:pPr>
          </w:p>
        </w:tc>
      </w:tr>
      <w:tr>
        <w:trPr>
          <w:trHeight w:val="209"/>
        </w:trPr>
        <w:tc>
          <w:tcPr>
            <w:tcW w:w="5020" w:type="dxa"/>
            <w:vAlign w:val="bottom"/>
          </w:tcPr>
          <w:p>
            <w:pPr>
              <w:ind w:left="80"/>
              <w:spacing w:after="0"/>
              <w:rPr>
                <w:sz w:val="20"/>
                <w:szCs w:val="20"/>
                <w:color w:val="auto"/>
              </w:rPr>
            </w:pPr>
            <w:r>
              <w:rPr>
                <w:rFonts w:ascii="Arial" w:cs="Arial" w:eastAsia="Arial" w:hAnsi="Arial"/>
                <w:sz w:val="16"/>
                <w:szCs w:val="16"/>
                <w:color w:val="auto"/>
              </w:rPr>
              <w:t>Prepaid expenses and deposits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82,504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82,504</w:t>
            </w:r>
          </w:p>
        </w:tc>
        <w:tc>
          <w:tcPr>
            <w:tcW w:w="0" w:type="dxa"/>
            <w:vAlign w:val="bottom"/>
          </w:tcPr>
          <w:p>
            <w:pPr>
              <w:spacing w:after="0"/>
              <w:rPr>
                <w:sz w:val="1"/>
                <w:szCs w:val="1"/>
                <w:color w:val="auto"/>
              </w:rPr>
            </w:pPr>
          </w:p>
        </w:tc>
      </w:tr>
      <w:tr>
        <w:trPr>
          <w:trHeight w:val="25"/>
        </w:trPr>
        <w:tc>
          <w:tcPr>
            <w:tcW w:w="50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5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1,536,009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224,448</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840" w:type="dxa"/>
            <w:vAlign w:val="bottom"/>
            <w:gridSpan w:val="4"/>
          </w:tcPr>
          <w:p>
            <w:pPr>
              <w:ind w:left="3440"/>
              <w:spacing w:after="0"/>
              <w:rPr>
                <w:sz w:val="20"/>
                <w:szCs w:val="20"/>
                <w:color w:val="auto"/>
              </w:rPr>
            </w:pPr>
            <w:r>
              <w:rPr>
                <w:rFonts w:ascii="Arial" w:cs="Arial" w:eastAsia="Arial" w:hAnsi="Arial"/>
                <w:sz w:val="16"/>
                <w:szCs w:val="16"/>
                <w:b w:val="1"/>
                <w:bCs w:val="1"/>
                <w:color w:val="auto"/>
              </w:rPr>
              <w:t>LIABILITIES AND STOCKHOLDERS’ EQUITY (DEFICIT)</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Accounts payable and accrued liabilities</w:t>
            </w: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703,323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693,362</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Research agreement obligations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492,365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492,365</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Derivative liability – warrants</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2,052,975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14"/>
        </w:trPr>
        <w:tc>
          <w:tcPr>
            <w:tcW w:w="5020" w:type="dxa"/>
            <w:vAlign w:val="bottom"/>
          </w:tcPr>
          <w:p>
            <w:pPr>
              <w:ind w:left="80"/>
              <w:spacing w:after="0"/>
              <w:rPr>
                <w:sz w:val="20"/>
                <w:szCs w:val="20"/>
                <w:color w:val="auto"/>
              </w:rPr>
            </w:pPr>
            <w:r>
              <w:rPr>
                <w:rFonts w:ascii="Arial" w:cs="Arial" w:eastAsia="Arial" w:hAnsi="Arial"/>
                <w:sz w:val="16"/>
                <w:szCs w:val="16"/>
                <w:color w:val="auto"/>
              </w:rPr>
              <w:t>Promissory notes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52,942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52,942</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3,301,605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1,248,084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50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02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840" w:type="dxa"/>
            <w:vAlign w:val="bottom"/>
            <w:gridSpan w:val="4"/>
          </w:tcPr>
          <w:p>
            <w:pPr>
              <w:spacing w:after="0"/>
              <w:rPr>
                <w:sz w:val="20"/>
                <w:szCs w:val="20"/>
                <w:color w:val="auto"/>
              </w:rPr>
            </w:pPr>
            <w:r>
              <w:rPr>
                <w:rFonts w:ascii="Arial" w:cs="Arial" w:eastAsia="Arial" w:hAnsi="Arial"/>
                <w:sz w:val="16"/>
                <w:szCs w:val="16"/>
                <w:color w:val="auto"/>
              </w:rPr>
              <w:t>Convertible preferred stock, $0.001 par value — 10,000,000 shares authorized: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840" w:type="dxa"/>
            <w:vAlign w:val="bottom"/>
            <w:gridSpan w:val="4"/>
          </w:tcPr>
          <w:p>
            <w:pPr>
              <w:ind w:left="140"/>
              <w:spacing w:after="0"/>
              <w:rPr>
                <w:sz w:val="20"/>
                <w:szCs w:val="20"/>
                <w:color w:val="auto"/>
              </w:rPr>
            </w:pPr>
            <w:r>
              <w:rPr>
                <w:rFonts w:ascii="Arial" w:cs="Arial" w:eastAsia="Arial" w:hAnsi="Arial"/>
                <w:sz w:val="16"/>
                <w:szCs w:val="16"/>
                <w:color w:val="auto"/>
                <w:w w:val="94"/>
              </w:rPr>
              <w:t>Series A, $0.001 par value, 1,250,000 shares designated, -0- shares issued and outstanding as of March 31, 2015 and December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rPr>
              <w:t>31, 2014</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w w:val="90"/>
              </w:rPr>
              <w:t>Series B, $0.001 par value, 1,500,000 shares designated, -0- shares issued</w:t>
            </w:r>
          </w:p>
        </w:tc>
        <w:tc>
          <w:tcPr>
            <w:tcW w:w="3820" w:type="dxa"/>
            <w:vAlign w:val="bottom"/>
            <w:gridSpan w:val="3"/>
          </w:tcPr>
          <w:p>
            <w:pPr>
              <w:jc w:val="right"/>
              <w:ind w:right="223"/>
              <w:spacing w:after="0"/>
              <w:rPr>
                <w:sz w:val="20"/>
                <w:szCs w:val="20"/>
                <w:color w:val="auto"/>
              </w:rPr>
            </w:pPr>
            <w:r>
              <w:rPr>
                <w:rFonts w:ascii="Arial" w:cs="Arial" w:eastAsia="Arial" w:hAnsi="Arial"/>
                <w:sz w:val="16"/>
                <w:szCs w:val="16"/>
                <w:color w:val="auto"/>
                <w:w w:val="92"/>
              </w:rPr>
              <w:t>and outstanding as of March 31, 2015 and December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rPr>
              <w:t>31, 2014</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Common stock, $0.001 par value, 500,000,000 shares authorized</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32,638,811 shares issued and outstanding (2014 – 20,318,815)</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32,639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20,319</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85,493,220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85,265,776</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6"/>
                <w:szCs w:val="16"/>
                <w:color w:val="auto"/>
              </w:rPr>
              <w:t>Accumulated deficit</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
              <w:spacing w:after="0"/>
              <w:rPr>
                <w:sz w:val="20"/>
                <w:szCs w:val="20"/>
                <w:color w:val="auto"/>
              </w:rPr>
            </w:pPr>
            <w:r>
              <w:rPr>
                <w:rFonts w:ascii="Arial" w:cs="Arial" w:eastAsia="Arial" w:hAnsi="Arial"/>
                <w:sz w:val="16"/>
                <w:szCs w:val="16"/>
                <w:color w:val="auto"/>
              </w:rPr>
              <w:t>(87,291,455)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(86,309,731)</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(1,765,596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(1,023,636</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8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1,536,009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224,448</w:t>
            </w:r>
          </w:p>
        </w:tc>
        <w:tc>
          <w:tcPr>
            <w:tcW w:w="0" w:type="dxa"/>
            <w:vAlign w:val="bottom"/>
          </w:tcPr>
          <w:p>
            <w:pPr>
              <w:spacing w:after="0"/>
              <w:rPr>
                <w:sz w:val="1"/>
                <w:szCs w:val="1"/>
                <w:color w:val="auto"/>
              </w:rPr>
            </w:pP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725868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545211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from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Changes in fair value of derivative liabilities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Accretion of discount on convertible notes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and financing charges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545211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income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1587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54521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54521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762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Net Loss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21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54521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762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Number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4521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521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54521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1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0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color w:val="auto"/>
                <w:w w:val="93"/>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Three Months</w:t>
            </w:r>
          </w:p>
        </w:tc>
      </w:tr>
      <w:tr>
        <w:trPr>
          <w:trHeight w:val="197"/>
        </w:trPr>
        <w:tc>
          <w:tcPr>
            <w:tcW w:w="10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Ended</w:t>
            </w:r>
          </w:p>
        </w:tc>
      </w:tr>
      <w:tr>
        <w:trPr>
          <w:trHeight w:val="197"/>
        </w:trPr>
        <w:tc>
          <w:tcPr>
            <w:tcW w:w="10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color w:val="auto"/>
                <w:w w:val="95"/>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March 31,</w:t>
            </w:r>
          </w:p>
        </w:tc>
      </w:tr>
      <w:tr>
        <w:trPr>
          <w:trHeight w:val="214"/>
        </w:trPr>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2014</w:t>
            </w:r>
          </w:p>
        </w:tc>
        <w:tc>
          <w:tcPr>
            <w:tcW w:w="40" w:type="dxa"/>
            <w:vAlign w:val="bottom"/>
          </w:tcPr>
          <w:p>
            <w:pPr>
              <w:spacing w:after="0"/>
              <w:rPr>
                <w:sz w:val="18"/>
                <w:szCs w:val="18"/>
                <w:color w:val="auto"/>
              </w:rPr>
            </w:pPr>
          </w:p>
        </w:tc>
      </w:tr>
      <w:tr>
        <w:trPr>
          <w:trHeight w:val="57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418,786</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1,164,098</w:t>
            </w:r>
          </w:p>
        </w:tc>
      </w:tr>
      <w:tr>
        <w:trPr>
          <w:trHeight w:val="214"/>
        </w:trPr>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609,378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22,500</w:t>
            </w:r>
          </w:p>
        </w:tc>
        <w:tc>
          <w:tcPr>
            <w:tcW w:w="40" w:type="dxa"/>
            <w:vAlign w:val="bottom"/>
          </w:tcPr>
          <w:p>
            <w:pPr>
              <w:spacing w:after="0"/>
              <w:rPr>
                <w:sz w:val="18"/>
                <w:szCs w:val="18"/>
                <w:color w:val="auto"/>
              </w:rPr>
            </w:pPr>
          </w:p>
        </w:tc>
      </w:tr>
      <w:tr>
        <w:trPr>
          <w:trHeight w:val="393"/>
        </w:trPr>
        <w:tc>
          <w:tcPr>
            <w:tcW w:w="10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(1,028,164)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(1,186,598)</w:t>
            </w:r>
          </w:p>
        </w:tc>
      </w:tr>
      <w:tr>
        <w:trPr>
          <w:trHeight w:val="580"/>
        </w:trPr>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46,440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(338,297)</w:t>
            </w:r>
          </w:p>
        </w:tc>
      </w:tr>
      <w:tr>
        <w:trPr>
          <w:trHeight w:val="197"/>
        </w:trPr>
        <w:tc>
          <w:tcPr>
            <w:tcW w:w="1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483,636)</w:t>
            </w:r>
          </w:p>
        </w:tc>
      </w:tr>
      <w:tr>
        <w:trPr>
          <w:trHeight w:val="197"/>
        </w:trPr>
        <w:tc>
          <w:tcPr>
            <w:tcW w:w="1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(35,269)</w:t>
            </w:r>
          </w:p>
        </w:tc>
      </w:tr>
      <w:tr>
        <w:trPr>
          <w:trHeight w:val="210"/>
        </w:trPr>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(27,663,430)</w:t>
            </w:r>
          </w:p>
        </w:tc>
      </w:tr>
      <w:tr>
        <w:trPr>
          <w:trHeight w:val="25"/>
        </w:trPr>
        <w:tc>
          <w:tcPr>
            <w:tcW w:w="100" w:type="dxa"/>
            <w:vAlign w:val="bottom"/>
            <w:shd w:val="clear" w:color="auto" w:fill="000000"/>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394"/>
        </w:trPr>
        <w:tc>
          <w:tcPr>
            <w:tcW w:w="10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(981,724)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(29,707,230)</w:t>
            </w:r>
          </w:p>
        </w:tc>
      </w:tr>
      <w:tr>
        <w:trPr>
          <w:trHeight w:val="25"/>
        </w:trPr>
        <w:tc>
          <w:tcPr>
            <w:tcW w:w="100" w:type="dxa"/>
            <w:vAlign w:val="bottom"/>
            <w:shd w:val="clear" w:color="auto" w:fill="000000"/>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591"/>
        </w:trPr>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(1,249)</w:t>
            </w:r>
          </w:p>
        </w:tc>
      </w:tr>
      <w:tr>
        <w:trPr>
          <w:trHeight w:val="25"/>
        </w:trPr>
        <w:tc>
          <w:tcPr>
            <w:tcW w:w="100" w:type="dxa"/>
            <w:vAlign w:val="bottom"/>
            <w:shd w:val="clear" w:color="auto" w:fill="000000"/>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39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(981,724</w:t>
            </w:r>
            <w:r>
              <w:rPr>
                <w:rFonts w:ascii="Arial" w:cs="Arial" w:eastAsia="Arial" w:hAnsi="Arial"/>
                <w:sz w:val="32"/>
                <w:szCs w:val="32"/>
                <w:color w:val="auto"/>
                <w:vertAlign w:val="subscript"/>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(29,708,479</w:t>
            </w:r>
            <w:r>
              <w:rPr>
                <w:rFonts w:ascii="Arial" w:cs="Arial" w:eastAsia="Arial" w:hAnsi="Arial"/>
                <w:sz w:val="32"/>
                <w:szCs w:val="32"/>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(0.04</w:t>
            </w:r>
            <w:r>
              <w:rPr>
                <w:rFonts w:ascii="Arial" w:cs="Arial" w:eastAsia="Arial" w:hAnsi="Arial"/>
                <w:sz w:val="32"/>
                <w:szCs w:val="32"/>
                <w:color w:val="auto"/>
                <w:vertAlign w:val="subscript"/>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(3.89</w:t>
            </w:r>
            <w:r>
              <w:rPr>
                <w:rFonts w:ascii="Arial" w:cs="Arial" w:eastAsia="Arial" w:hAnsi="Arial"/>
                <w:sz w:val="32"/>
                <w:szCs w:val="32"/>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0"/>
        </w:trPr>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27,611,255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7,631,669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640"/>
          </w:cols>
          <w:pgMar w:left="240" w:top="702" w:right="319" w:bottom="1440" w:gutter="0" w:footer="0" w:header="0"/>
          <w:type w:val="continuous"/>
        </w:sectPr>
      </w:pP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 (DEFICIT)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5"/>
              </w:rPr>
              <w:t>Accumulated</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208"/>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ind w:left="760"/>
              <w:spacing w:after="0"/>
              <w:rPr>
                <w:sz w:val="20"/>
                <w:szCs w:val="20"/>
                <w:color w:val="auto"/>
              </w:rPr>
            </w:pPr>
            <w:r>
              <w:rPr>
                <w:rFonts w:ascii="Arial" w:cs="Arial" w:eastAsia="Arial" w:hAnsi="Arial"/>
                <w:sz w:val="16"/>
                <w:szCs w:val="16"/>
                <w:color w:val="auto"/>
              </w:rPr>
              <w:t>Common Stock</w:t>
            </w: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Additional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Other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3"/>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Paid In</w:t>
            </w:r>
          </w:p>
        </w:tc>
        <w:tc>
          <w:tcPr>
            <w:tcW w:w="100" w:type="dxa"/>
            <w:vAlign w:val="bottom"/>
          </w:tcPr>
          <w:p>
            <w:pPr>
              <w:spacing w:after="0"/>
              <w:rPr>
                <w:sz w:val="24"/>
                <w:szCs w:val="24"/>
                <w:color w:val="auto"/>
              </w:rPr>
            </w:pPr>
          </w:p>
        </w:tc>
        <w:tc>
          <w:tcPr>
            <w:tcW w:w="1380" w:type="dxa"/>
            <w:vAlign w:val="bottom"/>
            <w:gridSpan w:val="2"/>
          </w:tcPr>
          <w:p>
            <w:pPr>
              <w:jc w:val="right"/>
              <w:ind w:right="298"/>
              <w:spacing w:after="0"/>
              <w:rPr>
                <w:sz w:val="20"/>
                <w:szCs w:val="20"/>
                <w:color w:val="auto"/>
              </w:rPr>
            </w:pPr>
            <w:r>
              <w:rPr>
                <w:rFonts w:ascii="Arial" w:cs="Arial" w:eastAsia="Arial" w:hAnsi="Arial"/>
                <w:sz w:val="16"/>
                <w:szCs w:val="16"/>
                <w:color w:val="auto"/>
              </w:rPr>
              <w:t>Accumulated</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Comprehensive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1400" w:type="dxa"/>
            <w:vAlign w:val="bottom"/>
            <w:gridSpan w:val="2"/>
          </w:tcPr>
          <w:p>
            <w:pPr>
              <w:ind w:left="320"/>
              <w:spacing w:after="0"/>
              <w:rPr>
                <w:sz w:val="20"/>
                <w:szCs w:val="20"/>
                <w:color w:val="auto"/>
              </w:rPr>
            </w:pPr>
            <w:r>
              <w:rPr>
                <w:rFonts w:ascii="Arial" w:cs="Arial" w:eastAsia="Arial" w:hAnsi="Arial"/>
                <w:sz w:val="16"/>
                <w:szCs w:val="16"/>
                <w:color w:val="auto"/>
              </w:rPr>
              <w:t>Amount</w:t>
            </w: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17"/>
                <w:szCs w:val="17"/>
                <w:color w:val="auto"/>
              </w:rPr>
            </w:pPr>
          </w:p>
        </w:tc>
        <w:tc>
          <w:tcPr>
            <w:tcW w:w="1380" w:type="dxa"/>
            <w:vAlign w:val="bottom"/>
            <w:gridSpan w:val="2"/>
          </w:tcPr>
          <w:p>
            <w:pPr>
              <w:jc w:val="right"/>
              <w:ind w:right="498"/>
              <w:spacing w:after="0"/>
              <w:rPr>
                <w:sz w:val="20"/>
                <w:szCs w:val="20"/>
                <w:color w:val="auto"/>
              </w:rPr>
            </w:pPr>
            <w:r>
              <w:rPr>
                <w:rFonts w:ascii="Arial" w:cs="Arial" w:eastAsia="Arial" w:hAnsi="Arial"/>
                <w:sz w:val="16"/>
                <w:szCs w:val="16"/>
                <w:color w:val="auto"/>
              </w:rPr>
              <w:t>Deficit</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Loss</w:t>
            </w:r>
          </w:p>
        </w:tc>
        <w:tc>
          <w:tcPr>
            <w:tcW w:w="120" w:type="dxa"/>
            <w:vAlign w:val="bottom"/>
          </w:tcPr>
          <w:p>
            <w:pPr>
              <w:spacing w:after="0"/>
              <w:rPr>
                <w:sz w:val="17"/>
                <w:szCs w:val="17"/>
                <w:color w:val="auto"/>
              </w:rPr>
            </w:pPr>
          </w:p>
        </w:tc>
        <w:tc>
          <w:tcPr>
            <w:tcW w:w="1280" w:type="dxa"/>
            <w:vAlign w:val="bottom"/>
            <w:gridSpan w:val="2"/>
          </w:tcPr>
          <w:p>
            <w:pPr>
              <w:jc w:val="right"/>
              <w:ind w:right="499"/>
              <w:spacing w:after="0"/>
              <w:rPr>
                <w:sz w:val="20"/>
                <w:szCs w:val="20"/>
                <w:color w:val="auto"/>
              </w:rPr>
            </w:pPr>
            <w:r>
              <w:rPr>
                <w:rFonts w:ascii="Arial" w:cs="Arial" w:eastAsia="Arial" w:hAnsi="Arial"/>
                <w:sz w:val="16"/>
                <w:szCs w:val="16"/>
                <w:color w:val="auto"/>
              </w:rPr>
              <w:t>Total</w:t>
            </w:r>
          </w:p>
        </w:tc>
      </w:tr>
      <w:tr>
        <w:trPr>
          <w:trHeight w:val="214"/>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97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97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240" w:type="dxa"/>
            <w:vAlign w:val="bottom"/>
            <w:gridSpan w:val="2"/>
          </w:tcPr>
          <w:p>
            <w:pPr>
              <w:jc w:val="right"/>
              <w:ind w:right="97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99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08"/>
        </w:trPr>
        <w:tc>
          <w:tcPr>
            <w:tcW w:w="3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2014</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20,318,816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20,319</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85,265,776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(86,309,731)</w:t>
            </w:r>
          </w:p>
        </w:tc>
        <w:tc>
          <w:tcPr>
            <w:tcW w:w="240" w:type="dxa"/>
            <w:vAlign w:val="bottom"/>
          </w:tcPr>
          <w:p>
            <w:pPr>
              <w:spacing w:after="0"/>
              <w:rPr>
                <w:sz w:val="18"/>
                <w:szCs w:val="18"/>
                <w:color w:val="auto"/>
              </w:rPr>
            </w:pPr>
          </w:p>
        </w:tc>
        <w:tc>
          <w:tcPr>
            <w:tcW w:w="1140" w:type="dxa"/>
            <w:vAlign w:val="bottom"/>
            <w:tcBorders>
              <w:top w:val="single" w:sz="8" w:color="auto"/>
            </w:tcBorders>
          </w:tcPr>
          <w:p>
            <w:pPr>
              <w:ind w:left="1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(1,023,636)</w:t>
            </w:r>
          </w:p>
        </w:tc>
        <w:tc>
          <w:tcPr>
            <w:tcW w:w="120" w:type="dxa"/>
            <w:vAlign w:val="bottom"/>
          </w:tcPr>
          <w:p>
            <w:pPr>
              <w:spacing w:after="0"/>
              <w:rPr>
                <w:sz w:val="18"/>
                <w:szCs w:val="18"/>
                <w:color w:val="auto"/>
              </w:rPr>
            </w:pPr>
          </w:p>
        </w:tc>
      </w:tr>
      <w:tr>
        <w:trPr>
          <w:trHeight w:val="370"/>
        </w:trPr>
        <w:tc>
          <w:tcPr>
            <w:tcW w:w="3060" w:type="dxa"/>
            <w:vAlign w:val="bottom"/>
          </w:tcPr>
          <w:p>
            <w:pPr>
              <w:spacing w:after="0"/>
              <w:rPr>
                <w:sz w:val="20"/>
                <w:szCs w:val="20"/>
                <w:color w:val="auto"/>
              </w:rPr>
            </w:pPr>
            <w:r>
              <w:rPr>
                <w:rFonts w:ascii="Arial" w:cs="Arial" w:eastAsia="Arial" w:hAnsi="Arial"/>
                <w:sz w:val="16"/>
                <w:szCs w:val="16"/>
                <w:color w:val="auto"/>
              </w:rPr>
              <w:t>Private placement (net of finders’ fee of</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3060" w:type="dxa"/>
            <w:vAlign w:val="bottom"/>
          </w:tcPr>
          <w:p>
            <w:pPr>
              <w:spacing w:after="0"/>
              <w:rPr>
                <w:sz w:val="20"/>
                <w:szCs w:val="20"/>
                <w:color w:val="auto"/>
              </w:rPr>
            </w:pPr>
            <w:r>
              <w:rPr>
                <w:rFonts w:ascii="Arial" w:cs="Arial" w:eastAsia="Arial" w:hAnsi="Arial"/>
                <w:sz w:val="16"/>
                <w:szCs w:val="16"/>
                <w:color w:val="auto"/>
              </w:rPr>
              <w:t>$140,000)</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12,319,995</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12,320</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2,313,694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79"/>
              <w:spacing w:after="0"/>
              <w:rPr>
                <w:sz w:val="20"/>
                <w:szCs w:val="20"/>
                <w:color w:val="auto"/>
              </w:rPr>
            </w:pPr>
            <w:r>
              <w:rPr>
                <w:rFonts w:ascii="Arial" w:cs="Arial" w:eastAsia="Arial" w:hAnsi="Arial"/>
                <w:sz w:val="16"/>
                <w:szCs w:val="16"/>
                <w:color w:val="auto"/>
              </w:rPr>
              <w:t>2,326,014</w:t>
            </w:r>
          </w:p>
        </w:tc>
      </w:tr>
      <w:tr>
        <w:trPr>
          <w:trHeight w:val="197"/>
        </w:trPr>
        <w:tc>
          <w:tcPr>
            <w:tcW w:w="3060" w:type="dxa"/>
            <w:vAlign w:val="bottom"/>
          </w:tcPr>
          <w:p>
            <w:pPr>
              <w:spacing w:after="0"/>
              <w:rPr>
                <w:sz w:val="20"/>
                <w:szCs w:val="20"/>
                <w:color w:val="auto"/>
              </w:rPr>
            </w:pPr>
            <w:r>
              <w:rPr>
                <w:rFonts w:ascii="Arial" w:cs="Arial" w:eastAsia="Arial" w:hAnsi="Arial"/>
                <w:sz w:val="16"/>
                <w:szCs w:val="16"/>
                <w:color w:val="auto"/>
              </w:rPr>
              <w:t>Fair value of warrants recognized as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060" w:type="dxa"/>
            <w:vAlign w:val="bottom"/>
          </w:tcPr>
          <w:p>
            <w:pPr>
              <w:spacing w:after="0"/>
              <w:rPr>
                <w:sz w:val="20"/>
                <w:szCs w:val="20"/>
                <w:color w:val="auto"/>
              </w:rPr>
            </w:pPr>
            <w:r>
              <w:rPr>
                <w:rFonts w:ascii="Arial" w:cs="Arial" w:eastAsia="Arial" w:hAnsi="Arial"/>
                <w:sz w:val="16"/>
                <w:szCs w:val="16"/>
                <w:color w:val="auto"/>
              </w:rPr>
              <w:t>derivative liabilities</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(2,090,000)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39"/>
              <w:spacing w:after="0"/>
              <w:rPr>
                <w:sz w:val="20"/>
                <w:szCs w:val="20"/>
                <w:color w:val="auto"/>
              </w:rPr>
            </w:pPr>
            <w:r>
              <w:rPr>
                <w:rFonts w:ascii="Arial" w:cs="Arial" w:eastAsia="Arial" w:hAnsi="Arial"/>
                <w:sz w:val="16"/>
                <w:szCs w:val="16"/>
                <w:color w:val="auto"/>
              </w:rPr>
              <w:t>(2,090,000)</w:t>
            </w:r>
          </w:p>
        </w:tc>
      </w:tr>
      <w:tr>
        <w:trPr>
          <w:trHeight w:val="197"/>
        </w:trPr>
        <w:tc>
          <w:tcPr>
            <w:tcW w:w="306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3,750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79"/>
              <w:spacing w:after="0"/>
              <w:rPr>
                <w:sz w:val="20"/>
                <w:szCs w:val="20"/>
                <w:color w:val="auto"/>
              </w:rPr>
            </w:pPr>
            <w:r>
              <w:rPr>
                <w:rFonts w:ascii="Arial" w:cs="Arial" w:eastAsia="Arial" w:hAnsi="Arial"/>
                <w:sz w:val="16"/>
                <w:szCs w:val="16"/>
                <w:color w:val="auto"/>
              </w:rPr>
              <w:t>3,750</w:t>
            </w:r>
          </w:p>
        </w:tc>
      </w:tr>
      <w:tr>
        <w:trPr>
          <w:trHeight w:val="214"/>
        </w:trPr>
        <w:tc>
          <w:tcPr>
            <w:tcW w:w="3060" w:type="dxa"/>
            <w:vAlign w:val="bottom"/>
          </w:tcPr>
          <w:p>
            <w:pPr>
              <w:spacing w:after="0"/>
              <w:rPr>
                <w:sz w:val="20"/>
                <w:szCs w:val="20"/>
                <w:color w:val="auto"/>
              </w:rPr>
            </w:pPr>
            <w:r>
              <w:rPr>
                <w:rFonts w:ascii="Arial" w:cs="Arial" w:eastAsia="Arial" w:hAnsi="Arial"/>
                <w:sz w:val="16"/>
                <w:szCs w:val="16"/>
                <w:color w:val="auto"/>
              </w:rPr>
              <w:t>Net loss</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98"/>
              <w:spacing w:after="0"/>
              <w:rPr>
                <w:sz w:val="20"/>
                <w:szCs w:val="20"/>
                <w:color w:val="auto"/>
              </w:rPr>
            </w:pPr>
            <w:r>
              <w:rPr>
                <w:rFonts w:ascii="Arial" w:cs="Arial" w:eastAsia="Arial" w:hAnsi="Arial"/>
                <w:sz w:val="16"/>
                <w:szCs w:val="16"/>
                <w:color w:val="auto"/>
              </w:rPr>
              <w:t>(981,724)</w:t>
            </w:r>
          </w:p>
        </w:tc>
        <w:tc>
          <w:tcPr>
            <w:tcW w:w="128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39"/>
              <w:spacing w:after="0"/>
              <w:rPr>
                <w:sz w:val="20"/>
                <w:szCs w:val="20"/>
                <w:color w:val="auto"/>
              </w:rPr>
            </w:pPr>
            <w:r>
              <w:rPr>
                <w:rFonts w:ascii="Arial" w:cs="Arial" w:eastAsia="Arial" w:hAnsi="Arial"/>
                <w:sz w:val="16"/>
                <w:szCs w:val="16"/>
                <w:color w:val="auto"/>
              </w:rPr>
              <w:t>(981,724)</w:t>
            </w:r>
          </w:p>
        </w:tc>
      </w:tr>
      <w:tr>
        <w:trPr>
          <w:trHeight w:val="197"/>
        </w:trPr>
        <w:tc>
          <w:tcPr>
            <w:tcW w:w="306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6"/>
                <w:szCs w:val="16"/>
                <w:color w:val="auto"/>
              </w:rPr>
              <w:t>Balance, March 31, 2015</w:t>
            </w: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32,638,811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32,639</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85,493,220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(87,291,455</w:t>
            </w:r>
          </w:p>
        </w:tc>
        <w:tc>
          <w:tcPr>
            <w:tcW w:w="240" w:type="dxa"/>
            <w:vAlign w:val="bottom"/>
          </w:tcPr>
          <w:p>
            <w:pPr>
              <w:jc w:val="right"/>
              <w:ind w:right="98"/>
              <w:spacing w:after="0" w:line="177" w:lineRule="exact"/>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(1,765,596</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178"/>
              <w:spacing w:after="0"/>
              <w:rPr>
                <w:sz w:val="20"/>
                <w:szCs w:val="20"/>
                <w:color w:val="auto"/>
              </w:rPr>
            </w:pPr>
            <w:r>
              <w:rPr>
                <w:rFonts w:ascii="Arial" w:cs="Arial" w:eastAsia="Arial" w:hAnsi="Arial"/>
                <w:sz w:val="16"/>
                <w:szCs w:val="16"/>
                <w:color w:val="auto"/>
                <w:w w:val="93"/>
              </w:rPr>
              <w:t>Three Months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159"/>
              <w:spacing w:after="0"/>
              <w:rPr>
                <w:sz w:val="20"/>
                <w:szCs w:val="20"/>
                <w:color w:val="auto"/>
              </w:rPr>
            </w:pPr>
            <w:r>
              <w:rPr>
                <w:rFonts w:ascii="Arial" w:cs="Arial" w:eastAsia="Arial" w:hAnsi="Arial"/>
                <w:sz w:val="16"/>
                <w:szCs w:val="16"/>
                <w:color w:val="auto"/>
                <w:w w:val="93"/>
              </w:rPr>
              <w:t>Three Months</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58"/>
              <w:spacing w:after="0"/>
              <w:rPr>
                <w:sz w:val="20"/>
                <w:szCs w:val="20"/>
                <w:color w:val="auto"/>
              </w:rPr>
            </w:pPr>
            <w:r>
              <w:rPr>
                <w:rFonts w:ascii="Arial" w:cs="Arial" w:eastAsia="Arial" w:hAnsi="Arial"/>
                <w:sz w:val="16"/>
                <w:szCs w:val="16"/>
                <w:color w:val="auto"/>
                <w:w w:val="90"/>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79"/>
              <w:spacing w:after="0"/>
              <w:rPr>
                <w:sz w:val="20"/>
                <w:szCs w:val="20"/>
                <w:color w:val="auto"/>
              </w:rPr>
            </w:pPr>
            <w:r>
              <w:rPr>
                <w:rFonts w:ascii="Arial" w:cs="Arial" w:eastAsia="Arial" w:hAnsi="Arial"/>
                <w:sz w:val="16"/>
                <w:szCs w:val="16"/>
                <w:color w:val="auto"/>
                <w:w w:val="90"/>
              </w:rPr>
              <w:t>Ended</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78"/>
              <w:spacing w:after="0"/>
              <w:rPr>
                <w:sz w:val="20"/>
                <w:szCs w:val="20"/>
                <w:color w:val="auto"/>
              </w:rPr>
            </w:pPr>
            <w:r>
              <w:rPr>
                <w:rFonts w:ascii="Arial" w:cs="Arial" w:eastAsia="Arial" w:hAnsi="Arial"/>
                <w:sz w:val="16"/>
                <w:szCs w:val="16"/>
                <w:color w:val="auto"/>
                <w:w w:val="95"/>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99"/>
              <w:spacing w:after="0"/>
              <w:rPr>
                <w:sz w:val="20"/>
                <w:szCs w:val="20"/>
                <w:color w:val="auto"/>
              </w:rPr>
            </w:pPr>
            <w:r>
              <w:rPr>
                <w:rFonts w:ascii="Arial" w:cs="Arial" w:eastAsia="Arial" w:hAnsi="Arial"/>
                <w:sz w:val="16"/>
                <w:szCs w:val="16"/>
                <w:color w:val="auto"/>
                <w:w w:val="95"/>
              </w:rPr>
              <w:t>March 31,</w:t>
            </w:r>
          </w:p>
        </w:tc>
      </w:tr>
      <w:tr>
        <w:trPr>
          <w:trHeight w:val="214"/>
        </w:trPr>
        <w:tc>
          <w:tcPr>
            <w:tcW w:w="8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18"/>
                <w:szCs w:val="18"/>
                <w:color w:val="auto"/>
              </w:rPr>
            </w:pPr>
          </w:p>
        </w:tc>
      </w:tr>
      <w:tr>
        <w:trPr>
          <w:trHeight w:val="382"/>
        </w:trPr>
        <w:tc>
          <w:tcPr>
            <w:tcW w:w="85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(981,724)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(29,707,230)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Adjustments to reconcile net loss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net cash from operating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6"/>
                <w:szCs w:val="16"/>
                <w:color w:val="auto"/>
              </w:rPr>
              <w:t>(46,440)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338,297</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27,663,430</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Non-cash interest and finance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483,636</w:t>
            </w: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690,000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8580" w:type="dxa"/>
            <w:vAlign w:val="bottom"/>
          </w:tcPr>
          <w:p>
            <w:pPr>
              <w:ind w:left="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9, 961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158,913</w:t>
            </w:r>
          </w:p>
        </w:tc>
      </w:tr>
      <w:tr>
        <w:trPr>
          <w:trHeight w:val="202"/>
        </w:trPr>
        <w:tc>
          <w:tcPr>
            <w:tcW w:w="8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(1,014,453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(372,954</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r>
      <w:tr>
        <w:trPr>
          <w:trHeight w:val="382"/>
        </w:trPr>
        <w:tc>
          <w:tcPr>
            <w:tcW w:w="85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ind w:left="80"/>
              <w:spacing w:after="0"/>
              <w:rPr>
                <w:sz w:val="20"/>
                <w:szCs w:val="20"/>
                <w:color w:val="auto"/>
              </w:rPr>
            </w:pPr>
            <w:r>
              <w:rPr>
                <w:rFonts w:ascii="Arial" w:cs="Arial" w:eastAsia="Arial" w:hAnsi="Arial"/>
                <w:sz w:val="16"/>
                <w:szCs w:val="16"/>
                <w:color w:val="auto"/>
              </w:rPr>
              <w:t>Issuance of shares, net of issuance costs of $140,000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2,326,014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r>
      <w:tr>
        <w:trPr>
          <w:trHeight w:val="214"/>
        </w:trPr>
        <w:tc>
          <w:tcPr>
            <w:tcW w:w="8580" w:type="dxa"/>
            <w:vAlign w:val="bottom"/>
          </w:tcPr>
          <w:p>
            <w:pPr>
              <w:ind w:left="80"/>
              <w:spacing w:after="0"/>
              <w:rPr>
                <w:sz w:val="20"/>
                <w:szCs w:val="20"/>
                <w:color w:val="auto"/>
              </w:rPr>
            </w:pPr>
            <w:r>
              <w:rPr>
                <w:rFonts w:ascii="Arial" w:cs="Arial" w:eastAsia="Arial" w:hAnsi="Arial"/>
                <w:sz w:val="16"/>
                <w:szCs w:val="16"/>
                <w:color w:val="auto"/>
              </w:rPr>
              <w:t>Convertible note issuance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418,000</w:t>
            </w:r>
          </w:p>
        </w:tc>
      </w:tr>
      <w:tr>
        <w:trPr>
          <w:trHeight w:val="202"/>
        </w:trPr>
        <w:tc>
          <w:tcPr>
            <w:tcW w:w="8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2,326,014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418,000</w:t>
            </w:r>
          </w:p>
        </w:tc>
        <w:tc>
          <w:tcPr>
            <w:tcW w:w="120" w:type="dxa"/>
            <w:vAlign w:val="bottom"/>
          </w:tcPr>
          <w:p>
            <w:pPr>
              <w:spacing w:after="0"/>
              <w:rPr>
                <w:sz w:val="17"/>
                <w:szCs w:val="17"/>
                <w:color w:val="auto"/>
              </w:rPr>
            </w:pPr>
          </w:p>
        </w:tc>
      </w:tr>
      <w:tr>
        <w:trPr>
          <w:trHeight w:val="393"/>
        </w:trPr>
        <w:tc>
          <w:tcPr>
            <w:tcW w:w="8580" w:type="dxa"/>
            <w:vAlign w:val="bottom"/>
          </w:tcPr>
          <w:p>
            <w:pPr>
              <w:spacing w:after="0"/>
              <w:rPr>
                <w:sz w:val="20"/>
                <w:szCs w:val="20"/>
                <w:color w:val="auto"/>
              </w:rPr>
            </w:pPr>
            <w:r>
              <w:rPr>
                <w:rFonts w:ascii="Arial" w:cs="Arial" w:eastAsia="Arial" w:hAnsi="Arial"/>
                <w:sz w:val="16"/>
                <w:szCs w:val="16"/>
                <w:b w:val="1"/>
                <w:bCs w:val="1"/>
                <w:color w:val="auto"/>
              </w:rPr>
              <w:t>INCREASE IN CASH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1,311,561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45,046</w:t>
            </w:r>
          </w:p>
        </w:tc>
      </w:tr>
      <w:tr>
        <w:trPr>
          <w:trHeight w:val="400"/>
        </w:trPr>
        <w:tc>
          <w:tcPr>
            <w:tcW w:w="8580" w:type="dxa"/>
            <w:vAlign w:val="bottom"/>
          </w:tcPr>
          <w:p>
            <w:pPr>
              <w:spacing w:after="0"/>
              <w:rPr>
                <w:sz w:val="20"/>
                <w:szCs w:val="20"/>
                <w:color w:val="auto"/>
              </w:rPr>
            </w:pPr>
            <w:r>
              <w:rPr>
                <w:rFonts w:ascii="Arial" w:cs="Arial" w:eastAsia="Arial" w:hAnsi="Arial"/>
                <w:sz w:val="16"/>
                <w:szCs w:val="16"/>
                <w:b w:val="1"/>
                <w:bCs w:val="1"/>
                <w:color w:val="auto"/>
              </w:rPr>
              <w:t>CASH, BEGINNING OF PERIOD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141,944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48,589</w:t>
            </w:r>
          </w:p>
        </w:tc>
      </w:tr>
      <w:tr>
        <w:trPr>
          <w:trHeight w:val="197"/>
        </w:trPr>
        <w:tc>
          <w:tcPr>
            <w:tcW w:w="8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CASH, END OF PERIOD</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1,453,505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93,635</w:t>
            </w:r>
          </w:p>
        </w:tc>
        <w:tc>
          <w:tcPr>
            <w:tcW w:w="120" w:type="dxa"/>
            <w:vAlign w:val="bottom"/>
          </w:tcPr>
          <w:p>
            <w:pPr>
              <w:spacing w:after="0"/>
              <w:rPr>
                <w:sz w:val="17"/>
                <w:szCs w:val="17"/>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Three Months</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3"/>
              </w:rPr>
              <w:t>Three Months</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18"/>
              <w:spacing w:after="0"/>
              <w:rPr>
                <w:sz w:val="20"/>
                <w:szCs w:val="20"/>
                <w:color w:val="auto"/>
              </w:rPr>
            </w:pPr>
            <w:r>
              <w:rPr>
                <w:rFonts w:ascii="Arial" w:cs="Arial" w:eastAsia="Arial" w:hAnsi="Arial"/>
                <w:sz w:val="16"/>
                <w:szCs w:val="16"/>
                <w:color w:val="auto"/>
                <w:w w:val="90"/>
              </w:rPr>
              <w:t>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Ended</w:t>
            </w:r>
          </w:p>
        </w:tc>
      </w:tr>
      <w:tr>
        <w:trPr>
          <w:trHeight w:val="197"/>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March 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March 31,</w:t>
            </w:r>
          </w:p>
        </w:tc>
      </w:tr>
      <w:tr>
        <w:trPr>
          <w:trHeight w:val="214"/>
        </w:trPr>
        <w:tc>
          <w:tcPr>
            <w:tcW w:w="8580" w:type="dxa"/>
            <w:vAlign w:val="bottom"/>
          </w:tcPr>
          <w:p>
            <w:pPr>
              <w:spacing w:after="0"/>
              <w:rPr>
                <w:sz w:val="18"/>
                <w:szCs w:val="18"/>
                <w:color w:val="auto"/>
              </w:rPr>
            </w:pPr>
          </w:p>
        </w:tc>
        <w:tc>
          <w:tcPr>
            <w:tcW w:w="1200" w:type="dxa"/>
            <w:vAlign w:val="bottom"/>
            <w:gridSpan w:val="2"/>
          </w:tcPr>
          <w:p>
            <w:pPr>
              <w:jc w:val="center"/>
              <w:ind w:left="138"/>
              <w:spacing w:after="0"/>
              <w:rPr>
                <w:sz w:val="20"/>
                <w:szCs w:val="20"/>
                <w:color w:val="auto"/>
              </w:rPr>
            </w:pPr>
            <w:r>
              <w:rPr>
                <w:rFonts w:ascii="Arial" w:cs="Arial" w:eastAsia="Arial" w:hAnsi="Arial"/>
                <w:sz w:val="16"/>
                <w:szCs w:val="16"/>
                <w:color w:val="auto"/>
                <w:w w:val="95"/>
              </w:rPr>
              <w:t>2015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8"/>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18"/>
                <w:szCs w:val="18"/>
                <w:color w:val="auto"/>
              </w:rPr>
            </w:pPr>
          </w:p>
        </w:tc>
      </w:tr>
      <w:tr>
        <w:trPr>
          <w:trHeight w:val="393"/>
        </w:trPr>
        <w:tc>
          <w:tcPr>
            <w:tcW w:w="8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94"/>
        </w:trPr>
        <w:tc>
          <w:tcPr>
            <w:tcW w:w="8580" w:type="dxa"/>
            <w:vAlign w:val="bottom"/>
          </w:tcPr>
          <w:p>
            <w:pPr>
              <w:spacing w:after="0"/>
              <w:rPr>
                <w:sz w:val="20"/>
                <w:szCs w:val="20"/>
                <w:color w:val="auto"/>
              </w:rPr>
            </w:pPr>
            <w:r>
              <w:rPr>
                <w:rFonts w:ascii="Arial" w:cs="Arial" w:eastAsia="Arial" w:hAnsi="Arial"/>
                <w:sz w:val="16"/>
                <w:szCs w:val="16"/>
                <w:color w:val="auto"/>
              </w:rPr>
              <w:t>Accounts payable settled in common stock</w:t>
            </w:r>
          </w:p>
        </w:tc>
        <w:tc>
          <w:tcPr>
            <w:tcW w:w="1200" w:type="dxa"/>
            <w:vAlign w:val="bottom"/>
            <w:gridSpan w:val="2"/>
          </w:tcPr>
          <w:p>
            <w:pPr>
              <w:jc w:val="right"/>
              <w:ind w:right="918"/>
              <w:spacing w:after="0"/>
              <w:rPr>
                <w:sz w:val="20"/>
                <w:szCs w:val="20"/>
                <w:color w:val="auto"/>
              </w:rPr>
            </w:pPr>
            <w:r>
              <w:rPr>
                <w:rFonts w:ascii="Arial" w:cs="Arial" w:eastAsia="Arial" w:hAnsi="Arial"/>
                <w:sz w:val="16"/>
                <w:szCs w:val="16"/>
                <w:color w:val="auto"/>
              </w:rPr>
              <w:t>$</w:t>
            </w:r>
          </w:p>
        </w:tc>
        <w:tc>
          <w:tcPr>
            <w:tcW w:w="440" w:type="dxa"/>
            <w:vAlign w:val="bottom"/>
            <w:gridSpan w:val="3"/>
          </w:tcPr>
          <w:p>
            <w:pPr>
              <w:ind w:left="40"/>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513,000</w:t>
            </w:r>
          </w:p>
        </w:tc>
      </w:tr>
      <w:tr>
        <w:trPr>
          <w:trHeight w:val="383"/>
        </w:trPr>
        <w:tc>
          <w:tcPr>
            <w:tcW w:w="8580" w:type="dxa"/>
            <w:vAlign w:val="bottom"/>
          </w:tcPr>
          <w:p>
            <w:pPr>
              <w:spacing w:after="0"/>
              <w:rPr>
                <w:sz w:val="20"/>
                <w:szCs w:val="20"/>
                <w:color w:val="auto"/>
              </w:rPr>
            </w:pPr>
            <w:r>
              <w:rPr>
                <w:rFonts w:ascii="Arial" w:cs="Arial" w:eastAsia="Arial" w:hAnsi="Arial"/>
                <w:sz w:val="16"/>
                <w:szCs w:val="16"/>
                <w:b w:val="1"/>
                <w:bCs w:val="1"/>
                <w:color w:val="auto"/>
              </w:rPr>
              <w:t>Conversion of debt obligations into common stock:</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476,000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Convertible notes payable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3,293,000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Loans payable, related party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42,000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Promissory notes, related party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210,000</w:t>
            </w: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369,000</w:t>
            </w:r>
          </w:p>
        </w:tc>
      </w:tr>
      <w:tr>
        <w:trPr>
          <w:trHeight w:val="208"/>
        </w:trPr>
        <w:tc>
          <w:tcPr>
            <w:tcW w:w="8580" w:type="dxa"/>
            <w:vAlign w:val="bottom"/>
          </w:tcPr>
          <w:p>
            <w:pPr>
              <w:spacing w:after="0"/>
              <w:rPr>
                <w:sz w:val="20"/>
                <w:szCs w:val="20"/>
                <w:color w:val="auto"/>
              </w:rPr>
            </w:pPr>
            <w:r>
              <w:rPr>
                <w:rFonts w:ascii="Arial" w:cs="Arial" w:eastAsia="Arial" w:hAnsi="Arial"/>
                <w:sz w:val="16"/>
                <w:szCs w:val="16"/>
                <w:color w:val="auto"/>
              </w:rPr>
              <w:t>Fair value derivative liability – conversion option at conversion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708,000</w:t>
            </w:r>
          </w:p>
        </w:tc>
      </w:tr>
      <w:tr>
        <w:trPr>
          <w:trHeight w:val="400"/>
        </w:trPr>
        <w:tc>
          <w:tcPr>
            <w:tcW w:w="8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i w:val="1"/>
          <w:iCs w:val="1"/>
          <w:color w:val="auto"/>
        </w:rPr>
        <w:t>TAPIMMUNE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 2015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NATURE OF OPERATIONS</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55" w:lineRule="exact"/>
        <w:rPr>
          <w:sz w:val="20"/>
          <w:szCs w:val="20"/>
          <w:color w:val="auto"/>
        </w:rPr>
      </w:pPr>
    </w:p>
    <w:p>
      <w:pPr>
        <w:jc w:val="both"/>
        <w:ind w:firstLine="47"/>
        <w:spacing w:after="0" w:line="290" w:lineRule="auto"/>
        <w:rPr>
          <w:sz w:val="20"/>
          <w:szCs w:val="20"/>
          <w:color w:val="auto"/>
        </w:rPr>
      </w:pPr>
      <w:r>
        <w:rPr>
          <w:rFonts w:ascii="Arial" w:cs="Arial" w:eastAsia="Arial" w:hAnsi="Arial"/>
          <w:sz w:val="15"/>
          <w:szCs w:val="15"/>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LIQUIDITY AND FINANCIAL CONDITION</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SIGNIFICANT ACCOUNTING POLICIES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have been no material changes in the Company’s significant accounting policies to those previously disclosed in the Company’s annual report on Form 10-K, which was filed with the SEC on April 15, 2015.</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Prior Period Reclassifications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prior period amounts that were combined in the March 31, 2014 consolidated financial statements have been reclassified for comparability with the March 31, 2015 presentation. These reclassifications had no effect on previously reported net loss.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NOTE 5: POTENTIALLY DILUTIVE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three months ended March 31, 2015 and 2014, due to net losses.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700" w:type="dxa"/>
            <w:vAlign w:val="bottom"/>
          </w:tcPr>
          <w:p>
            <w:pPr>
              <w:spacing w:after="0"/>
              <w:rPr>
                <w:sz w:val="18"/>
                <w:szCs w:val="18"/>
                <w:color w:val="auto"/>
              </w:rPr>
            </w:pP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r>
      <w:tr>
        <w:trPr>
          <w:trHeight w:val="202"/>
        </w:trPr>
        <w:tc>
          <w:tcPr>
            <w:tcW w:w="8700" w:type="dxa"/>
            <w:vAlign w:val="bottom"/>
          </w:tcPr>
          <w:p>
            <w:pPr>
              <w:spacing w:after="0"/>
              <w:rPr>
                <w:sz w:val="17"/>
                <w:szCs w:val="17"/>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2014</w:t>
            </w:r>
          </w:p>
        </w:tc>
      </w:tr>
      <w:tr>
        <w:trPr>
          <w:trHeight w:val="185"/>
        </w:trPr>
        <w:tc>
          <w:tcPr>
            <w:tcW w:w="8700" w:type="dxa"/>
            <w:vAlign w:val="bottom"/>
          </w:tcPr>
          <w:p>
            <w:pPr>
              <w:spacing w:after="0"/>
              <w:rPr>
                <w:sz w:val="20"/>
                <w:szCs w:val="20"/>
                <w:color w:val="auto"/>
              </w:rPr>
            </w:pPr>
            <w:r>
              <w:rPr>
                <w:rFonts w:ascii="Arial" w:cs="Arial" w:eastAsia="Arial" w:hAnsi="Arial"/>
                <w:sz w:val="16"/>
                <w:szCs w:val="16"/>
                <w:color w:val="auto"/>
              </w:rPr>
              <w:t>Common 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65,000</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6"/>
                <w:szCs w:val="16"/>
                <w:color w:val="auto"/>
              </w:rPr>
              <w:t>52,229,000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6"/>
                <w:szCs w:val="16"/>
                <w:color w:val="auto"/>
              </w:rPr>
              <w:t>12,514,000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57,000</w:t>
            </w:r>
          </w:p>
        </w:tc>
      </w:tr>
      <w:tr>
        <w:trPr>
          <w:trHeight w:val="214"/>
        </w:trPr>
        <w:tc>
          <w:tcPr>
            <w:tcW w:w="8700" w:type="dxa"/>
            <w:vAlign w:val="bottom"/>
          </w:tcPr>
          <w:p>
            <w:pPr>
              <w:spacing w:after="0"/>
              <w:rPr>
                <w:sz w:val="20"/>
                <w:szCs w:val="20"/>
                <w:color w:val="auto"/>
              </w:rPr>
            </w:pPr>
            <w:r>
              <w:rPr>
                <w:rFonts w:ascii="Arial" w:cs="Arial" w:eastAsia="Arial" w:hAnsi="Arial"/>
                <w:sz w:val="16"/>
                <w:szCs w:val="16"/>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r>
      <w:tr>
        <w:trPr>
          <w:trHeight w:val="197"/>
        </w:trPr>
        <w:tc>
          <w:tcPr>
            <w:tcW w:w="8700" w:type="dxa"/>
            <w:vAlign w:val="bottom"/>
          </w:tcPr>
          <w:p>
            <w:pPr>
              <w:spacing w:after="0" w:line="177" w:lineRule="exact"/>
              <w:rPr>
                <w:sz w:val="20"/>
                <w:szCs w:val="20"/>
                <w:color w:val="auto"/>
              </w:rPr>
            </w:pPr>
            <w:r>
              <w:rPr>
                <w:rFonts w:ascii="Arial" w:cs="Arial" w:eastAsia="Arial" w:hAnsi="Arial"/>
                <w:sz w:val="16"/>
                <w:szCs w:val="16"/>
                <w:color w:val="auto"/>
              </w:rPr>
              <w:t>Potentially dilutive securities</w:t>
            </w:r>
          </w:p>
        </w:tc>
        <w:tc>
          <w:tcPr>
            <w:tcW w:w="11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64,808,000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330,000</w:t>
            </w:r>
          </w:p>
        </w:tc>
      </w:tr>
      <w:tr>
        <w:trPr>
          <w:trHeight w:val="20"/>
        </w:trPr>
        <w:tc>
          <w:tcPr>
            <w:tcW w:w="8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DERIVATIVE LIABILITY - WARRANTS AND DERIVATIVE LIABILITY – CONVERSION OPTION</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Weighted Average Inputs for the</w:t>
            </w:r>
          </w:p>
        </w:tc>
      </w:tr>
      <w:tr>
        <w:trPr>
          <w:trHeight w:val="218"/>
        </w:trPr>
        <w:tc>
          <w:tcPr>
            <w:tcW w:w="8660" w:type="dxa"/>
            <w:vAlign w:val="bottom"/>
            <w:gridSpan w:val="2"/>
          </w:tcPr>
          <w:p>
            <w:pPr>
              <w:spacing w:after="0"/>
              <w:rPr>
                <w:sz w:val="20"/>
                <w:szCs w:val="20"/>
                <w:color w:val="auto"/>
              </w:rPr>
            </w:pPr>
            <w:r>
              <w:rPr>
                <w:rFonts w:ascii="Arial" w:cs="Arial" w:eastAsia="Arial" w:hAnsi="Arial"/>
                <w:sz w:val="16"/>
                <w:szCs w:val="16"/>
                <w:b w:val="1"/>
                <w:bCs w:val="1"/>
                <w:color w:val="auto"/>
              </w:rPr>
              <w:t>Share Purchase Warrants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6"/>
                <w:szCs w:val="16"/>
                <w:b w:val="1"/>
                <w:bCs w:val="1"/>
                <w:color w:val="auto"/>
                <w:w w:val="96"/>
              </w:rPr>
              <w:t>Period</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280"/>
              <w:spacing w:after="0" w:line="181" w:lineRule="exact"/>
              <w:rPr>
                <w:sz w:val="20"/>
                <w:szCs w:val="20"/>
                <w:color w:val="auto"/>
              </w:rPr>
            </w:pPr>
            <w:r>
              <w:rPr>
                <w:rFonts w:ascii="Arial" w:cs="Arial" w:eastAsia="Arial" w:hAnsi="Arial"/>
                <w:sz w:val="16"/>
                <w:szCs w:val="16"/>
                <w:b w:val="1"/>
                <w:bCs w:val="1"/>
                <w:color w:val="auto"/>
                <w:w w:val="96"/>
              </w:rPr>
              <w:t>For the Quarter</w:t>
            </w:r>
          </w:p>
        </w:tc>
        <w:tc>
          <w:tcPr>
            <w:tcW w:w="116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96"/>
              </w:rPr>
              <w:t>For the Quarter</w:t>
            </w:r>
          </w:p>
        </w:tc>
        <w:tc>
          <w:tcPr>
            <w:tcW w:w="140" w:type="dxa"/>
            <w:vAlign w:val="bottom"/>
          </w:tcPr>
          <w:p>
            <w:pPr>
              <w:spacing w:after="0"/>
              <w:rPr>
                <w:sz w:val="15"/>
                <w:szCs w:val="15"/>
                <w:color w:val="auto"/>
              </w:rPr>
            </w:pPr>
          </w:p>
        </w:tc>
      </w:tr>
      <w:tr>
        <w:trPr>
          <w:trHeight w:val="197"/>
        </w:trPr>
        <w:tc>
          <w:tcPr>
            <w:tcW w:w="8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6"/>
              </w:rPr>
              <w:t>Ending March</w:t>
            </w: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6"/>
              </w:rPr>
              <w:t>Ending March</w:t>
            </w:r>
          </w:p>
        </w:tc>
      </w:tr>
      <w:tr>
        <w:trPr>
          <w:trHeight w:val="218"/>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Date of valuation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3"/>
              </w:rPr>
              <w:t>31, 2015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9"/>
              </w:rPr>
              <w:t>31, 2014</w:t>
            </w:r>
          </w:p>
        </w:tc>
        <w:tc>
          <w:tcPr>
            <w:tcW w:w="140" w:type="dxa"/>
            <w:vAlign w:val="bottom"/>
          </w:tcPr>
          <w:p>
            <w:pPr>
              <w:spacing w:after="0"/>
              <w:rPr>
                <w:sz w:val="18"/>
                <w:szCs w:val="18"/>
                <w:color w:val="auto"/>
              </w:rPr>
            </w:pPr>
          </w:p>
        </w:tc>
      </w:tr>
      <w:tr>
        <w:trPr>
          <w:trHeight w:val="185"/>
        </w:trPr>
        <w:tc>
          <w:tcPr>
            <w:tcW w:w="8540" w:type="dxa"/>
            <w:vAlign w:val="bottom"/>
          </w:tcPr>
          <w:p>
            <w:pPr>
              <w:spacing w:after="0"/>
              <w:rPr>
                <w:sz w:val="20"/>
                <w:szCs w:val="20"/>
                <w:color w:val="auto"/>
              </w:rPr>
            </w:pPr>
            <w:r>
              <w:rPr>
                <w:rFonts w:ascii="Arial" w:cs="Arial" w:eastAsia="Arial" w:hAnsi="Arial"/>
                <w:sz w:val="16"/>
                <w:szCs w:val="16"/>
                <w:color w:val="auto"/>
              </w:rPr>
              <w:t>Dividend yield (per share)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w:t>
            </w: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color w:val="auto"/>
              </w:rPr>
              <w:t>Strike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1.52</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5.84</w:t>
            </w: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color w:val="auto"/>
              </w:rPr>
              <w:t>Volatility (annual)</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155.00%</w:t>
            </w:r>
          </w:p>
        </w:tc>
        <w:tc>
          <w:tcPr>
            <w:tcW w:w="2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159.00%</w:t>
            </w: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color w:val="auto"/>
              </w:rPr>
              <w:t>Risk-free rate</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2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0.65%</w:t>
            </w:r>
          </w:p>
        </w:tc>
      </w:tr>
      <w:tr>
        <w:trPr>
          <w:trHeight w:val="214"/>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Contractual term (years)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18"/>
                <w:szCs w:val="18"/>
                <w:color w:val="auto"/>
              </w:rPr>
            </w:pPr>
          </w:p>
        </w:tc>
      </w:tr>
    </w:tbl>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and Liabilities Measured at Fair Value on a Recurring Basis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liabilities measured at fair value on a recurring basis are summarized below and disclosed on the balance sheet under Derivative liability – warrants and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 conversion option: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As of March 31, 2015</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6"/>
          </w:tcPr>
          <w:p>
            <w:pPr>
              <w:jc w:val="right"/>
              <w:ind w:right="143"/>
              <w:spacing w:after="0"/>
              <w:rPr>
                <w:sz w:val="20"/>
                <w:szCs w:val="20"/>
                <w:color w:val="auto"/>
              </w:rPr>
            </w:pPr>
            <w:r>
              <w:rPr>
                <w:rFonts w:ascii="Arial" w:cs="Arial" w:eastAsia="Arial" w:hAnsi="Arial"/>
                <w:sz w:val="16"/>
                <w:szCs w:val="16"/>
                <w:b w:val="1"/>
                <w:bCs w:val="1"/>
                <w:color w:val="auto"/>
              </w:rPr>
              <w:t>Fair Value Measurements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r>
      <w:tr>
        <w:trPr>
          <w:trHeight w:val="214"/>
        </w:trPr>
        <w:tc>
          <w:tcPr>
            <w:tcW w:w="4580" w:type="dxa"/>
            <w:vAlign w:val="bottom"/>
            <w:gridSpan w:val="2"/>
          </w:tcPr>
          <w:p>
            <w:pPr>
              <w:spacing w:after="0"/>
              <w:rPr>
                <w:sz w:val="20"/>
                <w:szCs w:val="20"/>
                <w:color w:val="auto"/>
              </w:rPr>
            </w:pPr>
            <w:r>
              <w:rPr>
                <w:rFonts w:ascii="Arial" w:cs="Arial" w:eastAsia="Arial" w:hAnsi="Arial"/>
                <w:sz w:val="16"/>
                <w:szCs w:val="16"/>
                <w:color w:val="auto"/>
              </w:rPr>
              <w:t>Derivative liability - warrants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2,053,000</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2,053,000</w:t>
            </w:r>
          </w:p>
        </w:tc>
        <w:tc>
          <w:tcPr>
            <w:tcW w:w="40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2,053,000</w:t>
            </w:r>
          </w:p>
        </w:tc>
      </w:tr>
      <w:tr>
        <w:trPr>
          <w:trHeight w:val="197"/>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2,053,000</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2,053,000</w:t>
            </w:r>
          </w:p>
        </w:tc>
        <w:tc>
          <w:tcPr>
            <w:tcW w:w="120" w:type="dxa"/>
            <w:vAlign w:val="bottom"/>
          </w:tcPr>
          <w:p>
            <w:pPr>
              <w:spacing w:after="0"/>
              <w:rPr>
                <w:sz w:val="17"/>
                <w:szCs w:val="17"/>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02"/>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798"/>
              <w:spacing w:after="0"/>
              <w:rPr>
                <w:sz w:val="20"/>
                <w:szCs w:val="20"/>
                <w:color w:val="auto"/>
              </w:rPr>
            </w:pPr>
            <w:r>
              <w:rPr>
                <w:rFonts w:ascii="Arial" w:cs="Arial" w:eastAsia="Arial" w:hAnsi="Arial"/>
                <w:sz w:val="16"/>
                <w:szCs w:val="16"/>
                <w:b w:val="1"/>
                <w:bCs w:val="1"/>
                <w:color w:val="auto"/>
                <w:w w:val="91"/>
              </w:rPr>
              <w:t>As of December 31, 2014</w:t>
            </w: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6"/>
          </w:tcPr>
          <w:p>
            <w:pPr>
              <w:jc w:val="right"/>
              <w:ind w:right="143"/>
              <w:spacing w:after="0"/>
              <w:rPr>
                <w:sz w:val="20"/>
                <w:szCs w:val="20"/>
                <w:color w:val="auto"/>
              </w:rPr>
            </w:pPr>
            <w:r>
              <w:rPr>
                <w:rFonts w:ascii="Arial" w:cs="Arial" w:eastAsia="Arial" w:hAnsi="Arial"/>
                <w:sz w:val="16"/>
                <w:szCs w:val="16"/>
                <w:b w:val="1"/>
                <w:bCs w:val="1"/>
                <w:color w:val="auto"/>
              </w:rPr>
              <w:t>Fair Value Measurements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r>
      <w:tr>
        <w:trPr>
          <w:trHeight w:val="214"/>
        </w:trPr>
        <w:tc>
          <w:tcPr>
            <w:tcW w:w="4580" w:type="dxa"/>
            <w:vAlign w:val="bottom"/>
            <w:gridSpan w:val="2"/>
          </w:tcPr>
          <w:p>
            <w:pPr>
              <w:spacing w:after="0"/>
              <w:rPr>
                <w:sz w:val="20"/>
                <w:szCs w:val="20"/>
                <w:color w:val="auto"/>
              </w:rPr>
            </w:pPr>
            <w:r>
              <w:rPr>
                <w:rFonts w:ascii="Arial" w:cs="Arial" w:eastAsia="Arial" w:hAnsi="Arial"/>
                <w:sz w:val="16"/>
                <w:szCs w:val="16"/>
                <w:color w:val="auto"/>
              </w:rPr>
              <w:t>Derivative liability - warrants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9,000</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9,000</w:t>
            </w:r>
          </w:p>
        </w:tc>
        <w:tc>
          <w:tcPr>
            <w:tcW w:w="40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9,000</w:t>
            </w:r>
          </w:p>
        </w:tc>
      </w:tr>
      <w:tr>
        <w:trPr>
          <w:trHeight w:val="197"/>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7"/>
                <w:szCs w:val="17"/>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between Level 1, 2 or 3 during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The following table presents changes in Level 3 liabilities measured at fair value for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Balance – December 31, 2014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Additions during the quarter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warrant liability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Balance – March 31,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36"/>
        <w:spacing w:after="0"/>
        <w:rPr>
          <w:sz w:val="20"/>
          <w:szCs w:val="20"/>
          <w:color w:val="auto"/>
        </w:rPr>
      </w:pPr>
      <w:r>
        <w:rPr>
          <w:rFonts w:ascii="Arial" w:cs="Arial" w:eastAsia="Arial" w:hAnsi="Arial"/>
          <w:sz w:val="16"/>
          <w:szCs w:val="16"/>
          <w:color w:val="auto"/>
        </w:rPr>
        <w:t>Derivative</w:t>
      </w:r>
    </w:p>
    <w:p>
      <w:pPr>
        <w:spacing w:after="0" w:line="24" w:lineRule="exact"/>
        <w:rPr>
          <w:sz w:val="20"/>
          <w:szCs w:val="20"/>
          <w:color w:val="auto"/>
        </w:rPr>
      </w:pPr>
    </w:p>
    <w:p>
      <w:pPr>
        <w:ind w:left="276"/>
        <w:spacing w:after="0"/>
        <w:rPr>
          <w:sz w:val="20"/>
          <w:szCs w:val="20"/>
          <w:color w:val="auto"/>
        </w:rPr>
      </w:pPr>
      <w:r>
        <w:rPr>
          <w:rFonts w:ascii="Arial" w:cs="Arial" w:eastAsia="Arial" w:hAnsi="Arial"/>
          <w:sz w:val="16"/>
          <w:szCs w:val="16"/>
          <w:color w:val="auto"/>
        </w:rPr>
        <w:t>liability –</w:t>
      </w:r>
    </w:p>
    <w:p>
      <w:pPr>
        <w:spacing w:after="0" w:line="13" w:lineRule="exact"/>
        <w:rPr>
          <w:sz w:val="20"/>
          <w:szCs w:val="20"/>
          <w:color w:val="auto"/>
        </w:rPr>
      </w:pPr>
    </w:p>
    <w:p>
      <w:pPr>
        <w:ind w:left="296"/>
        <w:spacing w:after="0"/>
        <w:rPr>
          <w:sz w:val="20"/>
          <w:szCs w:val="20"/>
          <w:color w:val="auto"/>
        </w:rPr>
      </w:pPr>
      <w:r>
        <w:rPr>
          <w:rFonts w:ascii="Arial" w:cs="Arial" w:eastAsia="Arial" w:hAnsi="Arial"/>
          <w:sz w:val="16"/>
          <w:szCs w:val="16"/>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429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2950" cy="15875"/>
                    </a:xfrm>
                    <a:prstGeom prst="rect">
                      <a:avLst/>
                    </a:prstGeom>
                    <a:noFill/>
                  </pic:spPr>
                </pic:pic>
              </a:graphicData>
            </a:graphic>
          </wp:anchor>
        </w:drawing>
      </w:r>
    </w:p>
    <w:p>
      <w:pPr>
        <w:spacing w:after="0" w:line="7" w:lineRule="exact"/>
        <w:rPr>
          <w:sz w:val="20"/>
          <w:szCs w:val="20"/>
          <w:color w:val="auto"/>
        </w:rPr>
      </w:pPr>
    </w:p>
    <w:p>
      <w:pPr>
        <w:ind w:left="796" w:hanging="796"/>
        <w:spacing w:after="0"/>
        <w:tabs>
          <w:tab w:leader="none" w:pos="7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9,000</w:t>
      </w:r>
    </w:p>
    <w:p>
      <w:pPr>
        <w:spacing w:after="0" w:line="24" w:lineRule="exact"/>
        <w:rPr>
          <w:rFonts w:ascii="Arial" w:cs="Arial" w:eastAsia="Arial" w:hAnsi="Arial"/>
          <w:sz w:val="16"/>
          <w:szCs w:val="16"/>
          <w:color w:val="auto"/>
        </w:rPr>
      </w:pPr>
    </w:p>
    <w:p>
      <w:pPr>
        <w:ind w:left="516"/>
        <w:spacing w:after="0"/>
        <w:rPr>
          <w:rFonts w:ascii="Arial" w:cs="Arial" w:eastAsia="Arial" w:hAnsi="Arial"/>
          <w:sz w:val="16"/>
          <w:szCs w:val="16"/>
          <w:color w:val="auto"/>
        </w:rPr>
      </w:pPr>
      <w:r>
        <w:rPr>
          <w:rFonts w:ascii="Arial" w:cs="Arial" w:eastAsia="Arial" w:hAnsi="Arial"/>
          <w:sz w:val="15"/>
          <w:szCs w:val="15"/>
          <w:color w:val="auto"/>
        </w:rPr>
        <w:t>2,090,000</w:t>
      </w:r>
    </w:p>
    <w:p>
      <w:pPr>
        <w:spacing w:after="0" w:line="24" w:lineRule="exact"/>
        <w:rPr>
          <w:rFonts w:ascii="Arial" w:cs="Arial" w:eastAsia="Arial" w:hAnsi="Arial"/>
          <w:sz w:val="16"/>
          <w:szCs w:val="16"/>
          <w:color w:val="auto"/>
        </w:rPr>
      </w:pPr>
    </w:p>
    <w:p>
      <w:pPr>
        <w:ind w:left="656"/>
        <w:spacing w:after="0"/>
        <w:rPr>
          <w:rFonts w:ascii="Arial" w:cs="Arial" w:eastAsia="Arial" w:hAnsi="Arial"/>
          <w:sz w:val="16"/>
          <w:szCs w:val="16"/>
          <w:color w:val="auto"/>
        </w:rPr>
      </w:pPr>
      <w:r>
        <w:rPr>
          <w:rFonts w:ascii="Arial" w:cs="Arial" w:eastAsia="Arial" w:hAnsi="Arial"/>
          <w:sz w:val="15"/>
          <w:szCs w:val="15"/>
          <w:color w:val="auto"/>
        </w:rPr>
        <w:t>(46,000)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4295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2950" cy="15875"/>
                    </a:xfrm>
                    <a:prstGeom prst="rect">
                      <a:avLst/>
                    </a:prstGeom>
                    <a:noFill/>
                  </pic:spPr>
                </pic:pic>
              </a:graphicData>
            </a:graphic>
          </wp:anchor>
        </w:drawing>
      </w:r>
    </w:p>
    <w:p>
      <w:pPr>
        <w:spacing w:after="0" w:line="29" w:lineRule="exact"/>
        <w:rPr>
          <w:sz w:val="20"/>
          <w:szCs w:val="20"/>
          <w:color w:val="auto"/>
        </w:rPr>
      </w:pPr>
    </w:p>
    <w:p>
      <w:pPr>
        <w:ind w:left="516" w:hanging="516"/>
        <w:spacing w:after="0"/>
        <w:tabs>
          <w:tab w:leader="none" w:pos="516" w:val="left"/>
        </w:tabs>
        <w:numPr>
          <w:ilvl w:val="0"/>
          <w:numId w:val="40"/>
        </w:numPr>
        <w:rPr>
          <w:rFonts w:ascii="Arial" w:cs="Arial" w:eastAsia="Arial" w:hAnsi="Arial"/>
          <w:sz w:val="15"/>
          <w:szCs w:val="15"/>
          <w:color w:val="auto"/>
        </w:rPr>
      </w:pPr>
      <w:r>
        <w:rPr>
          <w:rFonts w:ascii="Arial" w:cs="Arial" w:eastAsia="Arial" w:hAnsi="Arial"/>
          <w:sz w:val="15"/>
          <w:szCs w:val="15"/>
          <w:color w:val="auto"/>
        </w:rPr>
        <w:t>2,053,000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4295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29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7429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2950" cy="762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404" w:space="720"/>
            <w:col w:w="1296"/>
          </w:cols>
          <w:pgMar w:left="240" w:top="484" w:right="239" w:bottom="1440" w:gutter="0" w:footer="0" w:header="0"/>
        </w:sectPr>
      </w:pPr>
    </w:p>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rPr>
              <w:t>Weighted Average Inputs for the</w:t>
            </w:r>
          </w:p>
        </w:tc>
      </w:tr>
      <w:tr>
        <w:trPr>
          <w:trHeight w:val="218"/>
        </w:trPr>
        <w:tc>
          <w:tcPr>
            <w:tcW w:w="8660" w:type="dxa"/>
            <w:vAlign w:val="bottom"/>
            <w:gridSpan w:val="2"/>
          </w:tcPr>
          <w:p>
            <w:pPr>
              <w:spacing w:after="0"/>
              <w:rPr>
                <w:sz w:val="20"/>
                <w:szCs w:val="20"/>
                <w:color w:val="auto"/>
              </w:rPr>
            </w:pPr>
            <w:r>
              <w:rPr>
                <w:rFonts w:ascii="Arial" w:cs="Arial" w:eastAsia="Arial" w:hAnsi="Arial"/>
                <w:sz w:val="16"/>
                <w:szCs w:val="16"/>
                <w:b w:val="1"/>
                <w:bCs w:val="1"/>
                <w:color w:val="auto"/>
              </w:rPr>
              <w:t>Conversion Option</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Period</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ind w:left="20"/>
              <w:spacing w:after="0" w:line="181" w:lineRule="exact"/>
              <w:rPr>
                <w:sz w:val="20"/>
                <w:szCs w:val="20"/>
                <w:color w:val="auto"/>
              </w:rPr>
            </w:pPr>
            <w:r>
              <w:rPr>
                <w:rFonts w:ascii="Arial" w:cs="Arial" w:eastAsia="Arial" w:hAnsi="Arial"/>
                <w:sz w:val="16"/>
                <w:szCs w:val="16"/>
                <w:b w:val="1"/>
                <w:bCs w:val="1"/>
                <w:color w:val="auto"/>
              </w:rPr>
              <w:t>For the Quarter</w:t>
            </w:r>
          </w:p>
        </w:tc>
        <w:tc>
          <w:tcPr>
            <w:tcW w:w="116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w w:val="96"/>
              </w:rPr>
              <w:t>For the Quarter</w:t>
            </w:r>
          </w:p>
        </w:tc>
        <w:tc>
          <w:tcPr>
            <w:tcW w:w="140" w:type="dxa"/>
            <w:vAlign w:val="bottom"/>
          </w:tcPr>
          <w:p>
            <w:pPr>
              <w:spacing w:after="0"/>
              <w:rPr>
                <w:sz w:val="15"/>
                <w:szCs w:val="15"/>
                <w:color w:val="auto"/>
              </w:rPr>
            </w:pPr>
          </w:p>
        </w:tc>
      </w:tr>
      <w:tr>
        <w:trPr>
          <w:trHeight w:val="197"/>
        </w:trPr>
        <w:tc>
          <w:tcPr>
            <w:tcW w:w="8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6"/>
                <w:szCs w:val="16"/>
                <w:b w:val="1"/>
                <w:bCs w:val="1"/>
                <w:color w:val="auto"/>
              </w:rPr>
              <w:t>Ending March</w:t>
            </w: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Ending March</w:t>
            </w:r>
          </w:p>
        </w:tc>
      </w:tr>
      <w:tr>
        <w:trPr>
          <w:trHeight w:val="218"/>
        </w:trPr>
        <w:tc>
          <w:tcPr>
            <w:tcW w:w="8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Date of valuation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31, 2015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31, 2014</w:t>
            </w:r>
          </w:p>
        </w:tc>
        <w:tc>
          <w:tcPr>
            <w:tcW w:w="140" w:type="dxa"/>
            <w:vAlign w:val="bottom"/>
          </w:tcPr>
          <w:p>
            <w:pPr>
              <w:spacing w:after="0"/>
              <w:rPr>
                <w:sz w:val="18"/>
                <w:szCs w:val="18"/>
                <w:color w:val="auto"/>
              </w:rPr>
            </w:pPr>
          </w:p>
        </w:tc>
      </w:tr>
      <w:tr>
        <w:trPr>
          <w:trHeight w:val="185"/>
        </w:trPr>
        <w:tc>
          <w:tcPr>
            <w:tcW w:w="8540" w:type="dxa"/>
            <w:vAlign w:val="bottom"/>
          </w:tcPr>
          <w:p>
            <w:pPr>
              <w:spacing w:after="0"/>
              <w:rPr>
                <w:sz w:val="20"/>
                <w:szCs w:val="20"/>
                <w:color w:val="auto"/>
              </w:rPr>
            </w:pPr>
            <w:r>
              <w:rPr>
                <w:rFonts w:ascii="Arial" w:cs="Arial" w:eastAsia="Arial" w:hAnsi="Arial"/>
                <w:sz w:val="16"/>
                <w:szCs w:val="16"/>
                <w:color w:val="auto"/>
              </w:rPr>
              <w:t>Dividend yield (per share)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980"/>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ind w:right="58"/>
              <w:spacing w:after="0"/>
              <w:rPr>
                <w:sz w:val="20"/>
                <w:szCs w:val="20"/>
                <w:color w:val="auto"/>
              </w:rPr>
            </w:pPr>
            <w:r>
              <w:rPr>
                <w:rFonts w:ascii="Arial" w:cs="Arial" w:eastAsia="Arial" w:hAnsi="Arial"/>
                <w:sz w:val="16"/>
                <w:szCs w:val="16"/>
                <w:color w:val="auto"/>
                <w:w w:val="84"/>
              </w:rPr>
              <w:t>%</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w:t>
            </w: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color w:val="auto"/>
              </w:rPr>
              <w:t>Strike price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ind w:left="9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1.03</w:t>
            </w: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color w:val="auto"/>
              </w:rPr>
              <w:t>Volatility (annual)</w:t>
            </w:r>
          </w:p>
        </w:tc>
        <w:tc>
          <w:tcPr>
            <w:tcW w:w="12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199.00%</w:t>
            </w:r>
          </w:p>
        </w:tc>
      </w:tr>
      <w:tr>
        <w:trPr>
          <w:trHeight w:val="197"/>
        </w:trPr>
        <w:tc>
          <w:tcPr>
            <w:tcW w:w="8660" w:type="dxa"/>
            <w:vAlign w:val="bottom"/>
            <w:gridSpan w:val="2"/>
          </w:tcPr>
          <w:p>
            <w:pPr>
              <w:spacing w:after="0"/>
              <w:rPr>
                <w:sz w:val="20"/>
                <w:szCs w:val="20"/>
                <w:color w:val="auto"/>
              </w:rPr>
            </w:pPr>
            <w:r>
              <w:rPr>
                <w:rFonts w:ascii="Arial" w:cs="Arial" w:eastAsia="Arial" w:hAnsi="Arial"/>
                <w:sz w:val="16"/>
                <w:szCs w:val="16"/>
                <w:color w:val="auto"/>
              </w:rPr>
              <w:t>Risk-free rate</w:t>
            </w:r>
          </w:p>
        </w:tc>
        <w:tc>
          <w:tcPr>
            <w:tcW w:w="12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0.05%</w:t>
            </w:r>
          </w:p>
        </w:tc>
      </w:tr>
      <w:tr>
        <w:trPr>
          <w:trHeight w:val="208"/>
        </w:trPr>
        <w:tc>
          <w:tcPr>
            <w:tcW w:w="8660" w:type="dxa"/>
            <w:vAlign w:val="bottom"/>
            <w:gridSpan w:val="2"/>
          </w:tcPr>
          <w:p>
            <w:pPr>
              <w:spacing w:after="0"/>
              <w:rPr>
                <w:sz w:val="20"/>
                <w:szCs w:val="20"/>
                <w:color w:val="auto"/>
              </w:rPr>
            </w:pPr>
            <w:r>
              <w:rPr>
                <w:rFonts w:ascii="Arial" w:cs="Arial" w:eastAsia="Arial" w:hAnsi="Arial"/>
                <w:sz w:val="16"/>
                <w:szCs w:val="16"/>
                <w:color w:val="auto"/>
              </w:rPr>
              <w:t>Contractual term (years)</w:t>
            </w:r>
          </w:p>
        </w:tc>
        <w:tc>
          <w:tcPr>
            <w:tcW w:w="120" w:type="dxa"/>
            <w:vAlign w:val="bottom"/>
          </w:tcPr>
          <w:p>
            <w:pPr>
              <w:spacing w:after="0"/>
              <w:rPr>
                <w:sz w:val="18"/>
                <w:szCs w:val="18"/>
                <w:color w:val="auto"/>
              </w:rPr>
            </w:pPr>
          </w:p>
        </w:tc>
        <w:tc>
          <w:tcPr>
            <w:tcW w:w="1040" w:type="dxa"/>
            <w:vAlign w:val="bottom"/>
          </w:tcPr>
          <w:p>
            <w:pPr>
              <w:ind w:left="9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0.24</w:t>
            </w:r>
          </w:p>
        </w:tc>
      </w:tr>
      <w:tr>
        <w:trPr>
          <w:trHeight w:val="203"/>
        </w:trPr>
        <w:tc>
          <w:tcPr>
            <w:tcW w:w="86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8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Fair value of Conversion Option at extinguishment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708,000</w:t>
            </w:r>
          </w:p>
        </w:tc>
        <w:tc>
          <w:tcPr>
            <w:tcW w:w="140" w:type="dxa"/>
            <w:vAlign w:val="bottom"/>
          </w:tcPr>
          <w:p>
            <w:pPr>
              <w:spacing w:after="0"/>
              <w:rPr>
                <w:sz w:val="17"/>
                <w:szCs w:val="17"/>
                <w:color w:val="auto"/>
              </w:rPr>
            </w:pPr>
          </w:p>
        </w:tc>
      </w:tr>
      <w:tr>
        <w:trPr>
          <w:trHeight w:val="393"/>
        </w:trPr>
        <w:tc>
          <w:tcPr>
            <w:tcW w:w="8660" w:type="dxa"/>
            <w:vAlign w:val="bottom"/>
            <w:gridSpan w:val="2"/>
          </w:tcPr>
          <w:p>
            <w:pPr>
              <w:spacing w:after="0"/>
              <w:rPr>
                <w:sz w:val="20"/>
                <w:szCs w:val="20"/>
                <w:color w:val="auto"/>
              </w:rPr>
            </w:pPr>
            <w:r>
              <w:rPr>
                <w:rFonts w:ascii="Arial" w:cs="Arial" w:eastAsia="Arial" w:hAnsi="Arial"/>
                <w:sz w:val="16"/>
                <w:szCs w:val="16"/>
                <w:b w:val="1"/>
                <w:bCs w:val="1"/>
                <w:color w:val="auto"/>
              </w:rPr>
              <w:t>NOTE 7: PROMISSORY NOTES, RELATED PARTY</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CAPITAL STOCK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Share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placements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78" w:name="page79"/>
    <w:bookmarkEnd w:id="78"/>
    <w:p>
      <w:pPr>
        <w:jc w:val="both"/>
        <w:spacing w:after="0" w:line="288" w:lineRule="auto"/>
        <w:rPr>
          <w:sz w:val="20"/>
          <w:szCs w:val="20"/>
          <w:color w:val="auto"/>
        </w:rPr>
      </w:pPr>
      <w:r>
        <w:rPr>
          <w:rFonts w:ascii="Arial" w:cs="Arial" w:eastAsia="Arial" w:hAnsi="Arial"/>
          <w:sz w:val="16"/>
          <w:szCs w:val="16"/>
          <w:color w:val="auto"/>
        </w:rPr>
        <w:t>Pursuant to a placement agent agreement, the Company agreed to issue warrants to purchase 366,000 common shares with substantially the same terms as the January 2015 Warrants.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$1,346,000 and recognized as a derivative liability.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Series B, C, D &amp; E warrants was determined to be $4,635,000 and was included within equity.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a placement agent agreement, the Company agreed to issue warrants to purchase 125,000 common shares with substantially the same terms as the March 2015 Warrants.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$744,000 and recognized as a derivative liability.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Series B, C, D &amp; E warrants was determined to be $2,588,000 and was included within equity.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Purchase Warrants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March 31, 2015 and changes during the period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868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457581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5810" cy="15875"/>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6"/>
          <w:szCs w:val="16"/>
          <w:color w:val="auto"/>
        </w:rPr>
        <w:t>Issued</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Exercised</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Extinguished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457581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75810" cy="15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45758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58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45758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5810" cy="762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CONTINGENCIES AND COMMITMENTS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Consultant Litigation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Weighted</w:t>
            </w:r>
          </w:p>
        </w:tc>
        <w:tc>
          <w:tcPr>
            <w:tcW w:w="120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Weighted</w:t>
            </w:r>
          </w:p>
        </w:tc>
      </w:tr>
      <w:tr>
        <w:trPr>
          <w:trHeight w:val="197"/>
        </w:trPr>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Number of</w:t>
            </w: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Average</w:t>
            </w:r>
          </w:p>
        </w:tc>
        <w:tc>
          <w:tcPr>
            <w:tcW w:w="1200" w:type="dxa"/>
            <w:vAlign w:val="bottom"/>
            <w:gridSpan w:val="2"/>
          </w:tcPr>
          <w:p>
            <w:pPr>
              <w:jc w:val="center"/>
              <w:ind w:right="20"/>
              <w:spacing w:after="0"/>
              <w:rPr>
                <w:sz w:val="20"/>
                <w:szCs w:val="20"/>
                <w:color w:val="auto"/>
              </w:rPr>
            </w:pPr>
            <w:r>
              <w:rPr>
                <w:rFonts w:ascii="Arial" w:cs="Arial" w:eastAsia="Arial" w:hAnsi="Arial"/>
                <w:sz w:val="16"/>
                <w:szCs w:val="16"/>
                <w:color w:val="auto"/>
                <w:w w:val="90"/>
              </w:rPr>
              <w:t>Average</w:t>
            </w:r>
          </w:p>
        </w:tc>
      </w:tr>
      <w:tr>
        <w:trPr>
          <w:trHeight w:val="214"/>
        </w:trPr>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Warrants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3"/>
              </w:rPr>
              <w:t>Exercise Price</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Remaining Life</w:t>
            </w:r>
          </w:p>
        </w:tc>
        <w:tc>
          <w:tcPr>
            <w:tcW w:w="20" w:type="dxa"/>
            <w:vAlign w:val="bottom"/>
          </w:tcPr>
          <w:p>
            <w:pPr>
              <w:spacing w:after="0"/>
              <w:rPr>
                <w:sz w:val="18"/>
                <w:szCs w:val="18"/>
                <w:color w:val="auto"/>
              </w:rPr>
            </w:pPr>
          </w:p>
        </w:tc>
      </w:tr>
      <w:tr>
        <w:trPr>
          <w:trHeight w:val="382"/>
        </w:trPr>
        <w:tc>
          <w:tcPr>
            <w:tcW w:w="1160" w:type="dxa"/>
            <w:vAlign w:val="bottom"/>
          </w:tcPr>
          <w:p>
            <w:pPr>
              <w:jc w:val="right"/>
              <w:spacing w:after="0"/>
              <w:rPr>
                <w:sz w:val="20"/>
                <w:szCs w:val="20"/>
                <w:color w:val="auto"/>
              </w:rPr>
            </w:pPr>
            <w:r>
              <w:rPr>
                <w:rFonts w:ascii="Arial" w:cs="Arial" w:eastAsia="Arial" w:hAnsi="Arial"/>
                <w:sz w:val="16"/>
                <w:szCs w:val="16"/>
                <w:color w:val="auto"/>
              </w:rPr>
              <w:t>2,659,417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1.83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4.15</w:t>
            </w:r>
          </w:p>
        </w:tc>
      </w:tr>
      <w:tr>
        <w:trPr>
          <w:trHeight w:val="197"/>
        </w:trPr>
        <w:tc>
          <w:tcPr>
            <w:tcW w:w="1160" w:type="dxa"/>
            <w:vAlign w:val="bottom"/>
          </w:tcPr>
          <w:p>
            <w:pPr>
              <w:jc w:val="right"/>
              <w:spacing w:after="0"/>
              <w:rPr>
                <w:sz w:val="20"/>
                <w:szCs w:val="20"/>
                <w:color w:val="auto"/>
              </w:rPr>
            </w:pPr>
            <w:r>
              <w:rPr>
                <w:rFonts w:ascii="Arial" w:cs="Arial" w:eastAsia="Arial" w:hAnsi="Arial"/>
                <w:sz w:val="16"/>
                <w:szCs w:val="16"/>
                <w:color w:val="auto"/>
              </w:rPr>
              <w:t>62,090,975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1.03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3.96</w:t>
            </w:r>
          </w:p>
        </w:tc>
      </w:tr>
      <w:tr>
        <w:trPr>
          <w:trHeight w:val="197"/>
        </w:trPr>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14"/>
        </w:trPr>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7"/>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64,742,892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20" w:type="dxa"/>
            <w:vAlign w:val="bottom"/>
          </w:tcPr>
          <w:p>
            <w:pPr>
              <w:spacing w:after="0"/>
              <w:rPr>
                <w:sz w:val="17"/>
                <w:szCs w:val="17"/>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56" w:lineRule="exact"/>
        <w:rPr>
          <w:sz w:val="20"/>
          <w:szCs w:val="20"/>
          <w:color w:val="auto"/>
        </w:rPr>
      </w:pPr>
    </w:p>
    <w:p>
      <w:pPr>
        <w:sectPr>
          <w:pgSz w:w="11900" w:h="16838" w:orient="portrait"/>
          <w:cols w:equalWidth="0" w:num="2">
            <w:col w:w="6600" w:space="720"/>
            <w:col w:w="4100"/>
          </w:cols>
          <w:pgMar w:left="240" w:top="484" w:right="239" w:bottom="1440" w:gutter="0" w:footer="0" w:header="0"/>
          <w:type w:val="continuous"/>
        </w:sectPr>
      </w:pPr>
    </w:p>
    <w:p>
      <w:pPr>
        <w:spacing w:after="0" w:line="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rPr>
          <w:sz w:val="20"/>
          <w:szCs w:val="20"/>
          <w:color w:val="auto"/>
        </w:rPr>
      </w:pPr>
      <w:r>
        <w:rPr>
          <w:rFonts w:ascii="Arial" w:cs="Arial" w:eastAsia="Arial" w:hAnsi="Arial"/>
          <w:sz w:val="16"/>
          <w:szCs w:val="16"/>
          <w:b w:val="1"/>
          <w:bCs w:val="1"/>
          <w:i w:val="1"/>
          <w:iCs w:val="1"/>
          <w:color w:val="auto"/>
        </w:rPr>
        <w:t>Vendor Litigation</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PROSPECTUS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68,486,792 Shares of Common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 2015]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Until [[♦], 2015]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4"/>
          <w:szCs w:val="14"/>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PART II</w:t>
      </w:r>
    </w:p>
    <w:p>
      <w:pPr>
        <w:spacing w:after="0" w:line="210" w:lineRule="exact"/>
        <w:rPr>
          <w:sz w:val="20"/>
          <w:szCs w:val="20"/>
          <w:color w:val="auto"/>
        </w:rPr>
      </w:pPr>
    </w:p>
    <w:p>
      <w:pPr>
        <w:ind w:left="3581"/>
        <w:spacing w:after="0"/>
        <w:rPr>
          <w:sz w:val="20"/>
          <w:szCs w:val="20"/>
          <w:color w:val="auto"/>
        </w:rPr>
      </w:pPr>
      <w:r>
        <w:rPr>
          <w:rFonts w:ascii="Arial" w:cs="Arial" w:eastAsia="Arial" w:hAnsi="Arial"/>
          <w:sz w:val="16"/>
          <w:szCs w:val="16"/>
          <w:b w:val="1"/>
          <w:bCs w:val="1"/>
          <w:color w:val="auto"/>
        </w:rPr>
        <w:t>INFORMATION NOT REQUIRED IN THE PROSPECTUS</w:t>
      </w:r>
    </w:p>
    <w:p>
      <w:pPr>
        <w:spacing w:after="0" w:line="210" w:lineRule="exact"/>
        <w:rPr>
          <w:sz w:val="20"/>
          <w:szCs w:val="20"/>
          <w:color w:val="auto"/>
        </w:rPr>
      </w:pPr>
    </w:p>
    <w:p>
      <w:pPr>
        <w:ind w:left="1"/>
        <w:spacing w:after="0"/>
        <w:tabs>
          <w:tab w:leader="none" w:pos="1121"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14"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Securities and Exchange Commission Registration Fee</w:t>
            </w:r>
          </w:p>
        </w:tc>
        <w:tc>
          <w:tcPr>
            <w:tcW w:w="7140" w:type="dxa"/>
            <w:vAlign w:val="bottom"/>
          </w:tcPr>
          <w:p>
            <w:pPr>
              <w:jc w:val="right"/>
              <w:ind w:right="3318"/>
              <w:spacing w:after="0"/>
              <w:rPr>
                <w:sz w:val="20"/>
                <w:szCs w:val="20"/>
                <w:color w:val="auto"/>
              </w:rPr>
            </w:pPr>
            <w:r>
              <w:rPr>
                <w:rFonts w:ascii="Arial" w:cs="Arial" w:eastAsia="Arial" w:hAnsi="Arial"/>
                <w:sz w:val="16"/>
                <w:szCs w:val="16"/>
                <w:color w:val="auto"/>
              </w:rPr>
              <w:t>$2,606†</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7140" w:type="dxa"/>
            <w:vAlign w:val="bottom"/>
          </w:tcPr>
          <w:p>
            <w:pPr>
              <w:jc w:val="right"/>
              <w:ind w:right="3318"/>
              <w:spacing w:after="0"/>
              <w:rPr>
                <w:sz w:val="20"/>
                <w:szCs w:val="20"/>
                <w:color w:val="auto"/>
              </w:rPr>
            </w:pPr>
            <w:r>
              <w:rPr>
                <w:rFonts w:ascii="Arial" w:cs="Arial" w:eastAsia="Arial" w:hAnsi="Arial"/>
                <w:sz w:val="16"/>
                <w:szCs w:val="16"/>
                <w:color w:val="auto"/>
              </w:rPr>
              <w:t>$25,000†</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Accountants’ Fees and Expenses</w:t>
            </w:r>
          </w:p>
        </w:tc>
        <w:tc>
          <w:tcPr>
            <w:tcW w:w="7140" w:type="dxa"/>
            <w:vAlign w:val="bottom"/>
          </w:tcPr>
          <w:p>
            <w:pPr>
              <w:jc w:val="right"/>
              <w:ind w:right="3318"/>
              <w:spacing w:after="0"/>
              <w:rPr>
                <w:sz w:val="20"/>
                <w:szCs w:val="20"/>
                <w:color w:val="auto"/>
              </w:rPr>
            </w:pPr>
            <w:r>
              <w:rPr>
                <w:rFonts w:ascii="Arial" w:cs="Arial" w:eastAsia="Arial" w:hAnsi="Arial"/>
                <w:sz w:val="16"/>
                <w:szCs w:val="16"/>
                <w:color w:val="auto"/>
              </w:rPr>
              <w:t>$10,000†</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Transfer agent and registrar’s fees and expenses</w:t>
            </w:r>
          </w:p>
        </w:tc>
        <w:tc>
          <w:tcPr>
            <w:tcW w:w="7140" w:type="dxa"/>
            <w:vAlign w:val="bottom"/>
          </w:tcPr>
          <w:p>
            <w:pPr>
              <w:jc w:val="right"/>
              <w:ind w:right="3318"/>
              <w:spacing w:after="0"/>
              <w:rPr>
                <w:sz w:val="20"/>
                <w:szCs w:val="20"/>
                <w:color w:val="auto"/>
              </w:rPr>
            </w:pPr>
            <w:r>
              <w:rPr>
                <w:rFonts w:ascii="Arial" w:cs="Arial" w:eastAsia="Arial" w:hAnsi="Arial"/>
                <w:sz w:val="16"/>
                <w:szCs w:val="16"/>
                <w:color w:val="auto"/>
              </w:rPr>
              <w:t>$2,500†</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Miscellaneous Expenses</w:t>
            </w:r>
          </w:p>
        </w:tc>
        <w:tc>
          <w:tcPr>
            <w:tcW w:w="7140" w:type="dxa"/>
            <w:vAlign w:val="bottom"/>
          </w:tcPr>
          <w:p>
            <w:pPr>
              <w:jc w:val="right"/>
              <w:ind w:right="3318"/>
              <w:spacing w:after="0"/>
              <w:rPr>
                <w:sz w:val="20"/>
                <w:szCs w:val="20"/>
                <w:color w:val="auto"/>
              </w:rPr>
            </w:pPr>
            <w:r>
              <w:rPr>
                <w:rFonts w:ascii="Arial" w:cs="Arial" w:eastAsia="Arial" w:hAnsi="Arial"/>
                <w:sz w:val="16"/>
                <w:szCs w:val="16"/>
                <w:color w:val="auto"/>
              </w:rPr>
              <w:t>$2,000†</w:t>
            </w: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Total</w:t>
            </w:r>
          </w:p>
        </w:tc>
        <w:tc>
          <w:tcPr>
            <w:tcW w:w="7140" w:type="dxa"/>
            <w:vAlign w:val="bottom"/>
          </w:tcPr>
          <w:p>
            <w:pPr>
              <w:jc w:val="right"/>
              <w:ind w:right="3318"/>
              <w:spacing w:after="0"/>
              <w:rPr>
                <w:sz w:val="20"/>
                <w:szCs w:val="20"/>
                <w:color w:val="auto"/>
              </w:rPr>
            </w:pPr>
            <w:r>
              <w:rPr>
                <w:rFonts w:ascii="Arial" w:cs="Arial" w:eastAsia="Arial" w:hAnsi="Arial"/>
                <w:sz w:val="16"/>
                <w:szCs w:val="16"/>
                <w:color w:val="auto"/>
              </w:rPr>
              <w:t>$42,106†</w:t>
            </w:r>
          </w:p>
        </w:tc>
      </w:tr>
      <w:tr>
        <w:trPr>
          <w:trHeight w:val="383"/>
        </w:trPr>
        <w:tc>
          <w:tcPr>
            <w:tcW w:w="4220" w:type="dxa"/>
            <w:vAlign w:val="bottom"/>
          </w:tcPr>
          <w:p>
            <w:pPr>
              <w:ind w:left="3020"/>
              <w:spacing w:after="0"/>
              <w:rPr>
                <w:sz w:val="20"/>
                <w:szCs w:val="20"/>
                <w:color w:val="auto"/>
              </w:rPr>
            </w:pPr>
            <w:r>
              <w:rPr>
                <w:rFonts w:ascii="Arial" w:cs="Arial" w:eastAsia="Arial" w:hAnsi="Arial"/>
                <w:sz w:val="16"/>
                <w:szCs w:val="16"/>
                <w:color w:val="auto"/>
              </w:rPr>
              <w:t>†</w:t>
            </w:r>
          </w:p>
        </w:tc>
        <w:tc>
          <w:tcPr>
            <w:tcW w:w="7140" w:type="dxa"/>
            <w:vAlign w:val="bottom"/>
          </w:tcPr>
          <w:p>
            <w:pPr>
              <w:ind w:left="620"/>
              <w:spacing w:after="0"/>
              <w:rPr>
                <w:sz w:val="20"/>
                <w:szCs w:val="20"/>
                <w:color w:val="auto"/>
              </w:rPr>
            </w:pPr>
            <w:r>
              <w:rPr>
                <w:rFonts w:ascii="Arial" w:cs="Arial" w:eastAsia="Arial" w:hAnsi="Arial"/>
                <w:sz w:val="16"/>
                <w:szCs w:val="16"/>
                <w:color w:val="auto"/>
                <w:w w:val="96"/>
              </w:rPr>
              <w:t>Estimated expenses are not presently known. The foregoing sets forth the general categories of</w:t>
            </w:r>
          </w:p>
        </w:tc>
      </w:tr>
      <w:tr>
        <w:trPr>
          <w:trHeight w:val="197"/>
        </w:trPr>
        <w:tc>
          <w:tcPr>
            <w:tcW w:w="4220" w:type="dxa"/>
            <w:vAlign w:val="bottom"/>
          </w:tcPr>
          <w:p>
            <w:pPr>
              <w:spacing w:after="0"/>
              <w:rPr>
                <w:sz w:val="17"/>
                <w:szCs w:val="17"/>
                <w:color w:val="auto"/>
              </w:rPr>
            </w:pPr>
          </w:p>
        </w:tc>
        <w:tc>
          <w:tcPr>
            <w:tcW w:w="7140" w:type="dxa"/>
            <w:vAlign w:val="bottom"/>
          </w:tcPr>
          <w:p>
            <w:pPr>
              <w:ind w:left="620"/>
              <w:spacing w:after="0"/>
              <w:rPr>
                <w:sz w:val="20"/>
                <w:szCs w:val="20"/>
                <w:color w:val="auto"/>
              </w:rPr>
            </w:pPr>
            <w:r>
              <w:rPr>
                <w:rFonts w:ascii="Arial" w:cs="Arial" w:eastAsia="Arial" w:hAnsi="Arial"/>
                <w:sz w:val="16"/>
                <w:szCs w:val="16"/>
                <w:color w:val="auto"/>
                <w:w w:val="93"/>
              </w:rPr>
              <w:t>expenses (other than underwriting discounts and commissions) that the Company anticipates it will</w:t>
            </w:r>
          </w:p>
        </w:tc>
      </w:tr>
      <w:tr>
        <w:trPr>
          <w:trHeight w:val="208"/>
        </w:trPr>
        <w:tc>
          <w:tcPr>
            <w:tcW w:w="42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6"/>
                <w:szCs w:val="16"/>
                <w:color w:val="auto"/>
              </w:rPr>
              <w:t>incur in connection with the offering of securities under the registration statement.</w:t>
            </w:r>
          </w:p>
        </w:tc>
      </w:tr>
    </w:tbl>
    <w:p>
      <w:pPr>
        <w:spacing w:after="0" w:line="379" w:lineRule="exact"/>
        <w:rPr>
          <w:sz w:val="20"/>
          <w:szCs w:val="20"/>
          <w:color w:val="auto"/>
        </w:rPr>
      </w:pPr>
    </w:p>
    <w:p>
      <w:pPr>
        <w:ind w:left="1"/>
        <w:spacing w:after="0"/>
        <w:tabs>
          <w:tab w:leader="none" w:pos="1001"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9" w:lineRule="exact"/>
        <w:rPr>
          <w:sz w:val="20"/>
          <w:szCs w:val="20"/>
          <w:color w:val="auto"/>
        </w:rPr>
      </w:pPr>
    </w:p>
    <w:p>
      <w:pPr>
        <w:ind w:left="1" w:right="400" w:firstLine="41"/>
        <w:spacing w:after="0" w:line="288" w:lineRule="auto"/>
        <w:rPr>
          <w:sz w:val="20"/>
          <w:szCs w:val="20"/>
          <w:color w:val="auto"/>
        </w:rPr>
      </w:pPr>
      <w:r>
        <w:rPr>
          <w:rFonts w:ascii="Arial" w:cs="Arial" w:eastAsia="Arial" w:hAnsi="Arial"/>
          <w:sz w:val="16"/>
          <w:szCs w:val="16"/>
          <w:color w:val="auto"/>
        </w:rPr>
        <w:t>Our officers and directors are indemnified under Nevada law. Our Amended and Restated Articles of Incorporation and our By-laws are silent as to director and officer indemnification.</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color w:val="auto"/>
        </w:rPr>
        <w:t>Nevada Revised Statute. The registrant is a Nevada corporation.</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5"/>
          <w:szCs w:val="15"/>
          <w:color w:val="auto"/>
        </w:rPr>
        <w:t>Section 78.138 of the Nevada Revised Statutes provides that a director or officer will not be personally liable to the corporation and its stockholders unless it is proven that</w:t>
      </w:r>
    </w:p>
    <w:p>
      <w:pPr>
        <w:spacing w:after="0" w:line="36" w:lineRule="exact"/>
        <w:rPr>
          <w:sz w:val="20"/>
          <w:szCs w:val="20"/>
          <w:color w:val="auto"/>
        </w:rPr>
      </w:pPr>
    </w:p>
    <w:p>
      <w:pPr>
        <w:jc w:val="both"/>
        <w:ind w:left="1" w:hanging="1"/>
        <w:spacing w:after="0" w:line="262" w:lineRule="auto"/>
        <w:tabs>
          <w:tab w:leader="none" w:pos="2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71" w:lineRule="exact"/>
        <w:rPr>
          <w:sz w:val="20"/>
          <w:szCs w:val="20"/>
          <w:color w:val="auto"/>
        </w:rPr>
      </w:pPr>
    </w:p>
    <w:p>
      <w:pPr>
        <w:jc w:val="both"/>
        <w:ind w:left="1"/>
        <w:spacing w:after="0" w:line="279" w:lineRule="auto"/>
        <w:rPr>
          <w:sz w:val="20"/>
          <w:szCs w:val="20"/>
          <w:color w:val="auto"/>
        </w:rPr>
      </w:pPr>
      <w:r>
        <w:rPr>
          <w:rFonts w:ascii="Arial" w:cs="Arial" w:eastAsia="Arial" w:hAnsi="Arial"/>
          <w:sz w:val="15"/>
          <w:szCs w:val="15"/>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87" w:lineRule="exact"/>
        <w:rPr>
          <w:sz w:val="20"/>
          <w:szCs w:val="20"/>
          <w:color w:val="auto"/>
        </w:rPr>
      </w:pPr>
    </w:p>
    <w:p>
      <w:pPr>
        <w:jc w:val="both"/>
        <w:ind w:left="1"/>
        <w:spacing w:after="0" w:line="284" w:lineRule="auto"/>
        <w:rPr>
          <w:sz w:val="20"/>
          <w:szCs w:val="20"/>
          <w:color w:val="auto"/>
        </w:rPr>
      </w:pPr>
      <w:r>
        <w:rPr>
          <w:rFonts w:ascii="Arial" w:cs="Arial" w:eastAsia="Arial" w:hAnsi="Arial"/>
          <w:sz w:val="15"/>
          <w:szCs w:val="15"/>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11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20"/>
                <w:szCs w:val="20"/>
                <w:color w:val="auto"/>
              </w:rPr>
            </w:pPr>
            <w:r>
              <w:rPr>
                <w:rFonts w:ascii="Arial" w:cs="Arial" w:eastAsia="Arial" w:hAnsi="Arial"/>
                <w:sz w:val="16"/>
                <w:szCs w:val="16"/>
                <w:b w:val="1"/>
                <w:bCs w:val="1"/>
                <w:color w:val="auto"/>
              </w:rPr>
              <w:t>ITEM 16.</w:t>
            </w:r>
          </w:p>
        </w:tc>
        <w:tc>
          <w:tcPr>
            <w:tcW w:w="1052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EXHIBITS.</w:t>
            </w:r>
          </w:p>
        </w:tc>
      </w:tr>
      <w:tr>
        <w:trPr>
          <w:trHeight w:val="379"/>
        </w:trPr>
        <w:tc>
          <w:tcPr>
            <w:tcW w:w="9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24"/>
                <w:szCs w:val="24"/>
                <w:color w:val="auto"/>
              </w:rPr>
            </w:pPr>
          </w:p>
        </w:tc>
        <w:tc>
          <w:tcPr>
            <w:tcW w:w="10280" w:type="dxa"/>
            <w:vAlign w:val="bottom"/>
          </w:tcPr>
          <w:p>
            <w:pPr>
              <w:spacing w:after="0"/>
              <w:rPr>
                <w:sz w:val="24"/>
                <w:szCs w:val="24"/>
                <w:color w:val="auto"/>
              </w:rPr>
            </w:pPr>
          </w:p>
        </w:tc>
      </w:tr>
      <w:tr>
        <w:trPr>
          <w:trHeight w:val="213"/>
        </w:trPr>
        <w:tc>
          <w:tcPr>
            <w:tcW w:w="9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520" w:type="dxa"/>
            <w:vAlign w:val="bottom"/>
            <w:gridSpan w:val="2"/>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8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6"/>
                <w:szCs w:val="16"/>
                <w:color w:val="auto"/>
              </w:rPr>
              <w:t>3.1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9"/>
              </w:rPr>
              <w:t>Amended Articles of Incorporation dated February 3, 2009 as filed as Exhibit 3.1 to Form 8-K filed on February 6, 2009 and incorporated herein by</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3.2</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Amended Articles of Incorporation dated May 19, 1999 as filed as Exhibit 2.1 to the Registration Statement filed on Form 10-SB on September 3, 1999 and</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3.3</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Amended and Restated Bylaws of the company dated May 10, 2004 as filed as Exhibit 3.1 to the company's Quarterly Report on Form 10-QSB as filed on</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May 20, 2004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3.4</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5"/>
              </w:rPr>
              <w:t>Certificate of Designation for the company’s Series A Convertible Preferred Stock, dated January 6, 2014 as filed as exhibit 3.2 to the company’s current</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report on Form 8-K filed on January 7, 2014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3.5</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Certificate of Amendment to Articles of Incorporation dated February 20, 2014 as filed as Exhibit 3.3 to the company’s current report on Form 8-K filed on</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March 3, 2014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3.6</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Certificate of Designation for the company’s Series B Convertible Preferred Stock, dated February 18, 2014 as filed as exhibit 3.2 to the company’s current</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report on Form 8-K filed on March 3, 2014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Form of Common Stock Purchase Warrant issued on August 13, 2014 as filed as Exhibit 4.1 to the company’s current report on Form 8-K filed on August</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14, 2014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4.2</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Form of Common Stock Purchase Warrants-Series A as filed as filed as Exhibit 4.1 to the company’s current report on Form 8-K filed on January 12,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4.3</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Form of Common Stock Purchase Warrants-Series B as filed as filed as Exhibit 4.2 to the company’s current report on Form 8-K filed on January 12,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4.4</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Form of Common Stock Purchase Warrants-Series C as filed as filed as Exhibit 4.3 to the company’s current report on Form 8-K filed on January 12,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4.5</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Form of Common Stock Purchase Warrants-Series D as filed as filed as Exhibit 4.4 to the company’s current report on Form 8-K filed on January 12,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4.6</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4"/>
              </w:rPr>
              <w:t>Form of Common Stock Purchase Warrants-Series E as filed as filed as Exhibit 4.5 to the company’s current report on Form 8-K filed on January 12,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4.7</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Form of Common Stock Purchase Warrants-Series A-1 as filed as filed as Exhibit 4.1 to the company’s current report on Form 8-K filed on March 10,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4.8</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Form of Common Stock Purchase Warrants-Series B-1 as filed as filed as Exhibit 4.2 to the company’s current report on Form 8-K filed on March 10,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4.9</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Form of Common Stock Purchase Warrants-Series C-1 as filed as filed as Exhibit 4.3 to the company’s current report on Form 8-K filed on March 10,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4.10</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Form of Common Stock Purchase Warrants-Series D-1 as filed as filed as Exhibit 4.4 to the company’s current report on Form 8-K filed on March 10,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4.11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Form of Common Stock Purchase Warrants-Series E-1 as filed as filed as Exhibit 4.5 to the company’s current report on Form 8-K filed on March 10,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5.1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Opinion of Sanders Ortoli Vaughn-Flam Rosenstadt LLP*</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1"/>
              </w:rPr>
              <w:t>Form of Securities Purchase Agreement, dated as of August 11, 2014, by and among the company and the Purchasers in the August 2014 offering as filed as</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Exhibit 10.1 to the company’s current report on Form 8-K filed on August 14, 2014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10.2</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Form of Securities Purchase Agreement, dated as of January 12, 2015, by and among the Company and the Purchasers in the January offering as filed as</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Exhibit 10.1 to the company’s current report on Form 8-K filed on January 12, 2015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10.3</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5"/>
              </w:rPr>
              <w:t>Securities Purchase Agreement, dated as of March 9, 2015, between the Company and Eastern Capital Limited as filed as Exhibit 10.1 to the company’s</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current report on Form 8-K filed on March 10, 2015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10.4</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5"/>
              </w:rPr>
              <w:t>Form of Restructuring Agreement, dated as of May 28, 2015, among the company and the purchasers in the January 2015 offering and the March 2015</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offering as filed as Exhibit 10.1 to the company’s current report on Form 8-K filed on June 3, 2015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10.5</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Amended and Restated Restructuring Agreement, dated as June 2, 2015, between the company and Eastern Capital Limited as filed as Exhibit 10.1 to the</w:t>
            </w:r>
          </w:p>
        </w:tc>
      </w:tr>
      <w:tr>
        <w:trPr>
          <w:trHeight w:val="197"/>
        </w:trPr>
        <w:tc>
          <w:tcPr>
            <w:tcW w:w="900" w:type="dxa"/>
            <w:vAlign w:val="bottom"/>
          </w:tcPr>
          <w:p>
            <w:pPr>
              <w:spacing w:after="0"/>
              <w:rPr>
                <w:sz w:val="17"/>
                <w:szCs w:val="17"/>
                <w:color w:val="auto"/>
              </w:rPr>
            </w:pP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company’s current report on Form 8-K filed on June 5, 2015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21.1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w w:val="93"/>
              </w:rPr>
              <w:t>List of subsidiaries as filed as Exhibit 21.2 to the company’s registration statement on Form S-1 filed on June 16, 2010 and incorporated herein by reference</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23.1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Consent of Dale Matheson Carr-Hilton LaBonte LLP*</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23.2</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Consent of Marcum LLP*</w:t>
            </w: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23.3</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Consent of Sanders Ortoli Vaughn-Flam Rosenstadt LLP (included in the opinion filed as Exhibit 5.1)</w:t>
            </w:r>
          </w:p>
        </w:tc>
      </w:tr>
      <w:tr>
        <w:trPr>
          <w:trHeight w:val="208"/>
        </w:trPr>
        <w:tc>
          <w:tcPr>
            <w:tcW w:w="900" w:type="dxa"/>
            <w:vAlign w:val="bottom"/>
          </w:tcPr>
          <w:p>
            <w:pPr>
              <w:spacing w:after="0"/>
              <w:rPr>
                <w:sz w:val="20"/>
                <w:szCs w:val="20"/>
                <w:color w:val="auto"/>
              </w:rPr>
            </w:pPr>
            <w:r>
              <w:rPr>
                <w:rFonts w:ascii="Arial" w:cs="Arial" w:eastAsia="Arial" w:hAnsi="Arial"/>
                <w:sz w:val="16"/>
                <w:szCs w:val="16"/>
                <w:color w:val="auto"/>
              </w:rPr>
              <w:t>24.1</w:t>
            </w:r>
          </w:p>
        </w:tc>
        <w:tc>
          <w:tcPr>
            <w:tcW w:w="10520" w:type="dxa"/>
            <w:vAlign w:val="bottom"/>
            <w:gridSpan w:val="2"/>
          </w:tcPr>
          <w:p>
            <w:pPr>
              <w:ind w:left="240"/>
              <w:spacing w:after="0"/>
              <w:rPr>
                <w:sz w:val="20"/>
                <w:szCs w:val="20"/>
                <w:color w:val="auto"/>
              </w:rPr>
            </w:pPr>
            <w:r>
              <w:rPr>
                <w:rFonts w:ascii="Arial" w:cs="Arial" w:eastAsia="Arial" w:hAnsi="Arial"/>
                <w:sz w:val="16"/>
                <w:szCs w:val="16"/>
                <w:color w:val="auto"/>
              </w:rPr>
              <w:t>Power of Attorney (included on the signature page to this Registration Statement)*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82" w:name="page83"/>
    <w:bookmarkEnd w:id="82"/>
    <w:p>
      <w:pPr>
        <w:ind w:left="1"/>
        <w:spacing w:after="0"/>
        <w:tabs>
          <w:tab w:leader="none" w:pos="1121"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14" w:lineRule="exact"/>
        <w:rPr>
          <w:sz w:val="20"/>
          <w:szCs w:val="20"/>
          <w:color w:val="auto"/>
        </w:rPr>
      </w:pPr>
    </w:p>
    <w:p>
      <w:pPr>
        <w:ind w:left="1141" w:hanging="1141"/>
        <w:spacing w:after="0"/>
        <w:tabs>
          <w:tab w:leader="none" w:pos="114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RULE 415 OFFERING</w:t>
      </w:r>
    </w:p>
    <w:p>
      <w:pPr>
        <w:spacing w:after="0" w:line="210"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210"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(1) To file, during any period in which offers or sales are being made, a post-effective amendment to this Registration Statement:</w:t>
      </w:r>
    </w:p>
    <w:p>
      <w:pPr>
        <w:spacing w:after="0" w:line="210" w:lineRule="exact"/>
        <w:rPr>
          <w:rFonts w:ascii="Arial" w:cs="Arial" w:eastAsia="Arial" w:hAnsi="Arial"/>
          <w:sz w:val="16"/>
          <w:szCs w:val="16"/>
          <w:color w:val="auto"/>
        </w:rPr>
      </w:pPr>
    </w:p>
    <w:p>
      <w:pPr>
        <w:ind w:left="821" w:hanging="230"/>
        <w:spacing w:after="0"/>
        <w:tabs>
          <w:tab w:leader="none" w:pos="821"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w:t>
      </w:r>
    </w:p>
    <w:p>
      <w:pPr>
        <w:spacing w:after="0" w:line="210" w:lineRule="exact"/>
        <w:rPr>
          <w:rFonts w:ascii="Arial" w:cs="Arial" w:eastAsia="Arial" w:hAnsi="Arial"/>
          <w:sz w:val="16"/>
          <w:szCs w:val="16"/>
          <w:color w:val="auto"/>
        </w:rPr>
      </w:pPr>
    </w:p>
    <w:p>
      <w:pPr>
        <w:jc w:val="both"/>
        <w:ind w:left="581" w:firstLine="10"/>
        <w:spacing w:after="0" w:line="263" w:lineRule="auto"/>
        <w:tabs>
          <w:tab w:leader="none" w:pos="8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9" w:lineRule="exact"/>
        <w:rPr>
          <w:rFonts w:ascii="Arial" w:cs="Arial" w:eastAsia="Arial" w:hAnsi="Arial"/>
          <w:sz w:val="16"/>
          <w:szCs w:val="16"/>
          <w:color w:val="auto"/>
        </w:rPr>
      </w:pPr>
    </w:p>
    <w:p>
      <w:pPr>
        <w:ind w:left="1" w:firstLine="590"/>
        <w:spacing w:after="0" w:line="288" w:lineRule="auto"/>
        <w:tabs>
          <w:tab w:leader="none" w:pos="921"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color w:val="auto"/>
        </w:rPr>
        <w:t>Provided, however, That:</w:t>
      </w:r>
    </w:p>
    <w:p>
      <w:pPr>
        <w:spacing w:after="0" w:line="210" w:lineRule="exact"/>
        <w:rPr>
          <w:sz w:val="20"/>
          <w:szCs w:val="20"/>
          <w:color w:val="auto"/>
        </w:rPr>
      </w:pPr>
    </w:p>
    <w:p>
      <w:pPr>
        <w:jc w:val="both"/>
        <w:ind w:left="581" w:firstLine="10"/>
        <w:spacing w:after="0" w:line="272" w:lineRule="auto"/>
        <w:tabs>
          <w:tab w:leader="none" w:pos="854" w:val="left"/>
        </w:tabs>
        <w:numPr>
          <w:ilvl w:val="1"/>
          <w:numId w:val="43"/>
        </w:numPr>
        <w:rPr>
          <w:rFonts w:ascii="Arial" w:cs="Arial" w:eastAsia="Arial" w:hAnsi="Arial"/>
          <w:sz w:val="16"/>
          <w:szCs w:val="16"/>
          <w:color w:val="auto"/>
        </w:rPr>
      </w:pPr>
      <w:r>
        <w:rPr>
          <w:rFonts w:ascii="Arial" w:cs="Arial" w:eastAsia="Arial" w:hAnsi="Arial"/>
          <w:sz w:val="16"/>
          <w:szCs w:val="16"/>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62" w:lineRule="exact"/>
        <w:rPr>
          <w:rFonts w:ascii="Arial" w:cs="Arial" w:eastAsia="Arial" w:hAnsi="Arial"/>
          <w:sz w:val="16"/>
          <w:szCs w:val="16"/>
          <w:color w:val="auto"/>
        </w:rPr>
      </w:pPr>
    </w:p>
    <w:p>
      <w:pPr>
        <w:jc w:val="both"/>
        <w:ind w:left="581" w:firstLine="10"/>
        <w:spacing w:after="0" w:line="267" w:lineRule="auto"/>
        <w:tabs>
          <w:tab w:leader="none" w:pos="842" w:val="left"/>
        </w:tabs>
        <w:numPr>
          <w:ilvl w:val="1"/>
          <w:numId w:val="43"/>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6" w:lineRule="exact"/>
        <w:rPr>
          <w:rFonts w:ascii="Arial" w:cs="Arial" w:eastAsia="Arial" w:hAnsi="Arial"/>
          <w:sz w:val="16"/>
          <w:szCs w:val="16"/>
          <w:color w:val="auto"/>
        </w:rPr>
      </w:pPr>
    </w:p>
    <w:p>
      <w:pPr>
        <w:ind w:left="1" w:hanging="1"/>
        <w:spacing w:after="0" w:line="324" w:lineRule="auto"/>
        <w:tabs>
          <w:tab w:leader="none" w:pos="307"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25" w:lineRule="exact"/>
        <w:rPr>
          <w:rFonts w:ascii="Arial" w:cs="Arial" w:eastAsia="Arial" w:hAnsi="Arial"/>
          <w:sz w:val="15"/>
          <w:szCs w:val="15"/>
          <w:color w:val="auto"/>
        </w:rPr>
      </w:pPr>
    </w:p>
    <w:p>
      <w:pPr>
        <w:ind w:left="261" w:hanging="261"/>
        <w:spacing w:after="0"/>
        <w:tabs>
          <w:tab w:leader="none" w:pos="261"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21" w:lineRule="exact"/>
        <w:rPr>
          <w:rFonts w:ascii="Arial" w:cs="Arial" w:eastAsia="Arial" w:hAnsi="Arial"/>
          <w:sz w:val="15"/>
          <w:szCs w:val="15"/>
          <w:color w:val="auto"/>
        </w:rPr>
      </w:pPr>
    </w:p>
    <w:p>
      <w:pPr>
        <w:ind w:left="261" w:hanging="261"/>
        <w:spacing w:after="0"/>
        <w:tabs>
          <w:tab w:leader="none" w:pos="26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as amended, to any purchaser:</w:t>
      </w:r>
    </w:p>
    <w:p>
      <w:pPr>
        <w:spacing w:after="0" w:line="210" w:lineRule="exact"/>
        <w:rPr>
          <w:rFonts w:ascii="Arial" w:cs="Arial" w:eastAsia="Arial" w:hAnsi="Arial"/>
          <w:sz w:val="16"/>
          <w:szCs w:val="16"/>
          <w:color w:val="auto"/>
        </w:rPr>
      </w:pPr>
    </w:p>
    <w:p>
      <w:pPr>
        <w:ind w:left="581" w:firstLine="10"/>
        <w:spacing w:after="0" w:line="288" w:lineRule="auto"/>
        <w:tabs>
          <w:tab w:leader="none" w:pos="86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9" w:lineRule="exact"/>
        <w:rPr>
          <w:rFonts w:ascii="Arial" w:cs="Arial" w:eastAsia="Arial" w:hAnsi="Arial"/>
          <w:sz w:val="16"/>
          <w:szCs w:val="16"/>
          <w:color w:val="auto"/>
        </w:rPr>
      </w:pPr>
    </w:p>
    <w:p>
      <w:pPr>
        <w:jc w:val="both"/>
        <w:ind w:left="581" w:firstLine="10"/>
        <w:spacing w:after="0" w:line="279" w:lineRule="auto"/>
        <w:tabs>
          <w:tab w:leader="none" w:pos="856" w:val="left"/>
        </w:tabs>
        <w:numPr>
          <w:ilvl w:val="1"/>
          <w:numId w:val="44"/>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899" w:right="239" w:bottom="1440" w:gutter="0" w:footer="0" w:header="0"/>
        </w:sectPr>
      </w:pPr>
    </w:p>
    <w:bookmarkStart w:id="83" w:name="page84"/>
    <w:bookmarkEnd w:id="83"/>
    <w:p>
      <w:pPr>
        <w:jc w:val="both"/>
        <w:ind w:left="1" w:hanging="1"/>
        <w:spacing w:after="0" w:line="267" w:lineRule="auto"/>
        <w:tabs>
          <w:tab w:leader="none" w:pos="2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7" w:lineRule="exact"/>
        <w:rPr>
          <w:sz w:val="20"/>
          <w:szCs w:val="20"/>
          <w:color w:val="auto"/>
        </w:rPr>
      </w:pPr>
    </w:p>
    <w:p>
      <w:pPr>
        <w:ind w:left="201" w:hanging="201"/>
        <w:spacing w:after="0"/>
        <w:tabs>
          <w:tab w:leader="none" w:pos="2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34" w:lineRule="exact"/>
        <w:rPr>
          <w:rFonts w:ascii="Arial" w:cs="Arial" w:eastAsia="Arial" w:hAnsi="Arial"/>
          <w:sz w:val="16"/>
          <w:szCs w:val="16"/>
          <w:color w:val="auto"/>
        </w:rPr>
      </w:pPr>
    </w:p>
    <w:p>
      <w:pPr>
        <w:ind w:left="241" w:hanging="241"/>
        <w:spacing w:after="0"/>
        <w:tabs>
          <w:tab w:leader="none" w:pos="2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234" w:lineRule="exact"/>
        <w:rPr>
          <w:rFonts w:ascii="Arial" w:cs="Arial" w:eastAsia="Arial" w:hAnsi="Arial"/>
          <w:sz w:val="16"/>
          <w:szCs w:val="16"/>
          <w:color w:val="auto"/>
        </w:rPr>
      </w:pPr>
    </w:p>
    <w:p>
      <w:pPr>
        <w:ind w:left="1" w:hanging="1"/>
        <w:spacing w:after="0" w:line="288" w:lineRule="auto"/>
        <w:tabs>
          <w:tab w:leader="none" w:pos="2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49" w:lineRule="exact"/>
        <w:rPr>
          <w:rFonts w:ascii="Arial" w:cs="Arial" w:eastAsia="Arial" w:hAnsi="Arial"/>
          <w:sz w:val="16"/>
          <w:szCs w:val="16"/>
          <w:color w:val="auto"/>
        </w:rPr>
      </w:pPr>
    </w:p>
    <w:p>
      <w:pPr>
        <w:ind w:left="281" w:hanging="281"/>
        <w:spacing w:after="0"/>
        <w:tabs>
          <w:tab w:leader="none" w:pos="281"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10" w:lineRule="exact"/>
        <w:rPr>
          <w:sz w:val="20"/>
          <w:szCs w:val="20"/>
          <w:color w:val="auto"/>
        </w:rPr>
      </w:pPr>
    </w:p>
    <w:p>
      <w:pPr>
        <w:jc w:val="both"/>
        <w:ind w:left="1" w:hanging="1"/>
        <w:spacing w:after="0" w:line="265" w:lineRule="auto"/>
        <w:tabs>
          <w:tab w:leader="none" w:pos="27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7" w:lineRule="exact"/>
        <w:rPr>
          <w:sz w:val="20"/>
          <w:szCs w:val="20"/>
          <w:color w:val="auto"/>
        </w:rPr>
      </w:pPr>
    </w:p>
    <w:p>
      <w:pPr>
        <w:jc w:val="both"/>
        <w:ind w:left="1" w:hanging="1"/>
        <w:spacing w:after="0" w:line="282" w:lineRule="auto"/>
        <w:tabs>
          <w:tab w:leader="none" w:pos="308"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681" w:right="239" w:bottom="1440" w:gutter="0" w:footer="0" w:header="0"/>
        </w:sectPr>
      </w:pPr>
    </w:p>
    <w:bookmarkStart w:id="84" w:name="page85"/>
    <w:bookmarkEnd w:id="84"/>
    <w:p>
      <w:pPr>
        <w:ind w:left="1"/>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left="1" w:right="380" w:firstLine="443"/>
        <w:spacing w:after="0" w:line="288"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on July 8, 2015.</w:t>
      </w:r>
    </w:p>
    <w:p>
      <w:pPr>
        <w:spacing w:after="0" w:line="347" w:lineRule="exact"/>
        <w:rPr>
          <w:sz w:val="20"/>
          <w:szCs w:val="20"/>
          <w:color w:val="auto"/>
        </w:rPr>
      </w:pPr>
    </w:p>
    <w:tbl>
      <w:tblPr>
        <w:tblLayout w:type="fixed"/>
        <w:tblInd w:w="1" w:type="dxa"/>
        <w:tblCellMar>
          <w:top w:w="0" w:type="dxa"/>
          <w:left w:w="0" w:type="dxa"/>
          <w:bottom w:w="0" w:type="dxa"/>
          <w:right w:w="0" w:type="dxa"/>
        </w:tblCellMar>
      </w:tblPr>
      <w:tr>
        <w:trPr>
          <w:trHeight w:val="208"/>
        </w:trPr>
        <w:tc>
          <w:tcPr>
            <w:tcW w:w="4580" w:type="dxa"/>
            <w:vAlign w:val="bottom"/>
          </w:tcPr>
          <w:p>
            <w:pPr>
              <w:spacing w:after="0"/>
              <w:rPr>
                <w:sz w:val="20"/>
                <w:szCs w:val="20"/>
                <w:color w:val="auto"/>
              </w:rPr>
            </w:pPr>
            <w:r>
              <w:rPr>
                <w:rFonts w:ascii="Arial" w:cs="Arial" w:eastAsia="Arial" w:hAnsi="Arial"/>
                <w:sz w:val="16"/>
                <w:szCs w:val="16"/>
                <w:color w:val="auto"/>
              </w:rPr>
              <w:t>TapImmune Inc.</w:t>
            </w: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58"/>
        </w:trPr>
        <w:tc>
          <w:tcPr>
            <w:tcW w:w="4580" w:type="dxa"/>
            <w:vAlign w:val="bottom"/>
          </w:tcPr>
          <w:p>
            <w:pPr>
              <w:spacing w:after="0"/>
              <w:rPr>
                <w:sz w:val="20"/>
                <w:szCs w:val="20"/>
                <w:color w:val="auto"/>
              </w:rPr>
            </w:pPr>
            <w:r>
              <w:rPr>
                <w:rFonts w:ascii="Arial" w:cs="Arial" w:eastAsia="Arial" w:hAnsi="Arial"/>
                <w:sz w:val="16"/>
                <w:szCs w:val="16"/>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/s/ Glynn Wilson</w:t>
            </w:r>
          </w:p>
        </w:tc>
        <w:tc>
          <w:tcPr>
            <w:tcW w:w="2480" w:type="dxa"/>
            <w:vAlign w:val="bottom"/>
          </w:tcPr>
          <w:p>
            <w:pPr>
              <w:spacing w:after="0"/>
              <w:rPr>
                <w:sz w:val="24"/>
                <w:szCs w:val="24"/>
                <w:color w:val="auto"/>
              </w:rPr>
            </w:pPr>
          </w:p>
        </w:tc>
      </w:tr>
      <w:tr>
        <w:trPr>
          <w:trHeight w:val="202"/>
        </w:trPr>
        <w:tc>
          <w:tcPr>
            <w:tcW w:w="458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Glynn Wilson</w:t>
            </w:r>
          </w:p>
        </w:tc>
      </w:tr>
      <w:tr>
        <w:trPr>
          <w:trHeight w:val="197"/>
        </w:trPr>
        <w:tc>
          <w:tcPr>
            <w:tcW w:w="458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w w:val="97"/>
              </w:rPr>
              <w:t>Chief Executive Officer (Principal Executive Officer),</w:t>
            </w:r>
          </w:p>
        </w:tc>
      </w:tr>
      <w:tr>
        <w:trPr>
          <w:trHeight w:val="208"/>
        </w:trPr>
        <w:tc>
          <w:tcPr>
            <w:tcW w:w="45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w w:val="97"/>
              </w:rPr>
              <w:t>Chief Financial Officer (Principal Accounting Officer)</w:t>
            </w:r>
          </w:p>
        </w:tc>
      </w:tr>
    </w:tbl>
    <w:p>
      <w:pPr>
        <w:spacing w:after="0" w:line="200" w:lineRule="exact"/>
        <w:rPr>
          <w:sz w:val="20"/>
          <w:szCs w:val="20"/>
          <w:color w:val="auto"/>
        </w:rPr>
      </w:pPr>
    </w:p>
    <w:p>
      <w:pPr>
        <w:spacing w:after="0" w:line="380"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46"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2900" w:type="dxa"/>
            <w:vAlign w:val="bottom"/>
            <w:gridSpan w:val="5"/>
          </w:tcPr>
          <w:p>
            <w:pPr>
              <w:spacing w:after="0"/>
              <w:rPr>
                <w:sz w:val="20"/>
                <w:szCs w:val="20"/>
                <w:color w:val="auto"/>
              </w:rPr>
            </w:pPr>
            <w:r>
              <w:rPr>
                <w:rFonts w:ascii="Arial" w:cs="Arial" w:eastAsia="Arial" w:hAnsi="Arial"/>
                <w:sz w:val="16"/>
                <w:szCs w:val="16"/>
                <w:b w:val="1"/>
                <w:bCs w:val="1"/>
                <w:color w:val="auto"/>
              </w:rPr>
              <w:t>Signature</w:t>
            </w:r>
          </w:p>
        </w:tc>
        <w:tc>
          <w:tcPr>
            <w:tcW w:w="5900" w:type="dxa"/>
            <w:vAlign w:val="bottom"/>
            <w:gridSpan w:val="2"/>
          </w:tcPr>
          <w:p>
            <w:pPr>
              <w:ind w:left="760"/>
              <w:spacing w:after="0"/>
              <w:rPr>
                <w:sz w:val="20"/>
                <w:szCs w:val="20"/>
                <w:color w:val="auto"/>
              </w:rPr>
            </w:pPr>
            <w:r>
              <w:rPr>
                <w:rFonts w:ascii="Arial" w:cs="Arial" w:eastAsia="Arial" w:hAnsi="Arial"/>
                <w:sz w:val="16"/>
                <w:szCs w:val="16"/>
                <w:b w:val="1"/>
                <w:bCs w:val="1"/>
                <w:color w:val="auto"/>
              </w:rPr>
              <w:t>Title</w:t>
            </w:r>
          </w:p>
        </w:tc>
        <w:tc>
          <w:tcPr>
            <w:tcW w:w="5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3"/>
              </w:rPr>
              <w:t>/s/ Sherry Grisewood*</w:t>
            </w:r>
          </w:p>
        </w:tc>
        <w:tc>
          <w:tcPr>
            <w:tcW w:w="1420" w:type="dxa"/>
            <w:vAlign w:val="bottom"/>
            <w:gridSpan w:val="2"/>
          </w:tcPr>
          <w:p>
            <w:pPr>
              <w:spacing w:after="0"/>
              <w:rPr>
                <w:sz w:val="24"/>
                <w:szCs w:val="24"/>
                <w:color w:val="auto"/>
              </w:rPr>
            </w:pPr>
          </w:p>
        </w:tc>
        <w:tc>
          <w:tcPr>
            <w:tcW w:w="5900" w:type="dxa"/>
            <w:vAlign w:val="bottom"/>
            <w:gridSpan w:val="2"/>
          </w:tcPr>
          <w:p>
            <w:pPr>
              <w:ind w:left="760"/>
              <w:spacing w:after="0"/>
              <w:rPr>
                <w:sz w:val="20"/>
                <w:szCs w:val="20"/>
                <w:color w:val="auto"/>
              </w:rPr>
            </w:pPr>
            <w:r>
              <w:rPr>
                <w:rFonts w:ascii="Arial" w:cs="Arial" w:eastAsia="Arial" w:hAnsi="Arial"/>
                <w:sz w:val="16"/>
                <w:szCs w:val="16"/>
                <w:color w:val="auto"/>
              </w:rPr>
              <w:t>Director</w:t>
            </w:r>
          </w:p>
        </w:tc>
        <w:tc>
          <w:tcPr>
            <w:tcW w:w="5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July 8, 2015</w:t>
            </w:r>
          </w:p>
        </w:tc>
      </w:tr>
      <w:tr>
        <w:trPr>
          <w:trHeight w:val="213"/>
        </w:trPr>
        <w:tc>
          <w:tcPr>
            <w:tcW w:w="2900" w:type="dxa"/>
            <w:vAlign w:val="bottom"/>
            <w:gridSpan w:val="5"/>
          </w:tcPr>
          <w:p>
            <w:pPr>
              <w:spacing w:after="0"/>
              <w:rPr>
                <w:sz w:val="20"/>
                <w:szCs w:val="20"/>
                <w:color w:val="auto"/>
              </w:rPr>
            </w:pPr>
            <w:r>
              <w:rPr>
                <w:rFonts w:ascii="Arial" w:cs="Arial" w:eastAsia="Arial" w:hAnsi="Arial"/>
                <w:sz w:val="16"/>
                <w:szCs w:val="16"/>
                <w:color w:val="auto"/>
              </w:rPr>
              <w:t>Sherry Grisewood</w:t>
            </w:r>
          </w:p>
        </w:tc>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8"/>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5"/>
              </w:rPr>
              <w:t>/s/ Glynn Wilson</w:t>
            </w:r>
          </w:p>
        </w:tc>
        <w:tc>
          <w:tcPr>
            <w:tcW w:w="1780" w:type="dxa"/>
            <w:vAlign w:val="bottom"/>
            <w:gridSpan w:val="3"/>
          </w:tcPr>
          <w:p>
            <w:pPr>
              <w:spacing w:after="0"/>
              <w:rPr>
                <w:sz w:val="24"/>
                <w:szCs w:val="24"/>
                <w:color w:val="auto"/>
              </w:rPr>
            </w:pPr>
          </w:p>
        </w:tc>
        <w:tc>
          <w:tcPr>
            <w:tcW w:w="5900" w:type="dxa"/>
            <w:vAlign w:val="bottom"/>
            <w:gridSpan w:val="2"/>
          </w:tcPr>
          <w:p>
            <w:pPr>
              <w:ind w:left="760"/>
              <w:spacing w:after="0"/>
              <w:rPr>
                <w:sz w:val="20"/>
                <w:szCs w:val="20"/>
                <w:color w:val="auto"/>
              </w:rPr>
            </w:pPr>
            <w:r>
              <w:rPr>
                <w:rFonts w:ascii="Arial" w:cs="Arial" w:eastAsia="Arial" w:hAnsi="Arial"/>
                <w:sz w:val="16"/>
                <w:szCs w:val="16"/>
                <w:color w:val="auto"/>
              </w:rPr>
              <w:t>Director</w:t>
            </w:r>
          </w:p>
        </w:tc>
        <w:tc>
          <w:tcPr>
            <w:tcW w:w="5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July 8, 2015</w:t>
            </w:r>
          </w:p>
        </w:tc>
      </w:tr>
      <w:tr>
        <w:trPr>
          <w:trHeight w:val="213"/>
        </w:trPr>
        <w:tc>
          <w:tcPr>
            <w:tcW w:w="2900" w:type="dxa"/>
            <w:vAlign w:val="bottom"/>
            <w:gridSpan w:val="5"/>
          </w:tcPr>
          <w:p>
            <w:pPr>
              <w:spacing w:after="0"/>
              <w:rPr>
                <w:sz w:val="20"/>
                <w:szCs w:val="20"/>
                <w:color w:val="auto"/>
              </w:rPr>
            </w:pPr>
            <w:r>
              <w:rPr>
                <w:rFonts w:ascii="Arial" w:cs="Arial" w:eastAsia="Arial" w:hAnsi="Arial"/>
                <w:sz w:val="16"/>
                <w:szCs w:val="16"/>
                <w:color w:val="auto"/>
              </w:rPr>
              <w:t>Glynn Wilson</w:t>
            </w:r>
          </w:p>
        </w:tc>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8"/>
        </w:trPr>
        <w:tc>
          <w:tcPr>
            <w:tcW w:w="2900" w:type="dxa"/>
            <w:vAlign w:val="bottom"/>
            <w:gridSpan w:val="5"/>
          </w:tcPr>
          <w:p>
            <w:pPr>
              <w:spacing w:after="0"/>
              <w:rPr>
                <w:sz w:val="20"/>
                <w:szCs w:val="20"/>
                <w:color w:val="auto"/>
              </w:rPr>
            </w:pPr>
            <w:r>
              <w:rPr>
                <w:rFonts w:ascii="Arial" w:cs="Arial" w:eastAsia="Arial" w:hAnsi="Arial"/>
                <w:sz w:val="16"/>
                <w:szCs w:val="16"/>
                <w:color w:val="auto"/>
              </w:rPr>
              <w:t>/s/David Laskow-Pooley*</w:t>
            </w:r>
          </w:p>
        </w:tc>
        <w:tc>
          <w:tcPr>
            <w:tcW w:w="7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3"/>
        </w:trPr>
        <w:tc>
          <w:tcPr>
            <w:tcW w:w="2900" w:type="dxa"/>
            <w:vAlign w:val="bottom"/>
            <w:gridSpan w:val="5"/>
          </w:tcPr>
          <w:p>
            <w:pPr>
              <w:spacing w:after="0"/>
              <w:rPr>
                <w:sz w:val="20"/>
                <w:szCs w:val="20"/>
                <w:color w:val="auto"/>
              </w:rPr>
            </w:pPr>
            <w:r>
              <w:rPr>
                <w:rFonts w:ascii="Arial" w:cs="Arial" w:eastAsia="Arial" w:hAnsi="Arial"/>
                <w:sz w:val="16"/>
                <w:szCs w:val="16"/>
                <w:color w:val="auto"/>
              </w:rPr>
              <w:t>David Laskow-Pooley</w:t>
            </w:r>
          </w:p>
        </w:tc>
        <w:tc>
          <w:tcPr>
            <w:tcW w:w="5900" w:type="dxa"/>
            <w:vAlign w:val="bottom"/>
            <w:gridSpan w:val="2"/>
          </w:tcPr>
          <w:p>
            <w:pPr>
              <w:ind w:left="760"/>
              <w:spacing w:after="0"/>
              <w:rPr>
                <w:sz w:val="20"/>
                <w:szCs w:val="20"/>
                <w:color w:val="auto"/>
              </w:rPr>
            </w:pPr>
            <w:r>
              <w:rPr>
                <w:rFonts w:ascii="Arial" w:cs="Arial" w:eastAsia="Arial" w:hAnsi="Arial"/>
                <w:sz w:val="16"/>
                <w:szCs w:val="16"/>
                <w:color w:val="auto"/>
              </w:rPr>
              <w:t>Director</w:t>
            </w:r>
          </w:p>
        </w:tc>
        <w:tc>
          <w:tcPr>
            <w:tcW w:w="5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July 8, 2015</w:t>
            </w:r>
          </w:p>
        </w:tc>
      </w:tr>
    </w:tbl>
    <w:p>
      <w:pPr>
        <w:spacing w:after="0" w:line="211" w:lineRule="exact"/>
        <w:rPr>
          <w:sz w:val="20"/>
          <w:szCs w:val="20"/>
          <w:color w:val="auto"/>
        </w:rPr>
      </w:pPr>
    </w:p>
    <w:p>
      <w:pPr>
        <w:ind w:left="381" w:right="400" w:hanging="381"/>
        <w:spacing w:after="0" w:line="272" w:lineRule="auto"/>
        <w:tabs>
          <w:tab w:leader="none" w:pos="381" w:val="left"/>
        </w:tabs>
        <w:numPr>
          <w:ilvl w:val="0"/>
          <w:numId w:val="49"/>
        </w:numPr>
        <w:rPr>
          <w:rFonts w:ascii="Arial" w:cs="Arial" w:eastAsia="Arial" w:hAnsi="Arial"/>
          <w:sz w:val="16"/>
          <w:szCs w:val="16"/>
          <w:color w:val="auto"/>
        </w:rPr>
      </w:pPr>
      <w:r>
        <w:rPr>
          <w:rFonts w:ascii="Arial" w:cs="Arial" w:eastAsia="Arial" w:hAnsi="Arial"/>
          <w:sz w:val="16"/>
          <w:szCs w:val="16"/>
          <w:color w:val="auto"/>
        </w:rPr>
        <w:t>Glynn Wilson has signed this Post-Effective Amendment No. 2 to the Registration statement on behalf of the above-named directors on July 8, 2015 pursuant to a power of attorney executed by such directors and filed with the Securities and Exchange Commission as Exhibit 24 to Post-Effective Amendment No. 1 to the Registration Statement.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6376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sectPr>
      <w:pgSz w:w="11900" w:h="16838" w:orient="portrait"/>
      <w:cols w:equalWidth="0" w:num="1">
        <w:col w:w="11421"/>
      </w:cols>
      <w:pgMar w:left="239" w:top="6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lvl w:ilvl="1">
      <w:lvlJc w:val="left"/>
      <w:lvlText w:val="●"/>
      <w:numFmt w:val="bullet"/>
      <w:start w:val="1"/>
    </w:lvl>
  </w:abstractNum>
  <w:abstractNum w:abstractNumId="1">
    <w:nsid w:val="4353D0CD"/>
    <w:multiLevelType w:val="hybridMultilevel"/>
    <w:lvl w:ilvl="0">
      <w:lvlJc w:val="left"/>
      <w:lvlText w:val="(%1)"/>
      <w:numFmt w:val="lowerRoman"/>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Roman"/>
      <w:start w:val="2"/>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29"/>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lowerLetter"/>
      <w:start w:val="9"/>
    </w:lvl>
    <w:lvl w:ilvl="1">
      <w:lvlJc w:val="left"/>
      <w:lvlText w:val="(%2)"/>
      <w:numFmt w:val="lowerLetter"/>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lvl w:ilvl="1">
      <w:lvlJc w:val="left"/>
      <w:lvlText w:val="(%2)"/>
      <w:numFmt w:val="decimal"/>
      <w:start w:val="4"/>
    </w:lvl>
  </w:abstractNum>
  <w:abstractNum w:abstractNumId="20">
    <w:nsid w:val="5577F8E1"/>
    <w:multiLevelType w:val="hybridMultilevel"/>
    <w:lvl w:ilvl="0">
      <w:lvlJc w:val="left"/>
      <w:lvlText w:val="(%1)"/>
      <w:numFmt w:val="decimal"/>
      <w:start w:val="5"/>
    </w:lvl>
    <w:lvl w:ilvl="1">
      <w:lvlJc w:val="left"/>
      <w:lvlText w:val="(%2)"/>
      <w:numFmt w:val="lowerRoman"/>
      <w:start w:val="2"/>
    </w:lvl>
  </w:abstractNum>
  <w:abstractNum w:abstractNumId="21">
    <w:nsid w:val="440BADFC"/>
    <w:multiLevelType w:val="hybridMultilevel"/>
    <w:lvl w:ilvl="0">
      <w:lvlJc w:val="left"/>
      <w:lvlText w:val="(%1)"/>
      <w:numFmt w:val="decimal"/>
      <w:start w:val="10"/>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Roman"/>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Roman"/>
      <w:start w:val="2"/>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8"/>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lvl w:ilvl="1">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lvl w:ilvl="1">
      <w:lvlJc w:val="left"/>
      <w:lvlText w:val="%2."/>
      <w:numFmt w:val="decimal"/>
      <w:start w:val="1"/>
    </w:lvl>
  </w:abstractNum>
  <w:abstractNum w:abstractNumId="37">
    <w:nsid w:val="1D4ED43B"/>
    <w:multiLevelType w:val="hybridMultilevel"/>
    <w:lvl w:ilvl="0">
      <w:lvlJc w:val="left"/>
      <w:lvlText w:val="%1."/>
      <w:numFmt w:val="decimal"/>
      <w:start w:val="2"/>
    </w:lvl>
    <w:lvl w:ilvl="1">
      <w:lvlJc w:val="left"/>
      <w:lvlText w:val="%2"/>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upperLetter"/>
      <w:start w:val="1"/>
    </w:lvl>
    <w:lvl w:ilvl="1">
      <w:lvlJc w:val="left"/>
      <w:lvlText w:val="(%2)"/>
      <w:numFmt w:val="lowerRoman"/>
      <w:start w:val="1"/>
    </w:lvl>
  </w:abstractNum>
  <w:abstractNum w:abstractNumId="42">
    <w:nsid w:val="4B588F54"/>
    <w:multiLevelType w:val="hybridMultilevel"/>
    <w:lvl w:ilvl="0">
      <w:lvlJc w:val="left"/>
      <w:lvlText w:val="%1"/>
      <w:numFmt w:val="decimal"/>
      <w:start w:val="1"/>
    </w:lvl>
    <w:lvl w:ilvl="1">
      <w:lvlJc w:val="left"/>
      <w:lvlText w:val="(%2)"/>
      <w:numFmt w:val="upperLetter"/>
      <w:start w:val="1"/>
    </w:lvl>
  </w:abstractNum>
  <w:abstractNum w:abstractNumId="43">
    <w:nsid w:val="542289EC"/>
    <w:multiLevelType w:val="hybridMultilevel"/>
    <w:lvl w:ilvl="0">
      <w:lvlJc w:val="left"/>
      <w:lvlText w:val="(%1)"/>
      <w:numFmt w:val="decimal"/>
      <w:start w:val="2"/>
    </w:lvl>
    <w:lvl w:ilvl="1">
      <w:lvlJc w:val="left"/>
      <w:lvlText w:val="(%2)"/>
      <w:numFmt w:val="upperLetter"/>
      <w:start w:val="1"/>
    </w:lvl>
  </w:abstractNum>
  <w:abstractNum w:abstractNumId="44">
    <w:nsid w:val="6DE91B18"/>
    <w:multiLevelType w:val="hybridMultilevel"/>
    <w:lvl w:ilvl="0">
      <w:lvlJc w:val="left"/>
      <w:lvlText w:val="(%1)"/>
      <w:numFmt w:val="decimal"/>
      <w:start w:val="5"/>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lowerLetter"/>
      <w:start w:val="5"/>
    </w:lvl>
  </w:abstractNum>
  <w:abstractNum w:abstractNumId="47">
    <w:nsid w:val="32FFF902"/>
    <w:multiLevelType w:val="hybridMultilevel"/>
    <w:lvl w:ilvl="0">
      <w:lvlJc w:val="left"/>
      <w:lvlText w:val="(%1)"/>
      <w:numFmt w:val="lowerLetter"/>
      <w:start w:val="8"/>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2020-01-23T22:34:59Z</dcterms:created>
  <dcterms:modified xsi:type="dcterms:W3CDTF">2020-01-23T22:34:59Z</dcterms:modified>
</cp:coreProperties>
</file>