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right="220"/>
        <w:spacing w:after="0" w:line="261" w:lineRule="auto"/>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base prospectus are not an offer to sell these securities and are not soliciting an offer to buy these securities in any jurisdiction where the offer or sale is not permitted.</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333-232122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March 11,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25, 2019)</w:t>
      </w:r>
    </w:p>
    <w:p>
      <w:pPr>
        <w:spacing w:after="0" w:line="202"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w:t>
      </w:r>
    </w:p>
    <w:p>
      <w:pPr>
        <w:spacing w:after="0" w:line="226"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4539615</wp:posOffset>
            </wp:positionH>
            <wp:positionV relativeFrom="paragraph">
              <wp:posOffset>-167640</wp:posOffset>
            </wp:positionV>
            <wp:extent cx="259715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58293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Common Stock</w:t>
      </w:r>
    </w:p>
    <w:p>
      <w:pPr>
        <w:spacing w:after="0" w:line="361" w:lineRule="exact"/>
        <w:rPr>
          <w:sz w:val="24"/>
          <w:szCs w:val="24"/>
          <w:color w:val="auto"/>
        </w:rPr>
      </w:pPr>
    </w:p>
    <w:p>
      <w:pPr>
        <w:ind w:left="1340" w:hanging="1332"/>
        <w:spacing w:after="0"/>
        <w:tabs>
          <w:tab w:leader="none" w:pos="134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4"/>
          <w:szCs w:val="24"/>
          <w:color w:val="auto"/>
        </w:rPr>
      </w:pPr>
    </w:p>
    <w:p>
      <w:pPr>
        <w:spacing w:after="0"/>
        <w:tabs>
          <w:tab w:leader="none" w:pos="174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6"/>
          <w:szCs w:val="16"/>
          <w:color w:val="auto"/>
        </w:rPr>
        <w:t>of shares of our common stock.</w:t>
      </w:r>
    </w:p>
    <w:p>
      <w:pPr>
        <w:spacing w:after="0" w:line="22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Our common stock is listed on The Nasdaq Global Market under the trading symbol “MRKR.” On March 10, 2021, the last reported sale price of our common stock on The Nasdaq Global Market was $2.51 per share.</w:t>
      </w:r>
    </w:p>
    <w:p>
      <w:pPr>
        <w:spacing w:after="0" w:line="166" w:lineRule="exact"/>
        <w:rPr>
          <w:sz w:val="24"/>
          <w:szCs w:val="24"/>
          <w:color w:val="auto"/>
        </w:rPr>
      </w:pPr>
    </w:p>
    <w:p>
      <w:pPr>
        <w:ind w:right="160"/>
        <w:spacing w:after="0" w:line="312" w:lineRule="auto"/>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S-4 of this prospectus supplement and in the documents incorporated by reference into this prospectus supplement and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 Share</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54"/>
        </w:trPr>
        <w:tc>
          <w:tcPr>
            <w:tcW w:w="810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100" w:type="dxa"/>
            <w:vAlign w:val="bottom"/>
            <w:vMerge w:val="continue"/>
          </w:tcPr>
          <w:p>
            <w:pPr>
              <w:spacing w:after="0"/>
              <w:rPr>
                <w:sz w:val="22"/>
                <w:szCs w:val="22"/>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2"/>
                <w:szCs w:val="22"/>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458"/>
        </w:trPr>
        <w:tc>
          <w:tcPr>
            <w:tcW w:w="810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4"/>
                <w:szCs w:val="24"/>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Proceeds, before expenses, to Marker Therapeutics, Inc.</w:t>
            </w: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460" w:type="dxa"/>
            <w:vAlign w:val="bottom"/>
          </w:tcPr>
          <w:p>
            <w:pPr>
              <w:jc w:val="right"/>
              <w:ind w:right="12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54"/>
        </w:trPr>
        <w:tc>
          <w:tcPr>
            <w:tcW w:w="8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 beginning on page S-14 of this prospectus supplement for additional information regarding underwriting compensation.</w:t>
      </w:r>
    </w:p>
    <w:p>
      <w:pPr>
        <w:spacing w:after="0" w:line="23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 $ of shares of common stock at the public offering price, less the underwriting discounts and commissions.</w:t>
      </w:r>
    </w:p>
    <w:p>
      <w:pPr>
        <w:spacing w:after="0" w:line="166" w:lineRule="exact"/>
        <w:rPr>
          <w:sz w:val="24"/>
          <w:szCs w:val="24"/>
          <w:color w:val="auto"/>
        </w:rPr>
      </w:pPr>
    </w:p>
    <w:p>
      <w:pPr>
        <w:ind w:right="8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Pr>
          <w:p>
            <w:pPr>
              <w:spacing w:after="0"/>
              <w:rPr>
                <w:sz w:val="20"/>
                <w:szCs w:val="20"/>
                <w:color w:val="auto"/>
              </w:rPr>
            </w:pPr>
            <w:r>
              <w:rPr>
                <w:rFonts w:ascii="Arial" w:cs="Arial" w:eastAsia="Arial" w:hAnsi="Arial"/>
                <w:sz w:val="18"/>
                <w:szCs w:val="18"/>
                <w:color w:val="auto"/>
                <w:w w:val="92"/>
              </w:rPr>
              <w:t>The underwriters expect to deliver the shares of common stock to investors on or about March</w:t>
            </w:r>
          </w:p>
        </w:tc>
        <w:tc>
          <w:tcPr>
            <w:tcW w:w="4320" w:type="dxa"/>
            <w:vAlign w:val="bottom"/>
          </w:tcPr>
          <w:p>
            <w:pPr>
              <w:jc w:val="right"/>
              <w:ind w:right="3610"/>
              <w:spacing w:after="0"/>
              <w:rPr>
                <w:sz w:val="20"/>
                <w:szCs w:val="20"/>
                <w:color w:val="auto"/>
              </w:rPr>
            </w:pPr>
            <w:r>
              <w:rPr>
                <w:rFonts w:ascii="Arial" w:cs="Arial" w:eastAsia="Arial" w:hAnsi="Arial"/>
                <w:sz w:val="18"/>
                <w:szCs w:val="18"/>
                <w:color w:val="auto"/>
              </w:rPr>
              <w:t>, 2021.</w:t>
            </w:r>
          </w:p>
        </w:tc>
      </w:tr>
      <w:tr>
        <w:trPr>
          <w:trHeight w:val="521"/>
        </w:trPr>
        <w:tc>
          <w:tcPr>
            <w:tcW w:w="6920" w:type="dxa"/>
            <w:vAlign w:val="bottom"/>
          </w:tcPr>
          <w:p>
            <w:pPr>
              <w:ind w:left="4880"/>
              <w:spacing w:after="0"/>
              <w:rPr>
                <w:sz w:val="20"/>
                <w:szCs w:val="20"/>
                <w:color w:val="auto"/>
              </w:rPr>
            </w:pPr>
            <w:r>
              <w:rPr>
                <w:rFonts w:ascii="Arial" w:cs="Arial" w:eastAsia="Arial" w:hAnsi="Arial"/>
                <w:sz w:val="25"/>
                <w:szCs w:val="25"/>
                <w:b w:val="1"/>
                <w:bCs w:val="1"/>
                <w:color w:val="auto"/>
              </w:rPr>
              <w:t>Piper Sandler</w:t>
            </w:r>
          </w:p>
        </w:tc>
        <w:tc>
          <w:tcPr>
            <w:tcW w:w="4320" w:type="dxa"/>
            <w:vAlign w:val="bottom"/>
          </w:tcPr>
          <w:p>
            <w:pPr>
              <w:spacing w:after="0"/>
              <w:rPr>
                <w:sz w:val="24"/>
                <w:szCs w:val="24"/>
                <w:color w:val="auto"/>
              </w:rPr>
            </w:pPr>
          </w:p>
        </w:tc>
      </w:tr>
      <w:tr>
        <w:trPr>
          <w:trHeight w:val="423"/>
        </w:trPr>
        <w:tc>
          <w:tcPr>
            <w:tcW w:w="6920" w:type="dxa"/>
            <w:vAlign w:val="bottom"/>
          </w:tcPr>
          <w:p>
            <w:pPr>
              <w:ind w:left="3120"/>
              <w:spacing w:after="0"/>
              <w:rPr>
                <w:sz w:val="20"/>
                <w:szCs w:val="20"/>
                <w:color w:val="auto"/>
              </w:rPr>
            </w:pPr>
            <w:r>
              <w:rPr>
                <w:rFonts w:ascii="Arial" w:cs="Arial" w:eastAsia="Arial" w:hAnsi="Arial"/>
                <w:sz w:val="18"/>
                <w:szCs w:val="18"/>
                <w:b w:val="1"/>
                <w:bCs w:val="1"/>
                <w:color w:val="auto"/>
              </w:rPr>
              <w:t>The date of this prospectus supplement is</w:t>
            </w:r>
          </w:p>
        </w:tc>
        <w:tc>
          <w:tcPr>
            <w:tcW w:w="4320" w:type="dxa"/>
            <w:vAlign w:val="bottom"/>
          </w:tcPr>
          <w:p>
            <w:pPr>
              <w:jc w:val="right"/>
              <w:ind w:right="3030"/>
              <w:spacing w:after="0"/>
              <w:rPr>
                <w:sz w:val="20"/>
                <w:szCs w:val="20"/>
                <w:color w:val="auto"/>
              </w:rPr>
            </w:pPr>
            <w:r>
              <w:rPr>
                <w:rFonts w:ascii="Arial" w:cs="Arial" w:eastAsia="Arial" w:hAnsi="Arial"/>
                <w:sz w:val="18"/>
                <w:szCs w:val="18"/>
                <w:b w:val="1"/>
                <w:bCs w:val="1"/>
                <w:color w:val="auto"/>
              </w:rPr>
              <w:t>, 2021.</w:t>
            </w:r>
          </w:p>
        </w:tc>
      </w:tr>
      <w:tr>
        <w:trPr>
          <w:trHeight w:val="486"/>
        </w:trPr>
        <w:tc>
          <w:tcPr>
            <w:tcW w:w="69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8"/>
        </w:trPr>
        <w:tc>
          <w:tcPr>
            <w:tcW w:w="69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891"/>
        </w:trPr>
        <w:tc>
          <w:tcPr>
            <w:tcW w:w="69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9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b w:val="1"/>
                <w:bCs w:val="1"/>
                <w:color w:val="auto"/>
              </w:rPr>
              <w:t>PROSPECTUS SUPPLEMENT</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SUPPLEMENT SUMMARY</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SPECIAL NOTE REGARDING FORWARD-LOOKING STATEMENTS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DILUTION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MATERIAL U.S. FEDERAL INCOME TAX CONSEQUENCES TO NON-U.S. HOLDERS OF OUR COMMON STOCK</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UNDERWRITING</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S-14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MATTERS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EXPERTS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WHERE YOU CAN FIND MORE INFORMATION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OF CERTAIN INFORMATION BY REFERENCE</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S-20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b w:val="1"/>
                <w:bCs w:val="1"/>
                <w:color w:val="auto"/>
              </w:rPr>
              <w:t>PROSPECTUS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SPECIAL NOTE REGARDING FORWARD-LOOKING STATEMENTS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CAPITAL STOCK</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13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document is part of a “shelf” registration statement on Form S-3 that we filed with the Securities and Exchange Commission, or the SEC, and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supplement or in the accompanying prospectus.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titled “Where You Can Find More Information” and “Incorporation of Certain Information by Reference” in this prospectus supplement and in the accompanying prospectus.</w:t>
      </w:r>
    </w:p>
    <w:p>
      <w:pPr>
        <w:spacing w:after="0" w:line="1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Unless the context indicates otherwise, as used in this prospectus supplement and the accompanying prospectus,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supplement and the accompanying prospectus are the property of their respective owners. Solely for convenience, the trademarks and trade names in this prospectus supplement and the accompanying prospectus are referred to without the symbols ® and ™, but such references should not be construed as any indication that their respective owners will not assert, to the fullest extent under applicable law, their rights thereto.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35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350760"/>
                    </a:xfrm>
                    <a:prstGeom prst="rect">
                      <a:avLst/>
                    </a:prstGeom>
                    <a:noFill/>
                  </pic:spPr>
                </pic:pic>
              </a:graphicData>
            </a:graphic>
          </wp:anchor>
        </w:drawing>
        <w:t>PROSPECTUS SUPPLEMENT SUMMARY</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carefully, especially the risks of investing in our common stock discussed under “Risk Factors” beginning on page S-4 of this prospectus supplement and under similar headings in our Annual Report on Form 10-K for the year ended December 31, 2020, which is incorporated by reference in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pursuing post-transplant AML as the lead indication for our first company-sponsored MultiTAA-specific T cell program. In April 2020, the FDA granted orphan drug designation to MT-401 for the treatment of AML after receiving an allogeneic stem cell transplant. The MultiTAA-specific T cell therapy has been well tolerated in an ongoing Phase 1 clinical trial in AML and myelodysplastic syndrome, or MDS, conducted by our strategic partner Baylor College of Medicine, or BCM. As reported in a recent publication by Lulla et al., 11 of the 17 patients in the adjuvant disease setting dosed with the MultiTAA-specific T cell therapy after receiving an allogeneic hematopoietic stem cell transplant, or HSCT, never relapsed [median leukemia-free survival, or LFS, not reached at a median follow-up of 1.9 years], with 11 of 15 patients remaining alive (estimated two-year overall survival of 77%) at a median follow-up of 1.9 years post-infusion which compares favorably with HSCT outcomes for risk-matched AML/MDS patients post-HSCT [median LFS of nine to 15 months and two-year survival probability of 42%]. Additionally, eight patients were treated for active disease that was resistant to salvage therapy post-HSCT with a median of five prior lines of therapy (range: four to 10). One of the eight patients crossed over from the adjuvant group while two patients enrolled twice, but all three patients had active AML that failed another line of salvage therapy after their first MultiTAA-specific T cell infusion. Two of the eight patients achieved objective responses with one complete response and one partial response, with six patients continuing with stable disease.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(zedenoleucel), in post-allogeneic HSCT patients with AML in both the adjuvant and active disease setting. The dose administered in this multicenter trial is the approximate flat dose equivalent of the current maximum tolerated dose from the ongoing Phase 1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We expect to complete the safety lead-in portion of the trial in the first half of 2021. We anticipate that we will initiate the remainder of the Phase 2 trial in the third quarter of 2021 and complete enrollment of 20 patients in that phase of the trial in the fourth quarter of 2021 in order to report results from the active disease arm of the trial in the first quarter of 2022. We expect to begin manufacturing MT-401 for the Phase 2 trial at our cGMP manufacturing facility in the third quarter of 2021.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cytokine release syndrome or neurotoxicity in this trial.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74" w:right="399" w:bottom="1440" w:gutter="0" w:footer="0" w:header="0"/>
        </w:sectPr>
      </w:pPr>
    </w:p>
    <w:bookmarkStart w:id="4" w:name="page5"/>
    <w:bookmarkEnd w:id="4"/>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059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t>We are also evaluating the MultiTAA-specific T cell therapies in a Phase 2 clinical trial for the treatment of breast cancer and in Phase 1 clinical trials for the treatment of ALL, lymphoma, MM and sarcoma, all of which are being conducted by BCM. As of December 2020,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Initiation of Phase 2 Clinical Trial of MT-401 (zedenoleucel) for the Treatment of Post-Transplant AML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we announced that the FDA lifted the partial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with the legacy reagent used in the Phase 1 trial, and three patients will be dosed with MT-401 manufactured using a new reagent from an alternative supplier. We anticipate using this supplier for clinical and commercial manufacturing of MT-401. We expect to complete the safety lead-in portion of the trial in the first half of 2021, and we continue to work to identify clinical trial sites.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supplement the information on, or accessible through, our website.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1178"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580" w:type="dxa"/>
            <w:vAlign w:val="bottom"/>
          </w:tcPr>
          <w:p>
            <w:pPr>
              <w:ind w:left="340"/>
              <w:spacing w:after="0"/>
              <w:rPr>
                <w:sz w:val="20"/>
                <w:szCs w:val="20"/>
                <w:color w:val="auto"/>
              </w:rPr>
            </w:pPr>
            <w:r>
              <w:rPr>
                <w:rFonts w:ascii="Arial" w:cs="Arial" w:eastAsia="Arial" w:hAnsi="Arial"/>
                <w:sz w:val="18"/>
                <w:szCs w:val="18"/>
                <w:b w:val="1"/>
                <w:bCs w:val="1"/>
                <w:color w:val="auto"/>
              </w:rPr>
              <w:t>THE OFFERING</w:t>
            </w:r>
          </w:p>
        </w:tc>
      </w:tr>
      <w:tr>
        <w:trPr>
          <w:trHeight w:val="486"/>
        </w:trPr>
        <w:tc>
          <w:tcPr>
            <w:tcW w:w="330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ind w:left="160"/>
              <w:spacing w:after="0"/>
              <w:rPr>
                <w:sz w:val="20"/>
                <w:szCs w:val="20"/>
                <w:color w:val="auto"/>
              </w:rPr>
            </w:pPr>
            <w:r>
              <w:rPr>
                <w:rFonts w:ascii="Arial" w:cs="Arial" w:eastAsia="Arial" w:hAnsi="Arial"/>
                <w:sz w:val="18"/>
                <w:szCs w:val="18"/>
                <w:color w:val="auto"/>
              </w:rPr>
              <w:t>of shares</w:t>
            </w:r>
          </w:p>
        </w:tc>
        <w:tc>
          <w:tcPr>
            <w:tcW w:w="6580" w:type="dxa"/>
            <w:vAlign w:val="bottom"/>
          </w:tcPr>
          <w:p>
            <w:pPr>
              <w:spacing w:after="0"/>
              <w:rPr>
                <w:sz w:val="24"/>
                <w:szCs w:val="24"/>
                <w:color w:val="auto"/>
              </w:rPr>
            </w:pPr>
          </w:p>
        </w:tc>
      </w:tr>
      <w:tr>
        <w:trPr>
          <w:trHeight w:val="306"/>
        </w:trPr>
        <w:tc>
          <w:tcPr>
            <w:tcW w:w="3300" w:type="dxa"/>
            <w:vAlign w:val="bottom"/>
          </w:tcPr>
          <w:p>
            <w:pPr>
              <w:spacing w:after="0"/>
              <w:rPr>
                <w:sz w:val="20"/>
                <w:szCs w:val="20"/>
                <w:color w:val="auto"/>
              </w:rPr>
            </w:pPr>
            <w:r>
              <w:rPr>
                <w:rFonts w:ascii="Arial" w:cs="Arial" w:eastAsia="Arial" w:hAnsi="Arial"/>
                <w:sz w:val="18"/>
                <w:szCs w:val="18"/>
                <w:b w:val="1"/>
                <w:bCs w:val="1"/>
                <w:color w:val="auto"/>
                <w:w w:val="89"/>
              </w:rPr>
              <w:t>Common stock to be outstanding after this</w:t>
            </w:r>
          </w:p>
        </w:tc>
        <w:tc>
          <w:tcPr>
            <w:tcW w:w="24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8"/>
                <w:szCs w:val="18"/>
                <w:color w:val="auto"/>
              </w:rPr>
              <w:t>shares</w:t>
            </w:r>
          </w:p>
        </w:tc>
        <w:tc>
          <w:tcPr>
            <w:tcW w:w="658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580" w:type="dxa"/>
            <w:vAlign w:val="bottom"/>
          </w:tcPr>
          <w:p>
            <w:pPr>
              <w:spacing w:after="0"/>
              <w:rPr>
                <w:sz w:val="20"/>
                <w:szCs w:val="20"/>
                <w:color w:val="auto"/>
              </w:rPr>
            </w:pPr>
          </w:p>
        </w:tc>
      </w:tr>
      <w:tr>
        <w:trPr>
          <w:trHeight w:val="306"/>
        </w:trPr>
        <w:tc>
          <w:tcPr>
            <w:tcW w:w="3300" w:type="dxa"/>
            <w:vAlign w:val="bottom"/>
          </w:tcPr>
          <w:p>
            <w:pPr>
              <w:spacing w:after="0"/>
              <w:rPr>
                <w:sz w:val="20"/>
                <w:szCs w:val="20"/>
                <w:color w:val="auto"/>
              </w:rPr>
            </w:pPr>
            <w:r>
              <w:rPr>
                <w:rFonts w:ascii="Arial" w:cs="Arial" w:eastAsia="Arial" w:hAnsi="Arial"/>
                <w:sz w:val="18"/>
                <w:szCs w:val="18"/>
                <w:b w:val="1"/>
                <w:bCs w:val="1"/>
                <w:color w:val="auto"/>
                <w:w w:val="96"/>
              </w:rPr>
              <w:t>Option to purchase additional shares of</w:t>
            </w: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4"/>
              </w:rPr>
              <w:t>We have granted the underwriters an option for 30 days from the date of this prospectus supplement to</w:t>
            </w: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w w:val="99"/>
              </w:rPr>
              <w:t>purchase up to</w:t>
            </w:r>
          </w:p>
        </w:tc>
        <w:tc>
          <w:tcPr>
            <w:tcW w:w="6580" w:type="dxa"/>
            <w:vAlign w:val="bottom"/>
          </w:tcPr>
          <w:p>
            <w:pPr>
              <w:ind w:left="140"/>
              <w:spacing w:after="0"/>
              <w:rPr>
                <w:sz w:val="20"/>
                <w:szCs w:val="20"/>
                <w:color w:val="auto"/>
              </w:rPr>
            </w:pPr>
            <w:r>
              <w:rPr>
                <w:rFonts w:ascii="Arial" w:cs="Arial" w:eastAsia="Arial" w:hAnsi="Arial"/>
                <w:sz w:val="18"/>
                <w:szCs w:val="18"/>
                <w:color w:val="auto"/>
              </w:rPr>
              <w:t>additional shares of our common stock.</w:t>
            </w:r>
          </w:p>
        </w:tc>
      </w:tr>
      <w:tr>
        <w:trPr>
          <w:trHeight w:val="310"/>
        </w:trPr>
        <w:tc>
          <w:tcPr>
            <w:tcW w:w="330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820" w:type="dxa"/>
            <w:vAlign w:val="bottom"/>
            <w:gridSpan w:val="3"/>
          </w:tcPr>
          <w:p>
            <w:pPr>
              <w:ind w:left="40"/>
              <w:spacing w:after="0"/>
              <w:rPr>
                <w:sz w:val="20"/>
                <w:szCs w:val="20"/>
                <w:color w:val="auto"/>
              </w:rPr>
            </w:pPr>
            <w:r>
              <w:rPr>
                <w:rFonts w:ascii="Arial" w:cs="Arial" w:eastAsia="Arial" w:hAnsi="Arial"/>
                <w:sz w:val="18"/>
                <w:szCs w:val="18"/>
                <w:color w:val="auto"/>
              </w:rPr>
              <w:t>We estimate that the net proceeds to us in this offering will be approximately</w:t>
            </w:r>
          </w:p>
        </w:tc>
      </w:tr>
      <w:tr>
        <w:trPr>
          <w:trHeight w:val="216"/>
        </w:trPr>
        <w:tc>
          <w:tcPr>
            <w:tcW w:w="33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40"/>
              <w:spacing w:after="0"/>
              <w:rPr>
                <w:sz w:val="20"/>
                <w:szCs w:val="20"/>
                <w:color w:val="auto"/>
              </w:rPr>
            </w:pPr>
            <w:r>
              <w:rPr>
                <w:rFonts w:ascii="Arial" w:cs="Arial" w:eastAsia="Arial" w:hAnsi="Arial"/>
                <w:sz w:val="18"/>
                <w:szCs w:val="18"/>
                <w:color w:val="auto"/>
              </w:rPr>
              <w:t>million, or approximately $   million if the underwriters exercise in full their option to purchase</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0"/>
              </w:rPr>
              <w:t>additional shares, after deducting estimated underwriting discounts and commissions and estimated offering</w:t>
            </w:r>
          </w:p>
        </w:tc>
      </w:tr>
      <w:tr>
        <w:trPr>
          <w:trHeight w:val="230"/>
        </w:trPr>
        <w:tc>
          <w:tcPr>
            <w:tcW w:w="3300" w:type="dxa"/>
            <w:vAlign w:val="bottom"/>
          </w:tcPr>
          <w:p>
            <w:pPr>
              <w:spacing w:after="0"/>
              <w:rPr>
                <w:sz w:val="20"/>
                <w:szCs w:val="20"/>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rPr>
              <w:t>expenses payable by us.</w:t>
            </w:r>
          </w:p>
        </w:tc>
      </w:tr>
      <w:tr>
        <w:trPr>
          <w:trHeight w:val="418"/>
        </w:trPr>
        <w:tc>
          <w:tcPr>
            <w:tcW w:w="3300" w:type="dxa"/>
            <w:vAlign w:val="bottom"/>
          </w:tcPr>
          <w:p>
            <w:pPr>
              <w:spacing w:after="0"/>
              <w:rPr>
                <w:sz w:val="24"/>
                <w:szCs w:val="24"/>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1"/>
              </w:rPr>
              <w:t>We plan to use the net proceeds from this offering, together with our existing cash and cash equivalents to</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4"/>
              </w:rPr>
              <w:t>fund our current Phase 2 trial of MT-401 in AML, to advance the development of our MultiTAA therapies</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7"/>
              </w:rPr>
              <w:t>into clinical trials in other indications, to fund our manufacturing activities and for working capital and</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9"/>
              </w:rPr>
              <w:t>general corporate purposes. We may also use a portion of the net proceeds to invest in or acquire</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3"/>
              </w:rPr>
              <w:t>businesses or technologies that we believe are complementary to our own, although we have no current</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7"/>
              </w:rPr>
              <w:t>plans, commitments or agreements with respect to any acquisitions as of the date of this prospectus</w:t>
            </w:r>
          </w:p>
        </w:tc>
      </w:tr>
      <w:tr>
        <w:trPr>
          <w:trHeight w:val="230"/>
        </w:trPr>
        <w:tc>
          <w:tcPr>
            <w:tcW w:w="3300" w:type="dxa"/>
            <w:vAlign w:val="bottom"/>
          </w:tcPr>
          <w:p>
            <w:pPr>
              <w:spacing w:after="0"/>
              <w:rPr>
                <w:sz w:val="20"/>
                <w:szCs w:val="20"/>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rPr>
              <w:t>supplement. See “Use of Proceeds.”</w:t>
            </w:r>
          </w:p>
        </w:tc>
      </w:tr>
      <w:tr>
        <w:trPr>
          <w:trHeight w:val="310"/>
        </w:trPr>
        <w:tc>
          <w:tcPr>
            <w:tcW w:w="330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820" w:type="dxa"/>
            <w:vAlign w:val="bottom"/>
            <w:gridSpan w:val="3"/>
          </w:tcPr>
          <w:p>
            <w:pPr>
              <w:ind w:left="40"/>
              <w:spacing w:after="0"/>
              <w:rPr>
                <w:sz w:val="20"/>
                <w:szCs w:val="20"/>
                <w:color w:val="auto"/>
              </w:rPr>
            </w:pPr>
            <w:r>
              <w:rPr>
                <w:rFonts w:ascii="Arial" w:cs="Arial" w:eastAsia="Arial" w:hAnsi="Arial"/>
                <w:sz w:val="18"/>
                <w:szCs w:val="18"/>
                <w:color w:val="auto"/>
              </w:rPr>
              <w:t>You should read the “Risk Factors” section of this prospectus supplement and in the documents</w:t>
            </w:r>
          </w:p>
        </w:tc>
      </w:tr>
      <w:tr>
        <w:trPr>
          <w:trHeight w:val="216"/>
        </w:trPr>
        <w:tc>
          <w:tcPr>
            <w:tcW w:w="3300" w:type="dxa"/>
            <w:vAlign w:val="bottom"/>
          </w:tcPr>
          <w:p>
            <w:pPr>
              <w:spacing w:after="0"/>
              <w:rPr>
                <w:sz w:val="18"/>
                <w:szCs w:val="18"/>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w w:val="92"/>
              </w:rPr>
              <w:t>incorporated by reference herein for a discussion of factors to consider carefully before deciding to invest</w:t>
            </w:r>
          </w:p>
        </w:tc>
      </w:tr>
      <w:tr>
        <w:trPr>
          <w:trHeight w:val="230"/>
        </w:trPr>
        <w:tc>
          <w:tcPr>
            <w:tcW w:w="3300" w:type="dxa"/>
            <w:vAlign w:val="bottom"/>
          </w:tcPr>
          <w:p>
            <w:pPr>
              <w:spacing w:after="0"/>
              <w:rPr>
                <w:sz w:val="20"/>
                <w:szCs w:val="20"/>
                <w:color w:val="auto"/>
              </w:rPr>
            </w:pPr>
          </w:p>
        </w:tc>
        <w:tc>
          <w:tcPr>
            <w:tcW w:w="7820" w:type="dxa"/>
            <w:vAlign w:val="bottom"/>
            <w:gridSpan w:val="3"/>
          </w:tcPr>
          <w:p>
            <w:pPr>
              <w:ind w:left="40"/>
              <w:spacing w:after="0"/>
              <w:rPr>
                <w:sz w:val="20"/>
                <w:szCs w:val="20"/>
                <w:color w:val="auto"/>
              </w:rPr>
            </w:pPr>
            <w:r>
              <w:rPr>
                <w:rFonts w:ascii="Arial" w:cs="Arial" w:eastAsia="Arial" w:hAnsi="Arial"/>
                <w:sz w:val="18"/>
                <w:szCs w:val="18"/>
                <w:color w:val="auto"/>
              </w:rPr>
              <w:t>in shares of our common stock.</w:t>
            </w:r>
          </w:p>
        </w:tc>
      </w:tr>
      <w:tr>
        <w:trPr>
          <w:trHeight w:val="324"/>
        </w:trPr>
        <w:tc>
          <w:tcPr>
            <w:tcW w:w="3300" w:type="dxa"/>
            <w:vAlign w:val="bottom"/>
          </w:tcPr>
          <w:p>
            <w:pPr>
              <w:spacing w:after="0"/>
              <w:rPr>
                <w:sz w:val="20"/>
                <w:szCs w:val="20"/>
                <w:color w:val="auto"/>
              </w:rPr>
            </w:pPr>
            <w:r>
              <w:rPr>
                <w:rFonts w:ascii="Arial" w:cs="Arial" w:eastAsia="Arial" w:hAnsi="Arial"/>
                <w:sz w:val="18"/>
                <w:szCs w:val="18"/>
                <w:b w:val="1"/>
                <w:bCs w:val="1"/>
                <w:color w:val="auto"/>
              </w:rPr>
              <w:t>Nasdaq Global Market symbol</w:t>
            </w: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“MRKR”</w:t>
            </w:r>
          </w:p>
        </w:tc>
        <w:tc>
          <w:tcPr>
            <w:tcW w:w="6580" w:type="dxa"/>
            <w:vAlign w:val="bottom"/>
          </w:tcPr>
          <w:p>
            <w:pPr>
              <w:spacing w:after="0"/>
              <w:rPr>
                <w:sz w:val="24"/>
                <w:szCs w:val="2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842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number of shares of our common stock to be outstanding after this offering is based on 50,731,072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excludes:</w:t>
      </w:r>
    </w:p>
    <w:p>
      <w:pPr>
        <w:spacing w:after="0" w:line="211" w:lineRule="exact"/>
        <w:rPr>
          <w:sz w:val="20"/>
          <w:szCs w:val="20"/>
          <w:color w:val="auto"/>
        </w:rPr>
      </w:pPr>
    </w:p>
    <w:p>
      <w:pPr>
        <w:ind w:left="660" w:right="140" w:hanging="33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6,001,814 shares of our common stock issuable upon the exercise of stock options outstanding as of December 31, 2020, at a weighted-average exercise price of $6.22 per share;</w:t>
      </w:r>
    </w:p>
    <w:p>
      <w:pPr>
        <w:spacing w:after="0" w:line="170" w:lineRule="exact"/>
        <w:rPr>
          <w:rFonts w:ascii="Arial" w:cs="Arial" w:eastAsia="Arial" w:hAnsi="Arial"/>
          <w:sz w:val="18"/>
          <w:szCs w:val="18"/>
          <w:color w:val="auto"/>
        </w:rPr>
      </w:pPr>
    </w:p>
    <w:p>
      <w:pPr>
        <w:ind w:left="660" w:right="400" w:hanging="33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20,830,000 shares of our common stock issuable upon the exercise of warrants outstanding as of December 31, 2020, at a weighted-average exercise price of $4.47 per share;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4,685,873 shares of our common stock reserved for future issuance under our 2020 Equity Incentive Plan.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and warrants described above and 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1174"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carefully consider the risks and uncertainties described below together with all other information contained in this prospectus supplement, the accompanying prospectus and in our filings with the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including the net proceeds we receive in this offering, and may not use them effectively.</w:t>
      </w:r>
    </w:p>
    <w:p>
      <w:pPr>
        <w:spacing w:after="0" w:line="17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Our management has broad discretion to use our cash and cash equivalents,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to fund operations, we may invest our cash, cash equivalents and marketable securities in a manner that does not produce income or that loses value. See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price of our common stock in this offering is substantially higher than the net tangible book value per share of our common stock. Therefore, if you purchase shares of our common stock in this offering, you will pay a price per share that substantially exceeds our historical net tangible book value per share after this offering. To the extent outstanding options or warrants are exercised, you will incur further dilution. Based on the public offering price of $ per share, you will experience immediate dilution of $ per share, representing the difference between our as adjusted net tangible book value per share after giving effect to this offering and the assumed public offering price. See “Dilution.”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may experience future dilution.</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cannot assure you that we will be able to sell shares of our common stock or other related securities in any other offering at a price per share that is equal to or greater than the price per share paid by investors in this offering. If the price per share at which we sell additional shares of our common stock or related securities in future transactions is less than the price per share in this offering, investors who purchase our common stock in this offering will suffer dilution in their investment.</w:t>
      </w:r>
    </w:p>
    <w:p>
      <w:pPr>
        <w:spacing w:after="0" w:line="16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addition, we have a significant number of stock options and warrants exercisable for shares of our common stock outstanding. To the extent that outstanding stock options or warrants have been or may be exercised, investors purchasing our common stock in this offering may experience further dilution in the future.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After this offering, our executive officers and directors and their affiliates, if they choose to act together, will continue to have the ability to significantly influence all matters submitted to stockholders for approval.</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this offering, our executive officers, directors and stockholders who owned more than 5% of our outstanding common stock before this offering will beneficially own a significant percentage of our outstanding common stock. As a result, following this offering,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ownership control may delay, defer or prevent a change in control of our company, entrench our management and board of directors, or impede a merger, consolidation, takeover or other business combination involving us that other stockholders may desire.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 following this offering.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of common stock are restricted from immediate resale but may be sold into the market in the near future, which could cause the market price of our common stock to drop significantly, even if our business is performing well.</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Upon the completion of this offering, we will have outstanding shares of our common stock beneficially owned by our officers, directors and their affiliates that are restricted as a result of lock-up agreements for a period of 90 days after the date of this prospectus supplement. However, all of the shares of our common stock sold in this offering and the other shares of our common stock outstanding prior to this offering will not be subject to lock-</w:t>
      </w:r>
    </w:p>
    <w:p>
      <w:pPr>
        <w:spacing w:after="0" w:line="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up agreements with the underwriters and, except to the extent such shares of our common stock are held by our affiliates, will be freely tradable. The market price of our common stock could decline as a result of sales by our stockholders in the market following completion of this offering or the perception that these sales could occur.</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herein and therein contain forward-looking statements within the meaning of Section 27A of the Securities Act of 1933, as amended, or the Securities Act, and Section 21E of the Securities Exchange Act of 1934, as amended, or the Exchange Act. These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contained in the documents incorporated by reference herein.</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Any statements in this prospectus supplement or the accompanying prospectus, or incorporated herein and therein, about our expectations, beliefs, plans, objectives, assumptions or future events or performance are not historical facts and are forward-looking statements. All statements other than statements of historical fact could be deemed forward looking, including, but not limited to, statements regarding:</w:t>
      </w:r>
    </w:p>
    <w:p>
      <w:pPr>
        <w:spacing w:after="0" w:line="184" w:lineRule="exact"/>
        <w:rPr>
          <w:sz w:val="20"/>
          <w:szCs w:val="20"/>
          <w:color w:val="auto"/>
        </w:rPr>
      </w:pPr>
    </w:p>
    <w:p>
      <w:pPr>
        <w:ind w:left="660" w:right="24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ease, scalability and commercial viability of our manufacturing methods and processes;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uses of proceeds from this offering;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7"/>
          <w:szCs w:val="17"/>
          <w:color w:val="auto"/>
        </w:rPr>
        <w:t>You should refer to the section titled “Risk Factors” contained in this prospectus supplement, the accompanying prospectus and under similar headings in other documents that are incorporated by reference herein and therein,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supplement, the accompanying prospectus and the documents incorporated by reference herein and therein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revise any forward-looking statements to reflect events or developments occurring after the date of this prospectus supplement, even if new information becomes available in the future.</w:t>
      </w:r>
    </w:p>
    <w:p>
      <w:pPr>
        <w:spacing w:after="0" w:line="124"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You should carefully read this prospectus supplement, the accompanying prospectus and the information incorporated herein and therein by reference, as described in the section titled “Incorporation of Certain Information by Reference,” completely and with the understanding that our actual future results may be materially different from what we expect. We qualify all of our forward-looking statements by these cautionary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estimate that the net proceeds to us in this offering will be approximately $ million, or approximately $ million if the underwriters exercise in full their option to purchase additional shares, after deducting estimated underwriting expenses and commissions and estimated offering expenses payable by us.</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intend to use the net proceeds from this offering, together with our cash and cash equivalents, to fund our Phase 2 trial of MT-401 in AML, to advance the development of our MultiTAA therapies into clinical trials in other indications, to fund our manufacturing activities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expect to invest the net proceeds in investment-grade, interest-bearing bonds.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Based on the planned use of proceeds described above, we believe that the net proceeds from this offering, together with our existing cash and cash</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equivalents, will be sufficient to enable us to fund our operating expenses and capital expenditure requirements into . We have based this estimate on assumptions that may prove to be incorrect, and we could use our available capital resources sooner than we currently expect.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historical net tangible book value as of December 31, 2020 was $27.3 million, or $0.54 per share of common stock. Historical net tangible book value per share represents the amount of our total tangible assets less total liabilities, divided by the 50,731,072 shares of our common stock outstanding on December 31, 2020.</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After giving effect to the issuance and sale of shares of our common stock in this offering, after deducting estimated underwriting discounts and commissions and estimated offering expenses payable by us, our as adjusted net tangible book value as of December 31, 2020 would have been $ million, or $ per share. This represents an immediate increase of $ in the as adjusted net tangible book value per share to existing stockholders and immediate dilution of $ in the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shares of our common stock in this offering without giving effect to any exercise by the underwriters of their option to purchase additional shares: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0.54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as adjusted net tangible book value per share attributable to this offering</w:t>
            </w:r>
          </w:p>
        </w:tc>
        <w:tc>
          <w:tcPr>
            <w:tcW w:w="10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0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the underwriters exercise in full their option to purchase additional shares, based on the public offering price of $ tangible book value will increase to $ per share, representing an immediate increase to existing stockholders of $ of $ per share to new investors.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Arial" w:cs="Arial" w:eastAsia="Arial" w:hAnsi="Arial"/>
          <w:sz w:val="18"/>
          <w:szCs w:val="18"/>
          <w:color w:val="auto"/>
        </w:rPr>
        <w:t>per share, the as adjusted net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 share and an immediate dilution</w:t>
      </w:r>
    </w:p>
    <w:p>
      <w:pPr>
        <w:spacing w:after="0" w:line="450" w:lineRule="exact"/>
        <w:rPr>
          <w:sz w:val="20"/>
          <w:szCs w:val="20"/>
          <w:color w:val="auto"/>
        </w:rPr>
      </w:pPr>
    </w:p>
    <w:p>
      <w:pPr>
        <w:sectPr>
          <w:pgSz w:w="11900" w:h="16838" w:orient="portrait"/>
          <w:cols w:equalWidth="0" w:num="2">
            <w:col w:w="8440" w:space="40"/>
            <w:col w:w="2760"/>
          </w:cols>
          <w:pgMar w:left="320" w:top="904"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information discussed above is based on 50,731,072 shares of our common stock outstanding as of December 31, 2020 and excludes:</w:t>
      </w:r>
    </w:p>
    <w:p>
      <w:pPr>
        <w:spacing w:after="0" w:line="225" w:lineRule="exact"/>
        <w:rPr>
          <w:sz w:val="20"/>
          <w:szCs w:val="20"/>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6,001,814 shares of our common stock issuable upon the exercise of stock options outstanding as of December 31, 2020, at a weighted-average exercise price of $6.22 per share;</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20,830,000 shares of our common stock issuable upon the exercise of warrants outstanding as of December 31, 2020, at a weighted-average exercise price of $4.47 per share;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4,685,873 shares of our common stock reserved for future issuance under our 2020 Equity Incentive Plan.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extent that outstanding options or warrants are exercised or we issue additional options, warrants or shares of our common stock in the future, there will be further dilution to investors purchasing common stock in this offering.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 at any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this discussion, the term “non-U.S. holder” means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paid dividends on our common stock and do not anticipate paying dividends on our common stock for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satisfy applicable certification and other requirements.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us or our paying agent. 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170"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or USRPI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determination of whether we are a USRPHC depends on the fair market value of our USRPIs relative to the fair market value of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Prospective investors are encouraged to consult their own tax advisors regarding the possible consequences to them if we are, or were to become, a USRPHC.</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regardless of whether such distributions constitute dividends and even if no withholding was required.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Under applicable Treasury Regulations and administrative guidance, withholding under FATCA would have applied to payments of gross proceeds from the sale or other disposition of stock on or after January 1, 2019, but under proposed regulations (the preamble to which specifies that taxpayers are permitted to rely on such proposed regulations pending finalization), no withholding would apply with respect to payments of gross proceeds.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are offering the shares of common stock described in this prospectus supplement through Piper Sandler &amp; Co. as book-running manager. We have entered into an underwriting agreement with Piper Sandler &amp; Co., as representative of the several underwriters named below. Subject to the terms and conditions set forth in the underwriting agreement, we have agreed to sell to the underwriters, and each of the underwriters has agreed, severally and not jointly, to purchase from us, the number of shares of our common stock listed opposite its name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Underwriter</w:t>
            </w:r>
          </w:p>
        </w:tc>
        <w:tc>
          <w:tcPr>
            <w:tcW w:w="2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gridSpan w:val="2"/>
          </w:tcPr>
          <w:p>
            <w:pPr>
              <w:ind w:left="860"/>
              <w:spacing w:after="0"/>
              <w:rPr>
                <w:sz w:val="20"/>
                <w:szCs w:val="20"/>
                <w:color w:val="auto"/>
              </w:rPr>
            </w:pPr>
            <w:r>
              <w:rPr>
                <w:rFonts w:ascii="Arial" w:cs="Arial" w:eastAsia="Arial" w:hAnsi="Arial"/>
                <w:sz w:val="18"/>
                <w:szCs w:val="18"/>
                <w:color w:val="auto"/>
              </w:rPr>
              <w:t>Number of Shares</w:t>
            </w:r>
          </w:p>
        </w:tc>
      </w:tr>
      <w:tr>
        <w:trPr>
          <w:trHeight w:val="209"/>
        </w:trPr>
        <w:tc>
          <w:tcPr>
            <w:tcW w:w="58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2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r>
      <w:tr>
        <w:trPr>
          <w:trHeight w:val="426"/>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w w:val="93"/>
              </w:rPr>
              <w:t>We have granted the underwriters an option to buy up to</w:t>
            </w:r>
          </w:p>
        </w:tc>
        <w:tc>
          <w:tcPr>
            <w:tcW w:w="6860" w:type="dxa"/>
            <w:vAlign w:val="bottom"/>
            <w:gridSpan w:val="4"/>
          </w:tcPr>
          <w:p>
            <w:pPr>
              <w:ind w:left="140"/>
              <w:spacing w:after="0"/>
              <w:rPr>
                <w:sz w:val="20"/>
                <w:szCs w:val="20"/>
                <w:color w:val="auto"/>
              </w:rPr>
            </w:pPr>
            <w:r>
              <w:rPr>
                <w:rFonts w:ascii="Arial" w:cs="Arial" w:eastAsia="Arial" w:hAnsi="Arial"/>
                <w:sz w:val="18"/>
                <w:szCs w:val="18"/>
                <w:color w:val="auto"/>
                <w:w w:val="90"/>
              </w:rPr>
              <w:t>additional shares of common stock from us to cover over-allotments, if any. The underwriters</w:t>
            </w:r>
          </w:p>
        </w:tc>
      </w:tr>
    </w:tbl>
    <w:p>
      <w:pPr>
        <w:ind w:right="20"/>
        <w:spacing w:after="0" w:line="323" w:lineRule="auto"/>
        <w:rPr>
          <w:sz w:val="20"/>
          <w:szCs w:val="20"/>
          <w:color w:val="auto"/>
        </w:rPr>
      </w:pPr>
      <w:r>
        <w:rPr>
          <w:rFonts w:ascii="Arial" w:cs="Arial" w:eastAsia="Arial" w:hAnsi="Arial"/>
          <w:sz w:val="16"/>
          <w:szCs w:val="16"/>
          <w:color w:val="auto"/>
        </w:rPr>
        <w:t>may exercise 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and Commissions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underwriters have advised us that they propose to offer the common stock directly to the public at the offering price set forth on the cover page of this prospectus supplement. The underwriters propose to offer the shares to certain dealers at the same price less a concession of not more than $ per share. After the offering, these figures may be changed by the underwriters.</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following table shows the per share and total underwriting discount to be paid by the underwriters in connection with this offering, assuming either no exercise and full exercise of the option to purchase additional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 Share</w:t>
            </w:r>
          </w:p>
        </w:tc>
        <w:tc>
          <w:tcPr>
            <w:tcW w:w="156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w w:val="92"/>
              </w:rPr>
              <w:t>Total</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Without Option</w:t>
            </w: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With Option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2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26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estimate that the total fees and expenses payable by us, excluding underwriting discount, will be approximately $ . We have also agreed to reimburse the underwriters for certain expenses incurred by them in connection with the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Underwriters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and all of our directors and executive officers have agreed, subject to certain exceptions, that, without the prior written consent of Piper Sandler &amp; Co. on behalf of the underwriters, we and they will not, or publicly disclose an intention to, during the period ending 90 days after the date of this prospectus supplement, in the case of our directors and officers, and 45 days with respect to certain affiliated funds (the “restricted period”):</w:t>
      </w:r>
    </w:p>
    <w:p>
      <w:pPr>
        <w:spacing w:after="0" w:line="165" w:lineRule="exact"/>
        <w:rPr>
          <w:sz w:val="20"/>
          <w:szCs w:val="20"/>
          <w:color w:val="auto"/>
        </w:rPr>
      </w:pPr>
    </w:p>
    <w:p>
      <w:pPr>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14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Piper Sandler &amp; Co.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Piper Sandler &amp; Co., in its sole discretion, may release the common stock and other securities subject to the lock-up agreements described above in whole or in part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“MRKR.”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Market or otherwise and, if commenced, may be discontinued at any time. The underwriters may also engage in passive market making transactions in our common stock. Passive market making consists of displaying bids on The Nasdaq Global Market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and the accompanying base prospectus in electronic format may be made available on the web sites maintained by one or more of the underwriters and the underwriters may distribute prospectuses and prospectus supplements electronically.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From time to time in the ordinary course of its businesses, the underwriters and certain of their affiliates have engaged, and may in the future engage, in commercial banking or investment banking transactions with us and our affiliates.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spacing w:after="0" w:line="1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660" w:right="14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86"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shares of common stock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shares of common stock must be made in accordance with an exemption from the prospectus requirements and in compliance with the registration requirements of applicable securities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shares of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Singapore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225" w:lineRule="exact"/>
        <w:rPr>
          <w:sz w:val="20"/>
          <w:szCs w:val="20"/>
          <w:color w:val="auto"/>
        </w:rPr>
      </w:pPr>
    </w:p>
    <w:p>
      <w:pPr>
        <w:ind w:left="660" w:right="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86" w:lineRule="exact"/>
        <w:rPr>
          <w:rFonts w:ascii="Arial" w:cs="Arial" w:eastAsia="Arial" w:hAnsi="Arial"/>
          <w:sz w:val="18"/>
          <w:szCs w:val="18"/>
          <w:color w:val="auto"/>
        </w:rPr>
      </w:pPr>
    </w:p>
    <w:p>
      <w:pPr>
        <w:ind w:left="980" w:right="60" w:hanging="324"/>
        <w:spacing w:after="0" w:line="25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7"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Solely for the purposes of its obligations pursuant to section 309B(1)(a) and 309B(1)(c) of the SFA and the Securities and Futures (Capital Markets Products) Regulations 2018 of Singapore (the “CMP Regulations 2018”), the issuer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shares of common stock have been or will be filed with or approved by any Swiss regulatory authority. In particular, this document will not be filed with, and the offer of the shares of common stock will not be supervised by, the Swiss Financial Market Supervisory Authority FINMA, and the offer of the shares of common stock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shares of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United Arab Emirates</w:t>
      </w:r>
    </w:p>
    <w:p>
      <w:pPr>
        <w:spacing w:after="0" w:line="225" w:lineRule="exact"/>
        <w:rPr>
          <w:sz w:val="20"/>
          <w:szCs w:val="20"/>
          <w:color w:val="auto"/>
        </w:rPr>
      </w:pPr>
    </w:p>
    <w:p>
      <w:pPr>
        <w:jc w:val="both"/>
        <w:ind w:right="100"/>
        <w:spacing w:after="0" w:line="293" w:lineRule="auto"/>
        <w:rPr>
          <w:sz w:val="20"/>
          <w:szCs w:val="20"/>
          <w:color w:val="auto"/>
        </w:rPr>
      </w:pPr>
      <w:r>
        <w:rPr>
          <w:rFonts w:ascii="Arial" w:cs="Arial" w:eastAsia="Arial" w:hAnsi="Arial"/>
          <w:sz w:val="16"/>
          <w:szCs w:val="16"/>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prospectus supplement has not been and will not be submitted to the French Autorité des marchés financiers (the “AMF”) for approval in France and accordingly may not and will not be distributed to the public in France.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Pursuant to Article 211-3 of the AMF General Regulation, French residents are hereby informed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prospectus supplement is not to be further distributed or reproduced (in whole or in part) in France by the recipients of this prospectus. This prospectus supplement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DLA Piper LLP, New York, New York, is representing the underwriters in connection with this offering.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Marcum LLP, an independent registered public accounting firm, has audited our consolidated financial statements included in our Annual Report on Form 10-K for the year ended December 31, 2020, as set forth in their report, which includes an explanatory paragraph as to the Company’s ability to continue as a going concern, dated March 9, 2021, which is incorporated by reference in this prospectus supplement and elsewhere in the registration statement. Our consolidated financial statements are incorporated by reference in reliance on Marcum LLP’s report, given on the authority of such firm as experts in accounting and auditing.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prospectus supplement and the accompanying prospectus are part of the registration statement on Form S-3 we filed with the SEC under the Securities Act and do not contain all of the information set forth or incorporated by reference in the registration statement and the exhibits to the registration statement. For further information with respect to us and the securities we are offering under this prospectus supplement and the accompanying prospectus, we refer you to the registration statement and the exhibits and schedules filed as a part of the registration statement. You should rely only on the information contained in this prospectus supplement and the accompanying prospectus or incorporated by reference herein and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by this prospectus supplement.</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Copies of certain information filed by us with the SEC are also available on our website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Information contained in or accessible through our website does not constitute a part of this prospectus supplement and is not incorporated by reference in this prospectus supplement.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001-37939. The documents incorporated by reference into this prospectus supplement contain important information that you should read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March 9, 2021; and</w:t>
      </w:r>
    </w:p>
    <w:p>
      <w:pPr>
        <w:spacing w:after="0" w:line="23" w:lineRule="exact"/>
        <w:rPr>
          <w:rFonts w:ascii="Arial" w:cs="Arial" w:eastAsia="Arial" w:hAnsi="Arial"/>
          <w:sz w:val="18"/>
          <w:szCs w:val="18"/>
          <w:color w:val="auto"/>
        </w:rPr>
      </w:pPr>
    </w:p>
    <w:p>
      <w:pPr>
        <w:jc w:val="both"/>
        <w:ind w:left="660" w:right="28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w:t>
      </w:r>
      <w:hyperlink r:id="rId3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registering our common stock under Section 12 of the Exchange Act, which was filed with the SEC on November 3, 2016, including any amendments or reports filed for purposes of updating such description.</w:t>
      </w:r>
    </w:p>
    <w:p>
      <w:pPr>
        <w:spacing w:after="0" w:line="190" w:lineRule="exact"/>
        <w:rPr>
          <w:rFonts w:ascii="Arial" w:cs="Arial" w:eastAsia="Arial" w:hAnsi="Arial"/>
          <w:sz w:val="18"/>
          <w:szCs w:val="18"/>
          <w:color w:val="auto"/>
        </w:rPr>
      </w:pPr>
    </w:p>
    <w:p>
      <w:pPr>
        <w:ind w:right="20"/>
        <w:spacing w:after="0" w:line="296" w:lineRule="auto"/>
        <w:rPr>
          <w:sz w:val="20"/>
          <w:szCs w:val="20"/>
          <w:color w:val="auto"/>
        </w:rPr>
      </w:pPr>
      <w:r>
        <w:rPr>
          <w:rFonts w:ascii="Arial" w:cs="Arial" w:eastAsia="Arial" w:hAnsi="Arial"/>
          <w:sz w:val="16"/>
          <w:szCs w:val="16"/>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supplement forms a part and prior to effectiveness of the registration statement, or (ii)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161"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supplement and the accompanying prospectus but not delivered with the prospectus, including exhibits that are specifically incorporated by reference into such documents. You should direct any requests for documents to Marker Therapeutics, Inc., Attn: Corporate Secretary, 3200 Southwest Freeway, Suite 2500, Houston, Texas 77027.</w:t>
      </w:r>
    </w:p>
    <w:p>
      <w:pPr>
        <w:spacing w:after="0" w:line="171" w:lineRule="exact"/>
        <w:rPr>
          <w:rFonts w:ascii="Arial" w:cs="Arial" w:eastAsia="Arial" w:hAnsi="Arial"/>
          <w:sz w:val="18"/>
          <w:szCs w:val="18"/>
          <w:color w:val="auto"/>
        </w:rPr>
      </w:pPr>
    </w:p>
    <w:p>
      <w:pPr>
        <w:ind w:right="360"/>
        <w:spacing w:after="0" w:line="259" w:lineRule="auto"/>
        <w:rPr>
          <w:sz w:val="20"/>
          <w:szCs w:val="20"/>
          <w:color w:val="auto"/>
        </w:rPr>
      </w:pPr>
      <w:r>
        <w:rPr>
          <w:rFonts w:ascii="Arial" w:cs="Arial" w:eastAsia="Arial" w:hAnsi="Arial"/>
          <w:sz w:val="18"/>
          <w:szCs w:val="18"/>
          <w:color w:val="auto"/>
        </w:rPr>
        <w:t>Any statement contained in this prospectus supplement or contained in a document incorporated or deemed to be incorporated by reference into this prospectus supplement will be deemed to be modified or superseded to the extent that a statement contained in this prospectus supplement or any subsequently filed supplement to the accompanying prospectus, or document deemed to be incorporated by reference into this prospectus supplement, modifies or supersedes such statement.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8"/>
          <w:szCs w:val="18"/>
          <w:color w:val="auto"/>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97150"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5971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From time to time, we may offer and sell up to $200,000,000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84"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9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Our common stock is traded on the Nasdaq Capital Market under the symbol “MRKR.” On June 13, 2019, the last reported sale price of our common stock was $6.10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161925</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6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870"/>
              <w:spacing w:after="0"/>
              <w:rPr>
                <w:sz w:val="20"/>
                <w:szCs w:val="20"/>
                <w:color w:val="auto"/>
              </w:rPr>
            </w:pPr>
            <w:r>
              <w:rPr>
                <w:rFonts w:ascii="Arial" w:cs="Arial" w:eastAsia="Arial" w:hAnsi="Arial"/>
                <w:sz w:val="18"/>
                <w:szCs w:val="18"/>
                <w:color w:val="auto"/>
              </w:rPr>
              <w:t>, 2019.</w:t>
            </w:r>
          </w:p>
        </w:tc>
      </w:tr>
      <w:tr>
        <w:trPr>
          <w:trHeight w:val="675"/>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ABOUT THIS PROSPECTUS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SUMMARY</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SPECIAL NOTE REGARDING FORWARD-LOOKING STATEMENTS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USE OF PROCEEDS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CAPITAL STOCK</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WARRANTS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OWNERSHIP OF SECURITIES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PLAN OF DISTRIBUTION</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23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OF CERTAIN INFORMATION BY REFERENCE</w:t>
              </w:r>
            </w:hyperlink>
          </w:p>
        </w:tc>
        <w:tc>
          <w:tcPr>
            <w:tcW w:w="2420" w:type="dxa"/>
            <w:vAlign w:val="bottom"/>
            <w:shd w:val="clear" w:color="auto" w:fill="CCEEFF"/>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24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88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$200,000,000. This prospectus provides you with a general description of the securities we may offer.</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60"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the context indicates otherwise, as used in this prospectus, unless the context otherwise requires,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MultiTAA T cell pipelines: our autologous T cells for the treatment of lymphoma, multiple myeloma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spacing w:after="0" w:line="18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pursuing post-transplant AML as the lead indication for our MultiTAA program. Our MultiTAA therapy was well tolerated in our recent Phase 1 clinical trial, with no drug-related serious adverse events. Eleven of the thirteen patients in the adjuvant disease setting dosed with our MultiTAA therapy after receiving an allogeneic stem cell transplant survived, ranging from 6 weeks to 2.5 years post-infusion as of March 2019, with nine of these patients in continuing complete remission. As of March 2019, survival of the six patients with active disease ranged from 4 to 21 months, as compared to a historical survival rate of 4 months for patients who receive the standard of care post-transplant. We intend to submit an investigational new drug application to the United States Food and Drug Administration in the third quarter of 2019 to initiate a Phase 2 clinical trial in post-allogeneic hematopoietic stem cell transplant patients with AML in both the adjuvant and active disease setting.</w:t>
      </w:r>
    </w:p>
    <w:p>
      <w:pPr>
        <w:spacing w:after="0" w:line="1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We are also evaluating our MultiTAA therapy in a Phase 2 clinical trial for the treatment of breast cancer and in Phase 1 clinical trials for the treatment of ALL, lymphoma, multiple myeloma, pancreatic cancer and sarcoma. As of March 2019, our MultiTAA therapy has been well tolerated in all clinical trials in hematological and solid tumor indications with no drug-related serious adverse events, including cytokine release syndrome or neurotoxicity. In our clinical trials in lymphoma, ALL and multiple myeloma, we observed that our MultiTAA therapies have shown the potential to mediate a meaningful anti-tumor effect, as well as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 cells. We may initiate additional Phase 2 clinical trials in other indications in 2019 in addition to our planned Phase 2 trial in post-transplant AML patients. We plan to report additional interim data from an ongoing Phase 1/2 clinical trial in pancreatic cancer in the third quarter of 2019.</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to our MultiTAA therapies, we are developing peptide-based immunotherapeutic vaccines that are designed to precisely target breast and ovarian cancer cells, in contrast to standard therapies for the treatment of cancer that target both cancer cells and normal cells. We are currently evaluating TPIV100/110 for the treatment of breast cancers that overexpress human epidermal growth factor receptor 2 in a Phase 1b clinical trial and TPIV200 for the treatment of breast and ovarian cancers that overexpress folate receptor alpha in multiple Phase 2 clinical trials, including in ovarian cancer, for which we expect to report interim data in the fourth quarter of 2019, and triple negative breast cancer, for which we recently reported that 26 of the 27 patients evaluated for immunogenicity showed significant immune response to treatment as of March 2019. We believe that our peptide vaccines and our PolyStart technology, which is currently in preclinical development, can be used as both standalone therapies and as complementary therapies that enhance the efficacy of other immunotherapy approaches.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0" w:firstLine="324"/>
        <w:spacing w:after="0" w:line="255" w:lineRule="auto"/>
        <w:rPr>
          <w:sz w:val="20"/>
          <w:szCs w:val="20"/>
          <w:color w:val="auto"/>
        </w:rPr>
      </w:pPr>
      <w:r>
        <w:rPr>
          <w:rFonts w:ascii="Arial" w:cs="Arial" w:eastAsia="Arial" w:hAnsi="Arial"/>
          <w:sz w:val="18"/>
          <w:szCs w:val="18"/>
          <w:color w:val="auto"/>
        </w:rPr>
        <w:t>We believe that our therapies present promising innovations in immuno-oncology. We developed our MultiTAA therapy in collaboration with the Cell and Gene Therapy Center at Baylor College of Medicine, which was founded by Dr. Malcolm K. Brenner, M.D., Ph.D., a recognized pioneer in immuno-oncology. Baylor College of Medicine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clinical-stage pipeline, including clinical trials being conducted by Baylor College of Medicine,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72125" cy="2966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57212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MAPP: autologous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LAPP: allogeneic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40" w:firstLine="401"/>
        <w:spacing w:after="0" w:line="288" w:lineRule="auto"/>
        <w:rPr>
          <w:sz w:val="20"/>
          <w:szCs w:val="20"/>
          <w:color w:val="auto"/>
        </w:rPr>
      </w:pPr>
      <w:r>
        <w:rPr>
          <w:rFonts w:ascii="Arial" w:cs="Arial" w:eastAsia="Arial" w:hAnsi="Arial"/>
          <w:sz w:val="16"/>
          <w:szCs w:val="16"/>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the information on, or accessible through, our website, and you should not consider it as part of this prospectus.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up to a total aggregate offering price of $200,000,000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ranking;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1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We may issue shares of our common stock from time to time. Holders of our common stock are entitled to one vote for each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jc w:val="both"/>
        <w:ind w:right="60" w:firstLine="23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We may issue shares of our preferred stock from time to time, in one or more series. Under our certificate of incorporation,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has the authority, without further action by the stockholders, to issue up to 5,000,000 shares of preferred stock, par value $0.001 per share. You should refer to our certificate of incorporation and our bylaws, both of which are included as exhibits to the registration statement of which this prospectus is a part.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60" w:firstLine="324"/>
        <w:spacing w:after="0" w:line="253" w:lineRule="auto"/>
        <w:rPr>
          <w:sz w:val="20"/>
          <w:szCs w:val="20"/>
          <w:color w:val="auto"/>
        </w:rPr>
      </w:pPr>
      <w:r>
        <w:rPr>
          <w:rFonts w:ascii="Arial" w:cs="Arial" w:eastAsia="Arial" w:hAnsi="Arial"/>
          <w:sz w:val="18"/>
          <w:szCs w:val="18"/>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9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57"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We may issue debt securities from time to time, in one or more series, as either senior or subordinated debt or as senior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9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stock, preferred stock and/or debt securities in one or more series. We may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65"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2018,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5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w:t>
      </w:r>
    </w:p>
    <w:p>
      <w:pPr>
        <w:spacing w:after="0" w:line="165" w:lineRule="exact"/>
        <w:rPr>
          <w:sz w:val="20"/>
          <w:szCs w:val="20"/>
          <w:color w:val="auto"/>
        </w:rPr>
      </w:pPr>
    </w:p>
    <w:p>
      <w:pPr>
        <w:jc w:val="both"/>
        <w:ind w:left="980" w:right="180" w:hanging="324"/>
        <w:spacing w:after="0" w:line="25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our MultiTAA therapies and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980" w:right="34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our product candidates and our ability to obtain and maintain regulatory approvals for our product candidates for any indication;</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ind w:left="980" w:right="52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our MultiTAA platform to develop future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funding;</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ind w:right="360" w:firstLine="369"/>
        <w:spacing w:after="0" w:line="296" w:lineRule="auto"/>
        <w:rPr>
          <w:sz w:val="20"/>
          <w:szCs w:val="20"/>
          <w:color w:val="auto"/>
        </w:rPr>
      </w:pPr>
      <w:r>
        <w:rPr>
          <w:rFonts w:ascii="Arial" w:cs="Arial" w:eastAsia="Arial" w:hAnsi="Arial"/>
          <w:sz w:val="16"/>
          <w:szCs w:val="16"/>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324"/>
        <w:spacing w:after="0" w:line="291" w:lineRule="auto"/>
        <w:rPr>
          <w:sz w:val="20"/>
          <w:szCs w:val="20"/>
          <w:color w:val="auto"/>
        </w:rPr>
      </w:pPr>
      <w:r>
        <w:rPr>
          <w:rFonts w:ascii="Arial" w:cs="Arial" w:eastAsia="Arial" w:hAnsi="Arial"/>
          <w:sz w:val="16"/>
          <w:szCs w:val="16"/>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6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firstLine="330"/>
        <w:spacing w:after="0" w:line="286" w:lineRule="auto"/>
        <w:rPr>
          <w:sz w:val="20"/>
          <w:szCs w:val="20"/>
          <w:color w:val="auto"/>
        </w:rPr>
      </w:pPr>
      <w:r>
        <w:rPr>
          <w:rFonts w:ascii="Arial" w:cs="Arial" w:eastAsia="Arial" w:hAnsi="Arial"/>
          <w:sz w:val="17"/>
          <w:szCs w:val="17"/>
          <w:color w:val="auto"/>
        </w:rPr>
        <w:t>Our certificate of incorporation authorizes us to issue up to 150,000,000 shares of common stock, $0.001 par value per share, and 5,000,000 shares of preferred stock, $0.001 par value per share. Our board of directors may establish the rights and preferences of the preferred stock from time to time. As of March 31, 2019, we had outstanding 45,484,483 shares of common stock and no shares of preferred stock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Holders of common stock are entitled to receive ratably any dividends as may be declared by our board of directors, subject to any preferential dividend rights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8"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660" w:right="7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right="5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transfer agent and registrar for our common stock is Island Stock Transfer, with offices at 15500 Roosevelt Boulevard, Clearwater, FL 33760. The transfer agent for any series of preferred stock that we may offer under this prospectus will be named and described in the prospectus supplement for that series.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6" w:name="page37"/>
    <w:bookmarkEnd w:id="36"/>
    <w:p>
      <w:pPr>
        <w:ind w:left="328" w:right="20" w:hanging="328"/>
        <w:spacing w:after="0" w:line="308" w:lineRule="auto"/>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328" w:right="140" w:hanging="328"/>
        <w:spacing w:after="0" w:line="342" w:lineRule="auto"/>
        <w:tabs>
          <w:tab w:leader="none" w:pos="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23" w:lineRule="exact"/>
        <w:rPr>
          <w:rFonts w:ascii="Arial" w:cs="Arial" w:eastAsia="Arial" w:hAnsi="Arial"/>
          <w:sz w:val="16"/>
          <w:szCs w:val="16"/>
          <w:color w:val="auto"/>
        </w:rPr>
      </w:pPr>
    </w:p>
    <w:p>
      <w:pPr>
        <w:jc w:val="both"/>
        <w:ind w:left="328" w:right="240" w:hanging="328"/>
        <w:spacing w:after="0" w:line="263"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248" w:lineRule="exact"/>
        <w:rPr>
          <w:rFonts w:ascii="Arial" w:cs="Arial" w:eastAsia="Arial" w:hAnsi="Arial"/>
          <w:sz w:val="16"/>
          <w:szCs w:val="16"/>
          <w:color w:val="auto"/>
        </w:rPr>
      </w:pPr>
    </w:p>
    <w:p>
      <w:pPr>
        <w:ind w:left="328" w:right="60" w:hanging="328"/>
        <w:spacing w:after="0" w:line="342" w:lineRule="auto"/>
        <w:tabs>
          <w:tab w:leader="none" w:pos="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terms and conditions, if any, upon which such global security or securities may be exchanged in whole or in part for other individual securities;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225" w:lineRule="exact"/>
        <w:rPr>
          <w:rFonts w:ascii="Arial" w:cs="Arial" w:eastAsia="Arial" w:hAnsi="Arial"/>
          <w:sz w:val="18"/>
          <w:szCs w:val="18"/>
          <w:color w:val="auto"/>
        </w:rPr>
      </w:pPr>
    </w:p>
    <w:p>
      <w:pPr>
        <w:ind w:left="328" w:right="140" w:hanging="328"/>
        <w:spacing w:after="0" w:line="259"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6" w:lineRule="exact"/>
        <w:rPr>
          <w:rFonts w:ascii="Arial" w:cs="Arial" w:eastAsia="Arial" w:hAnsi="Arial"/>
          <w:sz w:val="18"/>
          <w:szCs w:val="18"/>
          <w:color w:val="auto"/>
        </w:rPr>
      </w:pPr>
    </w:p>
    <w:p>
      <w:pPr>
        <w:ind w:left="328" w:right="42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328" w:right="50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170"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225" w:lineRule="exact"/>
        <w:rPr>
          <w:rFonts w:ascii="Arial" w:cs="Arial" w:eastAsia="Arial" w:hAnsi="Arial"/>
          <w:sz w:val="18"/>
          <w:szCs w:val="18"/>
          <w:color w:val="auto"/>
        </w:rPr>
      </w:pPr>
    </w:p>
    <w:p>
      <w:pPr>
        <w:ind w:left="328" w:right="66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236" w:lineRule="exact"/>
        <w:rPr>
          <w:rFonts w:ascii="Arial" w:cs="Arial" w:eastAsia="Arial" w:hAnsi="Arial"/>
          <w:sz w:val="17"/>
          <w:szCs w:val="17"/>
          <w:color w:val="auto"/>
        </w:rPr>
      </w:pPr>
    </w:p>
    <w:p>
      <w:pPr>
        <w:ind w:left="328" w:right="360" w:hanging="328"/>
        <w:spacing w:after="0" w:line="277" w:lineRule="auto"/>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8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37" w:name="page38"/>
    <w:bookmarkEnd w:id="37"/>
    <w:p>
      <w:pPr>
        <w:ind w:left="660" w:right="2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ind w:left="660" w:right="140" w:hanging="328"/>
        <w:spacing w:after="0" w:line="28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ind w:left="660" w:right="24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14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660" w:right="280" w:hanging="328"/>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8"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225" w:lineRule="exact"/>
        <w:rPr>
          <w:rFonts w:ascii="Arial" w:cs="Arial" w:eastAsia="Arial" w:hAnsi="Arial"/>
          <w:sz w:val="18"/>
          <w:szCs w:val="18"/>
          <w:color w:val="auto"/>
        </w:rPr>
      </w:pPr>
    </w:p>
    <w:p>
      <w:pPr>
        <w:jc w:val="both"/>
        <w:ind w:left="660" w:right="680" w:hanging="328"/>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4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describe in the applicable prospectus supplement the terms relating to a series of warrants being offered, including, to the extent applicable:</w:t>
      </w:r>
    </w:p>
    <w:p>
      <w:pPr>
        <w:spacing w:after="0" w:line="24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660" w:right="140" w:hanging="328"/>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ind w:left="660" w:right="2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left="660" w:right="62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Arial" w:cs="Arial" w:eastAsia="Arial" w:hAnsi="Arial"/>
          <w:sz w:val="18"/>
          <w:szCs w:val="18"/>
          <w:color w:val="auto"/>
        </w:rPr>
      </w:pPr>
    </w:p>
    <w:p>
      <w:pPr>
        <w:ind w:left="660" w:right="40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32" w:lineRule="exact"/>
        <w:rPr>
          <w:rFonts w:ascii="Arial" w:cs="Arial" w:eastAsia="Arial" w:hAnsi="Arial"/>
          <w:sz w:val="16"/>
          <w:szCs w:val="16"/>
          <w:color w:val="auto"/>
        </w:rPr>
      </w:pPr>
    </w:p>
    <w:p>
      <w:pPr>
        <w:ind w:left="660" w:right="64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64"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25" w:lineRule="exact"/>
        <w:rPr>
          <w:sz w:val="20"/>
          <w:szCs w:val="20"/>
          <w:color w:val="auto"/>
        </w:rPr>
      </w:pPr>
    </w:p>
    <w:p>
      <w:pPr>
        <w:ind w:left="660" w:right="28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ind w:left="660" w:right="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660" w:right="12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ind w:left="660" w:right="60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ind w:left="660" w:hanging="328"/>
        <w:spacing w:after="0" w:line="2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5" w:name="page46"/>
    <w:bookmarkEnd w:id="45"/>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Unless we provide otherwise in the applicable prospectus supplement, a global security will terminate when the following special situations occur:</w:t>
      </w:r>
    </w:p>
    <w:p>
      <w:pPr>
        <w:spacing w:after="0" w:line="237" w:lineRule="exact"/>
        <w:rPr>
          <w:sz w:val="20"/>
          <w:szCs w:val="20"/>
          <w:color w:val="auto"/>
        </w:rPr>
      </w:pPr>
    </w:p>
    <w:p>
      <w:pPr>
        <w:ind w:left="660" w:right="50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1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8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firstLine="324"/>
        <w:spacing w:after="0" w:line="272"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7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Marcum LLP, independent registered public accounting firm, has audited our consolidated financial statements as of and for the years ended December 31, 2018 and 2017 and the effectiveness of our internal control over financial reporting as of December 31, 2018 as set forth in its reports, which are included in our 2018 Annual Report on Form 10-K and incorporated by reference in this prospectus and elsewhere in the registration statement. Our 2018 and 2017 financial statements are incorporated by reference in reliance on Marcum LLP’s report, given on their authority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9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 constitute a part of this prospectus and is not incorporated by reference in this prospectus.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700" w:hanging="32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68">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right="380" w:hanging="328"/>
        <w:spacing w:after="0" w:line="250"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Schedule 14A, filed with the SEC on </w:t>
      </w:r>
      <w:hyperlink r:id="rId69">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w:t>
      </w:r>
    </w:p>
    <w:p>
      <w:pPr>
        <w:ind w:left="700" w:hanging="32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March 31, 2019, filed with the SEC on </w:t>
      </w:r>
      <w:hyperlink r:id="rId70">
        <w:r>
          <w:rPr>
            <w:rFonts w:ascii="Arial" w:cs="Arial" w:eastAsia="Arial" w:hAnsi="Arial"/>
            <w:sz w:val="18"/>
            <w:szCs w:val="18"/>
            <w:u w:val="single" w:color="auto"/>
            <w:color w:val="0000EE"/>
          </w:rPr>
          <w:t>May 10, 2019</w:t>
        </w:r>
      </w:hyperlink>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right="340" w:hanging="328"/>
        <w:spacing w:after="0" w:line="250" w:lineRule="auto"/>
        <w:tabs>
          <w:tab w:leader="none" w:pos="700" w:val="left"/>
        </w:tabs>
        <w:numPr>
          <w:ilvl w:val="0"/>
          <w:numId w:val="41"/>
        </w:numPr>
        <w:rPr>
          <w:rFonts w:ascii="Arial" w:cs="Arial" w:eastAsia="Arial" w:hAnsi="Arial"/>
          <w:sz w:val="18"/>
          <w:szCs w:val="18"/>
          <w:color w:val="0000EE"/>
        </w:rPr>
      </w:pPr>
      <w:hyperlink r:id="rId71">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28,</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2">
        <w:r>
          <w:rPr>
            <w:rFonts w:ascii="Arial" w:cs="Arial" w:eastAsia="Arial" w:hAnsi="Arial"/>
            <w:sz w:val="18"/>
            <w:szCs w:val="18"/>
            <w:u w:val="single" w:color="auto"/>
            <w:color w:val="0000EE"/>
          </w:rPr>
          <w:t xml:space="preserve">April 17, 2019 </w:t>
        </w:r>
      </w:hyperlink>
      <w:hyperlink r:id="rId71">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3">
        <w:r>
          <w:rPr>
            <w:rFonts w:ascii="Arial" w:cs="Arial" w:eastAsia="Arial" w:hAnsi="Arial"/>
            <w:sz w:val="18"/>
            <w:szCs w:val="18"/>
            <w:u w:val="single" w:color="auto"/>
            <w:color w:val="0000EE"/>
          </w:rPr>
          <w:t>May 10, 2019</w:t>
        </w:r>
      </w:hyperlink>
      <w:hyperlink r:id="rId71">
        <w:r>
          <w:rPr>
            <w:rFonts w:ascii="Arial" w:cs="Arial" w:eastAsia="Arial" w:hAnsi="Arial"/>
            <w:sz w:val="18"/>
            <w:szCs w:val="18"/>
            <w:color w:val="000000"/>
          </w:rPr>
          <w:t>; and</w:t>
        </w:r>
      </w:hyperlink>
    </w:p>
    <w:p>
      <w:pPr>
        <w:jc w:val="both"/>
        <w:ind w:left="700" w:right="300" w:hanging="328"/>
        <w:spacing w:after="0" w:line="255"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74">
        <w:r>
          <w:rPr>
            <w:rFonts w:ascii="Arial" w:cs="Arial" w:eastAsia="Arial" w:hAnsi="Arial"/>
            <w:sz w:val="18"/>
            <w:szCs w:val="18"/>
            <w:u w:val="single" w:color="auto"/>
            <w:color w:val="0000EE"/>
          </w:rPr>
          <w:t>November 3, 2016</w:t>
        </w:r>
      </w:hyperlink>
      <w:r>
        <w:rPr>
          <w:rFonts w:ascii="Arial" w:cs="Arial" w:eastAsia="Arial" w:hAnsi="Arial"/>
          <w:sz w:val="18"/>
          <w:szCs w:val="18"/>
          <w:color w:val="auto"/>
        </w:rPr>
        <w:t>, including any amendments or reports filed for purposes of updating such description.</w:t>
      </w:r>
    </w:p>
    <w:p>
      <w:pPr>
        <w:spacing w:after="0" w:line="190" w:lineRule="exact"/>
        <w:rPr>
          <w:rFonts w:ascii="Arial" w:cs="Arial" w:eastAsia="Arial" w:hAnsi="Arial"/>
          <w:sz w:val="18"/>
          <w:szCs w:val="18"/>
          <w:color w:val="0000EE"/>
        </w:rPr>
      </w:pPr>
    </w:p>
    <w:p>
      <w:pPr>
        <w:ind w:firstLine="324"/>
        <w:spacing w:after="0" w:line="275" w:lineRule="auto"/>
        <w:rPr>
          <w:sz w:val="20"/>
          <w:szCs w:val="20"/>
          <w:color w:val="auto"/>
        </w:rPr>
      </w:pPr>
      <w:r>
        <w:rPr>
          <w:rFonts w:ascii="Arial" w:cs="Arial" w:eastAsia="Arial" w:hAnsi="Arial"/>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6" w:lineRule="exact"/>
        <w:rPr>
          <w:rFonts w:ascii="Arial" w:cs="Arial" w:eastAsia="Arial" w:hAnsi="Arial"/>
          <w:sz w:val="18"/>
          <w:szCs w:val="18"/>
          <w:color w:val="0000EE"/>
        </w:rPr>
      </w:pPr>
    </w:p>
    <w:p>
      <w:pPr>
        <w:ind w:right="40"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2240, Houston, Texas 77027.</w:t>
      </w:r>
    </w:p>
    <w:p>
      <w:pPr>
        <w:spacing w:after="0" w:line="187" w:lineRule="exact"/>
        <w:rPr>
          <w:rFonts w:ascii="Arial" w:cs="Arial" w:eastAsia="Arial" w:hAnsi="Arial"/>
          <w:sz w:val="18"/>
          <w:szCs w:val="18"/>
          <w:color w:val="0000EE"/>
        </w:rPr>
      </w:pPr>
    </w:p>
    <w:p>
      <w:pPr>
        <w:ind w:right="320" w:firstLine="324"/>
        <w:spacing w:after="0" w:line="311" w:lineRule="auto"/>
        <w:rPr>
          <w:sz w:val="20"/>
          <w:szCs w:val="20"/>
          <w:color w:val="auto"/>
        </w:rPr>
      </w:pPr>
      <w:r>
        <w:rPr>
          <w:rFonts w:ascii="Arial" w:cs="Arial" w:eastAsia="Arial" w:hAnsi="Arial"/>
          <w:sz w:val="16"/>
          <w:szCs w:val="16"/>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365" w:lineRule="exact"/>
        <w:rPr>
          <w:rFonts w:ascii="Arial" w:cs="Arial" w:eastAsia="Arial" w:hAnsi="Arial"/>
          <w:sz w:val="18"/>
          <w:szCs w:val="18"/>
          <w:color w:val="0000EE"/>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5"/>
          <w:szCs w:val="25"/>
          <w:b w:val="1"/>
          <w:bCs w:val="1"/>
          <w:color w:val="auto"/>
        </w:rPr>
        <w: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MARKER THERAPEUTICS, INC.</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1254760</wp:posOffset>
            </wp:positionV>
            <wp:extent cx="1783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431800</wp:posOffset>
            </wp:positionV>
            <wp:extent cx="2880360" cy="651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8803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Piper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191770</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3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lvl w:ilvl="1">
      <w:lvlJc w:val="left"/>
      <w:lvlText w:val="(%2)"/>
      <w:numFmt w:val="lowerLetter"/>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jpe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36" Type="http://schemas.openxmlformats.org/officeDocument/2006/relationships/hyperlink" Target="https://www.sec.gov/ix?doc=/Archives/edgar/data/1094038/000110465921033855/mrkr-20201231x10k.htm" TargetMode="External"/><Relationship Id="rId37" Type="http://schemas.openxmlformats.org/officeDocument/2006/relationships/hyperlink" Target="https://www.sec.gov/Archives/edgar/data/1094038/000114420416131272/v452031_8a12b.htm" TargetMode="External"/><Relationship Id="rId68" Type="http://schemas.openxmlformats.org/officeDocument/2006/relationships/hyperlink" Target="http://www.sec.gov/Archives/edgar/data/1094038/000114420419014350/tv514406_10k.htm" TargetMode="External"/><Relationship Id="rId69" Type="http://schemas.openxmlformats.org/officeDocument/2006/relationships/hyperlink" Target="http://www.sec.gov/Archives/edgar/data/1094038/000114420419016692/tv517415_def14a.htm" TargetMode="External"/><Relationship Id="rId70" Type="http://schemas.openxmlformats.org/officeDocument/2006/relationships/hyperlink" Target="http://www.sec.gov/Archives/edgar/data/1094038/000114420419025316/tv520511_10q.htm" TargetMode="External"/><Relationship Id="rId71" Type="http://schemas.openxmlformats.org/officeDocument/2006/relationships/hyperlink" Target="http://www.sec.gov/Archives/edgar/data/1094038/000114420419016685/tv517465_8k.htm" TargetMode="External"/><Relationship Id="rId72" Type="http://schemas.openxmlformats.org/officeDocument/2006/relationships/hyperlink" Target="http://www.sec.gov/Archives/edgar/data/1094038/000114420419019976/tv519053_8k.htm" TargetMode="External"/><Relationship Id="rId73" Type="http://schemas.openxmlformats.org/officeDocument/2006/relationships/hyperlink" Target="http://www.sec.gov/Archives/edgar/data/1094038/000114420419025325/tv521321_8k.htm" TargetMode="External"/><Relationship Id="rId74" Type="http://schemas.openxmlformats.org/officeDocument/2006/relationships/hyperlink" Target="http://www.sec.gov/Archives/edgar/data/1094038/000114420416131272/v45203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2021-03-11T15:41:07Z</dcterms:created>
  <dcterms:modified xsi:type="dcterms:W3CDTF">2021-03-11T15:41:07Z</dcterms:modified>
</cp:coreProperties>
</file>