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22860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ind w:left="5060"/>
        <w:spacing w:after="0"/>
        <w:rPr>
          <w:sz w:val="20"/>
          <w:szCs w:val="20"/>
          <w:color w:val="auto"/>
        </w:rPr>
      </w:pPr>
      <w:r>
        <w:rPr>
          <w:rFonts w:ascii="Arial" w:cs="Arial" w:eastAsia="Arial" w:hAnsi="Arial"/>
          <w:sz w:val="20"/>
          <w:szCs w:val="20"/>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January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06"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3360" w:type="dxa"/>
            <w:vAlign w:val="bottom"/>
            <w:gridSpan w:val="2"/>
          </w:tcPr>
          <w:p>
            <w:pPr>
              <w:spacing w:after="0"/>
              <w:rPr>
                <w:sz w:val="20"/>
                <w:szCs w:val="20"/>
                <w:color w:val="auto"/>
              </w:rPr>
            </w:pPr>
            <w:r>
              <w:rPr>
                <w:rFonts w:ascii="Arial" w:cs="Arial" w:eastAsia="Arial" w:hAnsi="Arial"/>
                <w:sz w:val="22"/>
                <w:szCs w:val="22"/>
                <w:b w:val="1"/>
                <w:bCs w:val="1"/>
                <w:color w:val="auto"/>
              </w:rPr>
              <w:t>CUSIP No. 876033309</w:t>
            </w:r>
          </w:p>
        </w:tc>
        <w:tc>
          <w:tcPr>
            <w:tcW w:w="6220" w:type="dxa"/>
            <w:vAlign w:val="bottom"/>
          </w:tcPr>
          <w:p>
            <w:pPr>
              <w:ind w:left="2160"/>
              <w:spacing w:after="0"/>
              <w:rPr>
                <w:sz w:val="20"/>
                <w:szCs w:val="20"/>
                <w:color w:val="auto"/>
              </w:rPr>
            </w:pPr>
            <w:r>
              <w:rPr>
                <w:rFonts w:ascii="Arial" w:cs="Arial" w:eastAsia="Arial" w:hAnsi="Arial"/>
                <w:sz w:val="22"/>
                <w:szCs w:val="22"/>
                <w:b w:val="1"/>
                <w:bCs w:val="1"/>
                <w:color w:val="auto"/>
              </w:rPr>
              <w:t>13G</w:t>
            </w:r>
          </w:p>
        </w:tc>
        <w:tc>
          <w:tcPr>
            <w:tcW w:w="1840" w:type="dxa"/>
            <w:vAlign w:val="bottom"/>
          </w:tcPr>
          <w:p>
            <w:pPr>
              <w:ind w:left="160"/>
              <w:spacing w:after="0"/>
              <w:rPr>
                <w:sz w:val="20"/>
                <w:szCs w:val="20"/>
                <w:color w:val="auto"/>
              </w:rPr>
            </w:pPr>
            <w:r>
              <w:rPr>
                <w:rFonts w:ascii="Arial" w:cs="Arial" w:eastAsia="Arial" w:hAnsi="Arial"/>
                <w:sz w:val="22"/>
                <w:szCs w:val="22"/>
                <w:b w:val="1"/>
                <w:bCs w:val="1"/>
                <w:color w:val="auto"/>
                <w:w w:val="82"/>
              </w:rPr>
              <w:t>Page 2 of 11 Pages</w:t>
            </w:r>
          </w:p>
        </w:tc>
        <w:tc>
          <w:tcPr>
            <w:tcW w:w="0" w:type="dxa"/>
            <w:vAlign w:val="bottom"/>
          </w:tcPr>
          <w:p>
            <w:pPr>
              <w:spacing w:after="0"/>
              <w:rPr>
                <w:sz w:val="1"/>
                <w:szCs w:val="1"/>
                <w:color w:val="auto"/>
              </w:rPr>
            </w:pPr>
          </w:p>
        </w:tc>
      </w:tr>
      <w:tr>
        <w:trPr>
          <w:trHeight w:val="436"/>
        </w:trPr>
        <w:tc>
          <w:tcPr>
            <w:tcW w:w="186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right w:val="single" w:sz="8" w:color="auto"/>
            </w:tcBorders>
          </w:tcPr>
          <w:p>
            <w:pPr>
              <w:spacing w:after="0"/>
              <w:rPr>
                <w:sz w:val="20"/>
                <w:szCs w:val="20"/>
                <w:color w:val="auto"/>
              </w:rPr>
            </w:pPr>
          </w:p>
        </w:tc>
        <w:tc>
          <w:tcPr>
            <w:tcW w:w="7720" w:type="dxa"/>
            <w:vAlign w:val="bottom"/>
            <w:gridSpan w:val="2"/>
          </w:tcPr>
          <w:p>
            <w:pPr>
              <w:ind w:left="100"/>
              <w:spacing w:after="0"/>
              <w:rPr>
                <w:sz w:val="20"/>
                <w:szCs w:val="20"/>
                <w:color w:val="auto"/>
              </w:rPr>
            </w:pPr>
            <w:r>
              <w:rPr>
                <w:rFonts w:ascii="Arial" w:cs="Arial" w:eastAsia="Arial" w:hAnsi="Arial"/>
                <w:sz w:val="16"/>
                <w:szCs w:val="16"/>
                <w:color w:val="auto"/>
              </w:rPr>
              <w:t>NAMES OF REPORTING PERSONS</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7720" w:type="dxa"/>
            <w:vAlign w:val="bottom"/>
            <w:gridSpan w:val="2"/>
          </w:tcPr>
          <w:p>
            <w:pPr>
              <w:ind w:left="440"/>
              <w:spacing w:after="0"/>
              <w:rPr>
                <w:sz w:val="20"/>
                <w:szCs w:val="20"/>
                <w:color w:val="auto"/>
              </w:rPr>
            </w:pPr>
            <w:r>
              <w:rPr>
                <w:rFonts w:ascii="Arial" w:cs="Arial" w:eastAsia="Arial" w:hAnsi="Arial"/>
                <w:sz w:val="20"/>
                <w:szCs w:val="20"/>
                <w:color w:val="auto"/>
              </w:rPr>
              <w:t>Empery Tax Efficient II, LP</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1860" w:type="dxa"/>
            <w:vAlign w:val="bottom"/>
            <w:tcBorders>
              <w:left w:val="single" w:sz="8" w:color="auto"/>
              <w:right w:val="single" w:sz="8" w:color="auto"/>
            </w:tcBorders>
            <w:vMerge w:val="continue"/>
          </w:tcPr>
          <w:p>
            <w:pPr>
              <w:spacing w:after="0"/>
              <w:rPr>
                <w:sz w:val="13"/>
                <w:szCs w:val="13"/>
                <w:color w:val="auto"/>
              </w:rPr>
            </w:pPr>
          </w:p>
        </w:tc>
        <w:tc>
          <w:tcPr>
            <w:tcW w:w="15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77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77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jc w:val="center"/>
              <w:ind w:right="31"/>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89"/>
        </w:trPr>
        <w:tc>
          <w:tcPr>
            <w:tcW w:w="186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Pr>
          <w:p>
            <w:pPr>
              <w:spacing w:after="0"/>
              <w:rPr>
                <w:sz w:val="7"/>
                <w:szCs w:val="7"/>
                <w:color w:val="auto"/>
              </w:rPr>
            </w:pPr>
          </w:p>
        </w:tc>
        <w:tc>
          <w:tcPr>
            <w:tcW w:w="62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jc w:val="center"/>
              <w:ind w:right="31"/>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44"/>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50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6220" w:type="dxa"/>
            <w:vAlign w:val="bottom"/>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60" w:type="dxa"/>
            <w:vAlign w:val="bottom"/>
            <w:tcBorders>
              <w:left w:val="single" w:sz="8" w:color="auto"/>
              <w:right w:val="single" w:sz="8" w:color="auto"/>
            </w:tcBorders>
            <w:vMerge w:val="continue"/>
          </w:tcPr>
          <w:p>
            <w:pPr>
              <w:spacing w:after="0"/>
              <w:rPr>
                <w:sz w:val="13"/>
                <w:szCs w:val="13"/>
                <w:color w:val="auto"/>
              </w:rPr>
            </w:pPr>
          </w:p>
        </w:tc>
        <w:tc>
          <w:tcPr>
            <w:tcW w:w="15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77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7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Borders>
              <w:left w:val="single" w:sz="8" w:color="auto"/>
              <w:right w:val="single" w:sz="8" w:color="auto"/>
            </w:tcBorders>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6220" w:type="dxa"/>
            <w:vAlign w:val="bottom"/>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tcPr>
          <w:p>
            <w:pPr>
              <w:spacing w:after="0"/>
              <w:rPr>
                <w:sz w:val="6"/>
                <w:szCs w:val="6"/>
                <w:color w:val="auto"/>
              </w:rPr>
            </w:pPr>
          </w:p>
        </w:tc>
        <w:tc>
          <w:tcPr>
            <w:tcW w:w="1500" w:type="dxa"/>
            <w:vAlign w:val="bottom"/>
            <w:vMerge w:val="continue"/>
          </w:tcPr>
          <w:p>
            <w:pPr>
              <w:spacing w:after="0"/>
              <w:rPr>
                <w:sz w:val="6"/>
                <w:szCs w:val="6"/>
                <w:color w:val="auto"/>
              </w:rPr>
            </w:pPr>
          </w:p>
        </w:tc>
        <w:tc>
          <w:tcPr>
            <w:tcW w:w="6220" w:type="dxa"/>
            <w:vAlign w:val="bottom"/>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vMerge w:val="restart"/>
          </w:tcPr>
          <w:p>
            <w:pPr>
              <w:ind w:left="660"/>
              <w:spacing w:after="0"/>
              <w:rPr>
                <w:sz w:val="20"/>
                <w:szCs w:val="20"/>
                <w:color w:val="auto"/>
              </w:rPr>
            </w:pPr>
            <w:r>
              <w:rPr>
                <w:rFonts w:ascii="Arial" w:cs="Arial" w:eastAsia="Arial" w:hAnsi="Arial"/>
                <w:sz w:val="29"/>
                <w:szCs w:val="29"/>
                <w:b w:val="1"/>
                <w:bCs w:val="1"/>
                <w:color w:val="auto"/>
              </w:rPr>
              <w:t>5</w:t>
            </w:r>
          </w:p>
        </w:tc>
        <w:tc>
          <w:tcPr>
            <w:tcW w:w="62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6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62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60" w:type="dxa"/>
            <w:vAlign w:val="bottom"/>
            <w:tcBorders>
              <w:left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6220" w:type="dxa"/>
            <w:vAlign w:val="bottom"/>
            <w:tcBorders>
              <w:bottom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right w:val="single" w:sz="8" w:color="auto"/>
            </w:tcBorders>
            <w:vMerge w:val="restart"/>
          </w:tcPr>
          <w:p>
            <w:pPr>
              <w:ind w:left="660"/>
              <w:spacing w:after="0"/>
              <w:rPr>
                <w:sz w:val="20"/>
                <w:szCs w:val="20"/>
                <w:color w:val="auto"/>
              </w:rPr>
            </w:pPr>
            <w:r>
              <w:rPr>
                <w:rFonts w:ascii="Arial" w:cs="Arial" w:eastAsia="Arial" w:hAnsi="Arial"/>
                <w:sz w:val="29"/>
                <w:szCs w:val="29"/>
                <w:b w:val="1"/>
                <w:bCs w:val="1"/>
                <w:color w:val="auto"/>
              </w:rPr>
              <w:t>6</w:t>
            </w:r>
          </w:p>
        </w:tc>
        <w:tc>
          <w:tcPr>
            <w:tcW w:w="622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1860" w:type="dxa"/>
            <w:vAlign w:val="bottom"/>
            <w:tcBorders>
              <w:left w:val="single" w:sz="8" w:color="auto"/>
              <w:right w:val="single" w:sz="8" w:color="auto"/>
            </w:tcBorders>
            <w:vMerge w:val="continue"/>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6220" w:type="dxa"/>
            <w:vAlign w:val="bottom"/>
            <w:vMerge w:val="restart"/>
          </w:tcPr>
          <w:p>
            <w:pPr>
              <w:ind w:left="420"/>
              <w:spacing w:after="0"/>
              <w:rPr>
                <w:sz w:val="20"/>
                <w:szCs w:val="20"/>
                <w:color w:val="auto"/>
              </w:rPr>
            </w:pPr>
            <w:r>
              <w:rPr>
                <w:rFonts w:ascii="Arial" w:cs="Arial" w:eastAsia="Arial" w:hAnsi="Arial"/>
                <w:sz w:val="17"/>
                <w:szCs w:val="17"/>
                <w:color w:val="auto"/>
              </w:rPr>
              <w:t>1,434,453 shares of Common Stock</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tcPr>
          <w:p>
            <w:pPr>
              <w:spacing w:after="0"/>
              <w:rPr>
                <w:sz w:val="3"/>
                <w:szCs w:val="3"/>
                <w:color w:val="auto"/>
              </w:rPr>
            </w:pPr>
          </w:p>
        </w:tc>
        <w:tc>
          <w:tcPr>
            <w:tcW w:w="6220" w:type="dxa"/>
            <w:vAlign w:val="bottom"/>
            <w:vMerge w:val="continue"/>
          </w:tcPr>
          <w:p>
            <w:pPr>
              <w:spacing w:after="0"/>
              <w:rPr>
                <w:sz w:val="3"/>
                <w:szCs w:val="3"/>
                <w:color w:val="auto"/>
              </w:rPr>
            </w:pPr>
          </w:p>
        </w:tc>
        <w:tc>
          <w:tcPr>
            <w:tcW w:w="1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860" w:type="dxa"/>
            <w:vAlign w:val="bottom"/>
            <w:tcBorders>
              <w:left w:val="single" w:sz="8" w:color="auto"/>
              <w:right w:val="single" w:sz="8" w:color="auto"/>
            </w:tcBorders>
            <w:vMerge w:val="continue"/>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8060" w:type="dxa"/>
            <w:vAlign w:val="bottom"/>
            <w:tcBorders>
              <w:right w:val="single" w:sz="8" w:color="auto"/>
            </w:tcBorders>
            <w:gridSpan w:val="2"/>
          </w:tcPr>
          <w:p>
            <w:pPr>
              <w:ind w:left="420"/>
              <w:spacing w:after="0" w:line="167" w:lineRule="exact"/>
              <w:rPr>
                <w:sz w:val="20"/>
                <w:szCs w:val="20"/>
                <w:color w:val="auto"/>
              </w:rPr>
            </w:pPr>
            <w:r>
              <w:rPr>
                <w:rFonts w:ascii="Arial" w:cs="Arial" w:eastAsia="Arial" w:hAnsi="Arial"/>
                <w:sz w:val="17"/>
                <w:szCs w:val="17"/>
                <w:color w:val="auto"/>
                <w:w w:val="96"/>
              </w:rPr>
              <w:t>4,303,359 shares of Common Stock issuable upon exercise of Series A, D and E Warrants (See Item 4)*</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60" w:type="dxa"/>
            <w:vAlign w:val="bottom"/>
            <w:tcBorders>
              <w:right w:val="single" w:sz="8" w:color="auto"/>
            </w:tcBorders>
            <w:gridSpan w:val="2"/>
          </w:tcPr>
          <w:p>
            <w:pPr>
              <w:ind w:left="420"/>
              <w:spacing w:after="0"/>
              <w:rPr>
                <w:sz w:val="20"/>
                <w:szCs w:val="20"/>
                <w:color w:val="auto"/>
              </w:rPr>
            </w:pPr>
            <w:r>
              <w:rPr>
                <w:rFonts w:ascii="Arial" w:cs="Arial" w:eastAsia="Arial" w:hAnsi="Arial"/>
                <w:sz w:val="17"/>
                <w:szCs w:val="17"/>
                <w:color w:val="auto"/>
                <w:w w:val="99"/>
              </w:rPr>
              <w:t>2,868,906 shares of Common Stock issuable upon exercise of Series B and C Warrants (See Item 4)*</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86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ind w:left="660"/>
              <w:spacing w:after="0" w:line="321" w:lineRule="exact"/>
              <w:rPr>
                <w:sz w:val="20"/>
                <w:szCs w:val="20"/>
                <w:color w:val="auto"/>
              </w:rPr>
            </w:pPr>
            <w:r>
              <w:rPr>
                <w:rFonts w:ascii="Arial" w:cs="Arial" w:eastAsia="Arial" w:hAnsi="Arial"/>
                <w:sz w:val="29"/>
                <w:szCs w:val="29"/>
                <w:b w:val="1"/>
                <w:bCs w:val="1"/>
                <w:color w:val="auto"/>
              </w:rPr>
              <w:t>7</w:t>
            </w:r>
          </w:p>
        </w:tc>
        <w:tc>
          <w:tcPr>
            <w:tcW w:w="622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7"/>
                <w:szCs w:val="17"/>
                <w:color w:val="auto"/>
              </w:rPr>
            </w:pPr>
          </w:p>
        </w:tc>
        <w:tc>
          <w:tcPr>
            <w:tcW w:w="6220" w:type="dxa"/>
            <w:vAlign w:val="bottom"/>
            <w:vMerge w:val="continue"/>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22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2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86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ind w:left="660"/>
              <w:spacing w:after="0" w:line="273" w:lineRule="exact"/>
              <w:rPr>
                <w:sz w:val="20"/>
                <w:szCs w:val="20"/>
                <w:color w:val="auto"/>
              </w:rPr>
            </w:pPr>
            <w:r>
              <w:rPr>
                <w:rFonts w:ascii="Arial" w:cs="Arial" w:eastAsia="Arial" w:hAnsi="Arial"/>
                <w:sz w:val="29"/>
                <w:szCs w:val="29"/>
                <w:b w:val="1"/>
                <w:bCs w:val="1"/>
                <w:color w:val="auto"/>
              </w:rPr>
              <w:t>8</w:t>
            </w:r>
          </w:p>
        </w:tc>
        <w:tc>
          <w:tcPr>
            <w:tcW w:w="622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6220" w:type="dxa"/>
            <w:vAlign w:val="bottom"/>
          </w:tcPr>
          <w:p>
            <w:pPr>
              <w:ind w:left="420"/>
              <w:spacing w:after="0" w:line="189" w:lineRule="exact"/>
              <w:rPr>
                <w:sz w:val="20"/>
                <w:szCs w:val="20"/>
                <w:color w:val="auto"/>
              </w:rPr>
            </w:pPr>
            <w:r>
              <w:rPr>
                <w:rFonts w:ascii="Arial" w:cs="Arial" w:eastAsia="Arial" w:hAnsi="Arial"/>
                <w:sz w:val="17"/>
                <w:szCs w:val="17"/>
                <w:color w:val="auto"/>
              </w:rPr>
              <w:t>1,434,453 shares of Common Stock</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8060" w:type="dxa"/>
            <w:vAlign w:val="bottom"/>
            <w:tcBorders>
              <w:right w:val="single" w:sz="8" w:color="auto"/>
            </w:tcBorders>
            <w:gridSpan w:val="2"/>
          </w:tcPr>
          <w:p>
            <w:pPr>
              <w:ind w:left="420"/>
              <w:spacing w:after="0"/>
              <w:rPr>
                <w:sz w:val="20"/>
                <w:szCs w:val="20"/>
                <w:color w:val="auto"/>
              </w:rPr>
            </w:pPr>
            <w:r>
              <w:rPr>
                <w:rFonts w:ascii="Arial" w:cs="Arial" w:eastAsia="Arial" w:hAnsi="Arial"/>
                <w:sz w:val="17"/>
                <w:szCs w:val="17"/>
                <w:color w:val="auto"/>
                <w:w w:val="96"/>
              </w:rPr>
              <w:t>4,303,359 shares of Common Stock issuable upon exercise of Series A, D and E Warrants (See Item 4)*</w:t>
            </w: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806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w w:val="99"/>
              </w:rPr>
              <w:t>2,868,906 shares of Common Stock issuable upon exercise of Series B and C Warrants (See Item 4)*</w:t>
            </w:r>
          </w:p>
        </w:tc>
        <w:tc>
          <w:tcPr>
            <w:tcW w:w="0" w:type="dxa"/>
            <w:vAlign w:val="bottom"/>
          </w:tcPr>
          <w:p>
            <w:pPr>
              <w:spacing w:after="0"/>
              <w:rPr>
                <w:sz w:val="1"/>
                <w:szCs w:val="1"/>
                <w:color w:val="auto"/>
              </w:rPr>
            </w:pPr>
          </w:p>
        </w:tc>
      </w:tr>
      <w:tr>
        <w:trPr>
          <w:trHeight w:val="275"/>
        </w:trPr>
        <w:tc>
          <w:tcPr>
            <w:tcW w:w="186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9</w:t>
            </w:r>
          </w:p>
        </w:tc>
        <w:tc>
          <w:tcPr>
            <w:tcW w:w="772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772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1,434,453 shares of Common Stock</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7720" w:type="dxa"/>
            <w:vAlign w:val="bottom"/>
            <w:gridSpan w:val="2"/>
          </w:tcPr>
          <w:p>
            <w:pPr>
              <w:ind w:left="420"/>
              <w:spacing w:after="0"/>
              <w:rPr>
                <w:sz w:val="20"/>
                <w:szCs w:val="20"/>
                <w:color w:val="auto"/>
              </w:rPr>
            </w:pPr>
            <w:r>
              <w:rPr>
                <w:rFonts w:ascii="Arial" w:cs="Arial" w:eastAsia="Arial" w:hAnsi="Arial"/>
                <w:sz w:val="17"/>
                <w:szCs w:val="17"/>
                <w:color w:val="auto"/>
                <w:w w:val="92"/>
              </w:rPr>
              <w:t>4,303,359 shares of Common Stock issuable upon exercise of Series A, D and E Warrants (See Item 4)*</w:t>
            </w: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772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color w:val="auto"/>
                <w:w w:val="95"/>
              </w:rPr>
              <w:t>2,868,906 shares of Common Stock issuable upon exercise of Series B and C Warrants (See Item 4)*</w:t>
            </w:r>
          </w:p>
        </w:tc>
        <w:tc>
          <w:tcPr>
            <w:tcW w:w="1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22"/>
                <w:szCs w:val="22"/>
                <w:b w:val="1"/>
                <w:bCs w:val="1"/>
                <w:color w:val="auto"/>
              </w:rPr>
              <w:t>10</w:t>
            </w:r>
          </w:p>
        </w:tc>
        <w:tc>
          <w:tcPr>
            <w:tcW w:w="7720" w:type="dxa"/>
            <w:vAlign w:val="bottom"/>
            <w:gridSpan w:val="2"/>
            <w:vMerge w:val="restart"/>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840" w:type="dxa"/>
            <w:vAlign w:val="bottom"/>
            <w:tcBorders>
              <w:right w:val="single" w:sz="8" w:color="auto"/>
            </w:tcBorders>
          </w:tcPr>
          <w:p>
            <w:pPr>
              <w:jc w:val="center"/>
              <w:ind w:right="71"/>
              <w:spacing w:after="0" w:line="198" w:lineRule="exact"/>
              <w:rPr>
                <w:sz w:val="20"/>
                <w:szCs w:val="20"/>
                <w:color w:val="auto"/>
              </w:rPr>
            </w:pPr>
            <w:r>
              <w:rPr>
                <w:rFonts w:ascii="MS PGothic" w:cs="MS PGothic" w:eastAsia="MS PGothic" w:hAnsi="MS PGothic"/>
                <w:sz w:val="26"/>
                <w:szCs w:val="26"/>
                <w:color w:val="auto"/>
                <w:w w:val="99"/>
              </w:rPr>
              <w:t>☐</w:t>
            </w:r>
          </w:p>
        </w:tc>
        <w:tc>
          <w:tcPr>
            <w:tcW w:w="0" w:type="dxa"/>
            <w:vAlign w:val="bottom"/>
          </w:tcPr>
          <w:p>
            <w:pPr>
              <w:spacing w:after="0"/>
              <w:rPr>
                <w:sz w:val="1"/>
                <w:szCs w:val="1"/>
                <w:color w:val="auto"/>
              </w:rPr>
            </w:pPr>
          </w:p>
        </w:tc>
      </w:tr>
      <w:tr>
        <w:trPr>
          <w:trHeight w:val="48"/>
        </w:trPr>
        <w:tc>
          <w:tcPr>
            <w:tcW w:w="1860" w:type="dxa"/>
            <w:vAlign w:val="bottom"/>
            <w:tcBorders>
              <w:left w:val="single" w:sz="8" w:color="auto"/>
              <w:right w:val="single" w:sz="8" w:color="auto"/>
            </w:tcBorders>
          </w:tcPr>
          <w:p>
            <w:pPr>
              <w:spacing w:after="0"/>
              <w:rPr>
                <w:sz w:val="4"/>
                <w:szCs w:val="4"/>
                <w:color w:val="auto"/>
              </w:rPr>
            </w:pPr>
          </w:p>
        </w:tc>
        <w:tc>
          <w:tcPr>
            <w:tcW w:w="7720" w:type="dxa"/>
            <w:vAlign w:val="bottom"/>
            <w:gridSpan w:val="2"/>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tcBorders>
              <w:left w:val="single" w:sz="8" w:color="auto"/>
              <w:bottom w:val="single" w:sz="8" w:color="auto"/>
              <w:right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220" w:type="dxa"/>
            <w:vAlign w:val="bottom"/>
            <w:tcBorders>
              <w:bottom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7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Borders>
              <w:left w:val="single" w:sz="8" w:color="auto"/>
              <w:right w:val="single" w:sz="8" w:color="auto"/>
            </w:tcBorders>
            <w:vMerge w:val="continue"/>
          </w:tcPr>
          <w:p>
            <w:pPr>
              <w:spacing w:after="0"/>
              <w:rPr>
                <w:sz w:val="14"/>
                <w:szCs w:val="14"/>
                <w:color w:val="auto"/>
              </w:rPr>
            </w:pPr>
          </w:p>
        </w:tc>
        <w:tc>
          <w:tcPr>
            <w:tcW w:w="7720" w:type="dxa"/>
            <w:vAlign w:val="bottom"/>
            <w:gridSpan w:val="2"/>
            <w:vMerge w:val="restart"/>
          </w:tcPr>
          <w:p>
            <w:pPr>
              <w:ind w:left="440"/>
              <w:spacing w:after="0"/>
              <w:rPr>
                <w:sz w:val="20"/>
                <w:szCs w:val="20"/>
                <w:color w:val="auto"/>
              </w:rPr>
            </w:pPr>
            <w:r>
              <w:rPr>
                <w:rFonts w:ascii="Arial" w:cs="Arial" w:eastAsia="Arial" w:hAnsi="Arial"/>
                <w:sz w:val="20"/>
                <w:szCs w:val="20"/>
                <w:color w:val="auto"/>
              </w:rPr>
              <w:t>5.20% (See Item 4)*</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tcPr>
          <w:p>
            <w:pPr>
              <w:spacing w:after="0"/>
              <w:rPr>
                <w:sz w:val="6"/>
                <w:szCs w:val="6"/>
                <w:color w:val="auto"/>
              </w:rPr>
            </w:pPr>
          </w:p>
        </w:tc>
        <w:tc>
          <w:tcPr>
            <w:tcW w:w="7720" w:type="dxa"/>
            <w:vAlign w:val="bottom"/>
            <w:gridSpan w:val="2"/>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7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60" w:type="dxa"/>
            <w:vAlign w:val="bottom"/>
            <w:tcBorders>
              <w:left w:val="single" w:sz="8" w:color="auto"/>
              <w:right w:val="single" w:sz="8" w:color="auto"/>
            </w:tcBorders>
            <w:vMerge w:val="continue"/>
          </w:tcPr>
          <w:p>
            <w:pPr>
              <w:spacing w:after="0"/>
              <w:rPr>
                <w:sz w:val="13"/>
                <w:szCs w:val="13"/>
                <w:color w:val="auto"/>
              </w:rPr>
            </w:pPr>
          </w:p>
        </w:tc>
        <w:tc>
          <w:tcPr>
            <w:tcW w:w="1500" w:type="dxa"/>
            <w:vAlign w:val="bottom"/>
            <w:vMerge w:val="restart"/>
          </w:tcPr>
          <w:p>
            <w:pPr>
              <w:ind w:left="100"/>
              <w:spacing w:after="0"/>
              <w:rPr>
                <w:sz w:val="20"/>
                <w:szCs w:val="20"/>
                <w:color w:val="auto"/>
              </w:rPr>
            </w:pPr>
            <w:r>
              <w:rPr>
                <w:rFonts w:ascii="Arial" w:cs="Arial" w:eastAsia="Arial" w:hAnsi="Arial"/>
                <w:sz w:val="16"/>
                <w:szCs w:val="16"/>
                <w:color w:val="auto"/>
              </w:rPr>
              <w:t>PN</w:t>
            </w:r>
          </w:p>
        </w:tc>
        <w:tc>
          <w:tcPr>
            <w:tcW w:w="62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firstLine="8"/>
        <w:spacing w:after="0" w:line="291"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5300" w:type="dxa"/>
            <w:vAlign w:val="bottom"/>
            <w:gridSpan w:val="2"/>
          </w:tcPr>
          <w:p>
            <w:pPr>
              <w:spacing w:after="0"/>
              <w:rPr>
                <w:sz w:val="20"/>
                <w:szCs w:val="20"/>
                <w:color w:val="auto"/>
              </w:rPr>
            </w:pPr>
            <w:r>
              <w:rPr>
                <w:rFonts w:ascii="Arial" w:cs="Arial" w:eastAsia="Arial" w:hAnsi="Arial"/>
                <w:sz w:val="22"/>
                <w:szCs w:val="22"/>
                <w:b w:val="1"/>
                <w:bCs w:val="1"/>
                <w:color w:val="auto"/>
              </w:rPr>
              <w:t>CUSIP No. 876033309</w:t>
            </w:r>
          </w:p>
        </w:tc>
        <w:tc>
          <w:tcPr>
            <w:tcW w:w="2800" w:type="dxa"/>
            <w:vAlign w:val="bottom"/>
          </w:tcPr>
          <w:p>
            <w:pPr>
              <w:ind w:left="22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3 of 11 Pages</w:t>
            </w:r>
          </w:p>
        </w:tc>
        <w:tc>
          <w:tcPr>
            <w:tcW w:w="0" w:type="dxa"/>
            <w:vAlign w:val="bottom"/>
          </w:tcPr>
          <w:p>
            <w:pPr>
              <w:spacing w:after="0"/>
              <w:rPr>
                <w:sz w:val="1"/>
                <w:szCs w:val="1"/>
                <w:color w:val="auto"/>
              </w:rPr>
            </w:pPr>
          </w:p>
        </w:tc>
      </w:tr>
      <w:tr>
        <w:trPr>
          <w:trHeight w:val="436"/>
        </w:trPr>
        <w:tc>
          <w:tcPr>
            <w:tcW w:w="14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820" w:type="dxa"/>
            <w:vAlign w:val="bottom"/>
          </w:tcPr>
          <w:p>
            <w:pPr>
              <w:ind w:left="480"/>
              <w:spacing w:after="0"/>
              <w:rPr>
                <w:sz w:val="20"/>
                <w:szCs w:val="20"/>
                <w:color w:val="auto"/>
              </w:rPr>
            </w:pPr>
            <w:r>
              <w:rPr>
                <w:rFonts w:ascii="Arial" w:cs="Arial" w:eastAsia="Arial" w:hAnsi="Arial"/>
                <w:sz w:val="16"/>
                <w:szCs w:val="16"/>
                <w:color w:val="auto"/>
              </w:rPr>
              <w:t>NAMES OF REPORTING PERSONS</w:t>
            </w:r>
          </w:p>
        </w:tc>
        <w:tc>
          <w:tcPr>
            <w:tcW w:w="28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80" w:type="dxa"/>
            <w:vAlign w:val="bottom"/>
            <w:vMerge w:val="continue"/>
          </w:tcPr>
          <w:p>
            <w:pPr>
              <w:spacing w:after="0"/>
              <w:rPr>
                <w:sz w:val="15"/>
                <w:szCs w:val="15"/>
                <w:color w:val="auto"/>
              </w:rPr>
            </w:pPr>
          </w:p>
        </w:tc>
        <w:tc>
          <w:tcPr>
            <w:tcW w:w="3820" w:type="dxa"/>
            <w:vAlign w:val="bottom"/>
            <w:vMerge w:val="restart"/>
          </w:tcPr>
          <w:p>
            <w:pPr>
              <w:ind w:left="820"/>
              <w:spacing w:after="0"/>
              <w:rPr>
                <w:sz w:val="20"/>
                <w:szCs w:val="20"/>
                <w:color w:val="auto"/>
              </w:rPr>
            </w:pPr>
            <w:r>
              <w:rPr>
                <w:rFonts w:ascii="Arial" w:cs="Arial" w:eastAsia="Arial" w:hAnsi="Arial"/>
                <w:sz w:val="22"/>
                <w:szCs w:val="22"/>
                <w:color w:val="auto"/>
                <w:w w:val="95"/>
              </w:rPr>
              <w:t>Empery Asset Management, LP</w:t>
            </w:r>
          </w:p>
        </w:tc>
        <w:tc>
          <w:tcPr>
            <w:tcW w:w="2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8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vMerge w:val="continue"/>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510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right"/>
              <w:ind w:right="194"/>
              <w:spacing w:after="0"/>
              <w:rPr>
                <w:sz w:val="20"/>
                <w:szCs w:val="20"/>
                <w:color w:val="auto"/>
              </w:rPr>
            </w:pPr>
            <w:r>
              <w:rPr>
                <w:rFonts w:ascii="Arial" w:cs="Arial" w:eastAsia="Arial" w:hAnsi="Arial"/>
                <w:sz w:val="20"/>
                <w:szCs w:val="20"/>
                <w:color w:val="auto"/>
              </w:rPr>
              <w:t>Delaware</w:t>
            </w:r>
          </w:p>
        </w:tc>
        <w:tc>
          <w:tcPr>
            <w:tcW w:w="8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806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8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6</w:t>
            </w:r>
          </w:p>
        </w:tc>
        <w:tc>
          <w:tcPr>
            <w:tcW w:w="806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66"/>
        </w:trPr>
        <w:tc>
          <w:tcPr>
            <w:tcW w:w="1840" w:type="dxa"/>
            <w:vAlign w:val="bottom"/>
            <w:vMerge w:val="continue"/>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tcPr>
          <w:p>
            <w:pPr>
              <w:ind w:left="420"/>
              <w:spacing w:after="0" w:line="167" w:lineRule="exact"/>
              <w:rPr>
                <w:sz w:val="20"/>
                <w:szCs w:val="20"/>
                <w:color w:val="auto"/>
              </w:rPr>
            </w:pPr>
            <w:r>
              <w:rPr>
                <w:rFonts w:ascii="Arial" w:cs="Arial" w:eastAsia="Arial" w:hAnsi="Arial"/>
                <w:sz w:val="17"/>
                <w:szCs w:val="17"/>
                <w:color w:val="auto"/>
              </w:rPr>
              <w:t>2,733,497 shares of Common Stock</w:t>
            </w:r>
          </w:p>
        </w:tc>
        <w:tc>
          <w:tcPr>
            <w:tcW w:w="0" w:type="dxa"/>
            <w:vAlign w:val="bottom"/>
          </w:tcPr>
          <w:p>
            <w:pPr>
              <w:spacing w:after="0"/>
              <w:rPr>
                <w:sz w:val="1"/>
                <w:szCs w:val="1"/>
                <w:color w:val="auto"/>
              </w:rPr>
            </w:pPr>
          </w:p>
        </w:tc>
      </w:tr>
      <w:tr>
        <w:trPr>
          <w:trHeight w:val="179"/>
        </w:trPr>
        <w:tc>
          <w:tcPr>
            <w:tcW w:w="1840" w:type="dxa"/>
            <w:vAlign w:val="bottom"/>
          </w:tcPr>
          <w:p>
            <w:pPr>
              <w:jc w:val="center"/>
              <w:spacing w:after="0" w:line="179" w:lineRule="exact"/>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5"/>
                <w:szCs w:val="15"/>
                <w:color w:val="auto"/>
              </w:rPr>
            </w:pPr>
          </w:p>
        </w:tc>
        <w:tc>
          <w:tcPr>
            <w:tcW w:w="8060" w:type="dxa"/>
            <w:vAlign w:val="bottom"/>
            <w:vMerge w:val="restart"/>
          </w:tcPr>
          <w:p>
            <w:pPr>
              <w:ind w:left="420"/>
              <w:spacing w:after="0"/>
              <w:rPr>
                <w:sz w:val="20"/>
                <w:szCs w:val="20"/>
                <w:color w:val="auto"/>
              </w:rPr>
            </w:pPr>
            <w:r>
              <w:rPr>
                <w:rFonts w:ascii="Arial" w:cs="Arial" w:eastAsia="Arial" w:hAnsi="Arial"/>
                <w:sz w:val="17"/>
                <w:szCs w:val="17"/>
                <w:color w:val="auto"/>
                <w:w w:val="96"/>
              </w:rPr>
              <w:t>6,960,000 shares of Common Stock issuable upon exercise of Series A, D and E Warrants (See Item 4)*</w:t>
            </w:r>
          </w:p>
        </w:tc>
        <w:tc>
          <w:tcPr>
            <w:tcW w:w="0" w:type="dxa"/>
            <w:vAlign w:val="bottom"/>
          </w:tcPr>
          <w:p>
            <w:pPr>
              <w:spacing w:after="0"/>
              <w:rPr>
                <w:sz w:val="1"/>
                <w:szCs w:val="1"/>
                <w:color w:val="auto"/>
              </w:rPr>
            </w:pPr>
          </w:p>
        </w:tc>
      </w:tr>
      <w:tr>
        <w:trPr>
          <w:trHeight w:val="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5"/>
                <w:szCs w:val="5"/>
                <w:color w:val="auto"/>
              </w:rPr>
            </w:pPr>
          </w:p>
        </w:tc>
        <w:tc>
          <w:tcPr>
            <w:tcW w:w="8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840" w:type="dxa"/>
            <w:vAlign w:val="bottom"/>
            <w:vMerge w:val="continue"/>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8060" w:type="dxa"/>
            <w:vAlign w:val="bottom"/>
            <w:vMerge w:val="restart"/>
          </w:tcPr>
          <w:p>
            <w:pPr>
              <w:ind w:left="420"/>
              <w:spacing w:after="0"/>
              <w:rPr>
                <w:sz w:val="20"/>
                <w:szCs w:val="20"/>
                <w:color w:val="auto"/>
              </w:rPr>
            </w:pPr>
            <w:r>
              <w:rPr>
                <w:rFonts w:ascii="Arial" w:cs="Arial" w:eastAsia="Arial" w:hAnsi="Arial"/>
                <w:sz w:val="17"/>
                <w:szCs w:val="17"/>
                <w:color w:val="auto"/>
                <w:w w:val="99"/>
              </w:rPr>
              <w:t>4,640,000 shares of Common Stock issuable upon exercise of Series B and C Warrants (See Item 4)*</w:t>
            </w:r>
          </w:p>
        </w:tc>
        <w:tc>
          <w:tcPr>
            <w:tcW w:w="0" w:type="dxa"/>
            <w:vAlign w:val="bottom"/>
          </w:tcPr>
          <w:p>
            <w:pPr>
              <w:spacing w:after="0"/>
              <w:rPr>
                <w:sz w:val="1"/>
                <w:szCs w:val="1"/>
                <w:color w:val="auto"/>
              </w:rPr>
            </w:pPr>
          </w:p>
        </w:tc>
      </w:tr>
      <w:tr>
        <w:trPr>
          <w:trHeight w:val="75"/>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20" w:lineRule="exact"/>
              <w:rPr>
                <w:sz w:val="20"/>
                <w:szCs w:val="20"/>
                <w:color w:val="auto"/>
              </w:rPr>
            </w:pPr>
            <w:r>
              <w:rPr>
                <w:rFonts w:ascii="Arial" w:cs="Arial" w:eastAsia="Arial" w:hAnsi="Arial"/>
                <w:sz w:val="29"/>
                <w:szCs w:val="29"/>
                <w:b w:val="1"/>
                <w:bCs w:val="1"/>
                <w:color w:val="auto"/>
              </w:rPr>
              <w:t>7</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8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3"/>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520" w:type="dxa"/>
            <w:vAlign w:val="bottom"/>
            <w:tcBorders>
              <w:right w:val="single" w:sz="8" w:color="auto"/>
            </w:tcBorders>
            <w:vMerge w:val="continue"/>
          </w:tcPr>
          <w:p>
            <w:pPr>
              <w:spacing w:after="0"/>
              <w:rPr>
                <w:sz w:val="17"/>
                <w:szCs w:val="17"/>
                <w:color w:val="auto"/>
              </w:rPr>
            </w:pPr>
          </w:p>
        </w:tc>
        <w:tc>
          <w:tcPr>
            <w:tcW w:w="8060" w:type="dxa"/>
            <w:vAlign w:val="bottom"/>
          </w:tcPr>
          <w:p>
            <w:pPr>
              <w:ind w:left="420"/>
              <w:spacing w:after="0"/>
              <w:rPr>
                <w:sz w:val="20"/>
                <w:szCs w:val="20"/>
                <w:color w:val="auto"/>
              </w:rPr>
            </w:pPr>
            <w:r>
              <w:rPr>
                <w:rFonts w:ascii="Arial" w:cs="Arial" w:eastAsia="Arial" w:hAnsi="Arial"/>
                <w:sz w:val="17"/>
                <w:szCs w:val="17"/>
                <w:color w:val="auto"/>
              </w:rPr>
              <w:t>2,733,497 shares of Common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8060" w:type="dxa"/>
            <w:vAlign w:val="bottom"/>
          </w:tcPr>
          <w:p>
            <w:pPr>
              <w:ind w:left="420"/>
              <w:spacing w:after="0"/>
              <w:rPr>
                <w:sz w:val="20"/>
                <w:szCs w:val="20"/>
                <w:color w:val="auto"/>
              </w:rPr>
            </w:pPr>
            <w:r>
              <w:rPr>
                <w:rFonts w:ascii="Arial" w:cs="Arial" w:eastAsia="Arial" w:hAnsi="Arial"/>
                <w:sz w:val="17"/>
                <w:szCs w:val="17"/>
                <w:color w:val="auto"/>
                <w:w w:val="96"/>
              </w:rPr>
              <w:t>6,960,000 shares of Common Stock issuable upon exercise of Series A, D and E Warrants (See Item 4)*</w:t>
            </w:r>
          </w:p>
        </w:tc>
        <w:tc>
          <w:tcPr>
            <w:tcW w:w="0" w:type="dxa"/>
            <w:vAlign w:val="bottom"/>
          </w:tcPr>
          <w:p>
            <w:pPr>
              <w:spacing w:after="0"/>
              <w:rPr>
                <w:sz w:val="1"/>
                <w:szCs w:val="1"/>
                <w:color w:val="auto"/>
              </w:rPr>
            </w:pPr>
          </w:p>
        </w:tc>
      </w:tr>
      <w:tr>
        <w:trPr>
          <w:trHeight w:val="218"/>
        </w:trPr>
        <w:tc>
          <w:tcPr>
            <w:tcW w:w="184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80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w w:val="99"/>
              </w:rPr>
              <w:t>4,640,000 shares of Common Stock issuable upon exercise of Series B and C Warrants (See Item 4)*</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80" w:right="3560" w:hanging="1419"/>
        <w:spacing w:after="0" w:line="182" w:lineRule="auto"/>
        <w:tabs>
          <w:tab w:leader="none" w:pos="1957" w:val="left"/>
        </w:tabs>
        <w:numPr>
          <w:ilvl w:val="0"/>
          <w:numId w:val="4"/>
        </w:numPr>
        <w:rPr>
          <w:rFonts w:ascii="Arial" w:cs="Arial" w:eastAsia="Arial" w:hAnsi="Arial"/>
          <w:sz w:val="33"/>
          <w:szCs w:val="33"/>
          <w:b w:val="1"/>
          <w:bCs w:val="1"/>
          <w:color w:val="auto"/>
          <w:vertAlign w:val="subscript"/>
        </w:rPr>
      </w:pPr>
      <w:r>
        <w:rPr>
          <w:rFonts w:ascii="Arial" w:cs="Arial" w:eastAsia="Arial" w:hAnsi="Arial"/>
          <w:sz w:val="13"/>
          <w:szCs w:val="13"/>
          <w:color w:val="auto"/>
        </w:rPr>
        <w:t xml:space="preserve">AGGREGATE AMOUNT BENEFICIALLY OWNED BY EACH REPORTING PERSON </w:t>
      </w:r>
      <w:r>
        <w:rPr>
          <w:rFonts w:ascii="Arial" w:cs="Arial" w:eastAsia="Arial" w:hAnsi="Arial"/>
          <w:sz w:val="14"/>
          <w:szCs w:val="14"/>
          <w:color w:val="auto"/>
        </w:rPr>
        <w:t>2,733,497 shares of Common Stock</w:t>
      </w:r>
    </w:p>
    <w:p>
      <w:pPr>
        <w:spacing w:after="0" w:line="1" w:lineRule="exact"/>
        <w:rPr>
          <w:rFonts w:ascii="Arial" w:cs="Arial" w:eastAsia="Arial" w:hAnsi="Arial"/>
          <w:sz w:val="33"/>
          <w:szCs w:val="33"/>
          <w:b w:val="1"/>
          <w:bCs w:val="1"/>
          <w:color w:val="auto"/>
          <w:vertAlign w:val="subscript"/>
        </w:rPr>
      </w:pPr>
    </w:p>
    <w:p>
      <w:pPr>
        <w:ind w:left="2300" w:right="2020" w:hanging="4"/>
        <w:spacing w:after="0" w:line="286" w:lineRule="auto"/>
        <w:rPr>
          <w:rFonts w:ascii="Arial" w:cs="Arial" w:eastAsia="Arial" w:hAnsi="Arial"/>
          <w:sz w:val="33"/>
          <w:szCs w:val="33"/>
          <w:b w:val="1"/>
          <w:bCs w:val="1"/>
          <w:color w:val="auto"/>
          <w:vertAlign w:val="subscript"/>
        </w:rPr>
      </w:pPr>
      <w:r>
        <w:rPr>
          <w:rFonts w:ascii="Arial" w:cs="Arial" w:eastAsia="Arial" w:hAnsi="Arial"/>
          <w:sz w:val="15"/>
          <w:szCs w:val="15"/>
          <w:color w:val="auto"/>
        </w:rPr>
        <w:t>6,960,000 shares of Common Stock issuable upon exercise of Series A, D and E Warrants (See Item 4)* 4,640,000 shares of Common Stock issuable upon exercise of Series B and C Warrants (See Item 4)*</w:t>
      </w:r>
    </w:p>
    <w:tbl>
      <w:tblPr>
        <w:tblLayout w:type="fixed"/>
        <w:tblInd w:w="0" w:type="dxa"/>
        <w:tblCellMar>
          <w:top w:w="0" w:type="dxa"/>
          <w:left w:w="0" w:type="dxa"/>
          <w:bottom w:w="0" w:type="dxa"/>
          <w:right w:w="0" w:type="dxa"/>
        </w:tblCellMar>
      </w:tblPr>
      <w:tr>
        <w:trPr>
          <w:trHeight w:val="214"/>
        </w:trPr>
        <w:tc>
          <w:tcPr>
            <w:tcW w:w="1520" w:type="dxa"/>
            <w:vAlign w:val="bottom"/>
          </w:tcPr>
          <w:p>
            <w:pPr>
              <w:jc w:val="center"/>
              <w:ind w:left="205"/>
              <w:spacing w:after="0" w:line="214" w:lineRule="exact"/>
              <w:rPr>
                <w:sz w:val="20"/>
                <w:szCs w:val="20"/>
                <w:color w:val="auto"/>
              </w:rPr>
            </w:pPr>
            <w:r>
              <w:rPr>
                <w:rFonts w:ascii="Arial" w:cs="Arial" w:eastAsia="Arial" w:hAnsi="Arial"/>
                <w:sz w:val="24"/>
                <w:szCs w:val="24"/>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214"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5"/>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9.90% (See Item 4)*</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5"/>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PN</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00" w:firstLine="8"/>
        <w:spacing w:after="0" w:line="291"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5000" w:type="dxa"/>
            <w:vAlign w:val="bottom"/>
            <w:gridSpan w:val="2"/>
          </w:tcPr>
          <w:p>
            <w:pPr>
              <w:spacing w:after="0"/>
              <w:rPr>
                <w:sz w:val="20"/>
                <w:szCs w:val="20"/>
                <w:color w:val="auto"/>
              </w:rPr>
            </w:pPr>
            <w:r>
              <w:rPr>
                <w:rFonts w:ascii="Arial" w:cs="Arial" w:eastAsia="Arial" w:hAnsi="Arial"/>
                <w:sz w:val="22"/>
                <w:szCs w:val="22"/>
                <w:b w:val="1"/>
                <w:bCs w:val="1"/>
                <w:color w:val="auto"/>
              </w:rPr>
              <w:t>CUSIP No. 876033309</w:t>
            </w:r>
          </w:p>
        </w:tc>
        <w:tc>
          <w:tcPr>
            <w:tcW w:w="3100" w:type="dxa"/>
            <w:vAlign w:val="bottom"/>
          </w:tcPr>
          <w:p>
            <w:pPr>
              <w:ind w:left="52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4 of 11 Pages</w:t>
            </w:r>
          </w:p>
        </w:tc>
        <w:tc>
          <w:tcPr>
            <w:tcW w:w="0" w:type="dxa"/>
            <w:vAlign w:val="bottom"/>
          </w:tcPr>
          <w:p>
            <w:pPr>
              <w:spacing w:after="0"/>
              <w:rPr>
                <w:sz w:val="1"/>
                <w:szCs w:val="1"/>
                <w:color w:val="auto"/>
              </w:rPr>
            </w:pPr>
          </w:p>
        </w:tc>
      </w:tr>
      <w:tr>
        <w:trPr>
          <w:trHeight w:val="436"/>
        </w:trPr>
        <w:tc>
          <w:tcPr>
            <w:tcW w:w="1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520" w:type="dxa"/>
            <w:vAlign w:val="bottom"/>
          </w:tcPr>
          <w:p>
            <w:pPr>
              <w:ind w:left="480"/>
              <w:spacing w:after="0"/>
              <w:rPr>
                <w:sz w:val="20"/>
                <w:szCs w:val="20"/>
                <w:color w:val="auto"/>
              </w:rPr>
            </w:pPr>
            <w:r>
              <w:rPr>
                <w:rFonts w:ascii="Arial" w:cs="Arial" w:eastAsia="Arial" w:hAnsi="Arial"/>
                <w:sz w:val="16"/>
                <w:szCs w:val="16"/>
                <w:color w:val="auto"/>
              </w:rPr>
              <w:t>NAMES OF REPORTING PERSONS</w:t>
            </w:r>
          </w:p>
        </w:tc>
        <w:tc>
          <w:tcPr>
            <w:tcW w:w="3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520" w:type="dxa"/>
            <w:vAlign w:val="bottom"/>
            <w:vMerge w:val="restart"/>
          </w:tcPr>
          <w:p>
            <w:pPr>
              <w:ind w:left="820"/>
              <w:spacing w:after="0"/>
              <w:rPr>
                <w:sz w:val="20"/>
                <w:szCs w:val="20"/>
                <w:color w:val="auto"/>
              </w:rPr>
            </w:pPr>
            <w:r>
              <w:rPr>
                <w:rFonts w:ascii="Arial" w:cs="Arial" w:eastAsia="Arial" w:hAnsi="Arial"/>
                <w:sz w:val="20"/>
                <w:szCs w:val="20"/>
                <w:color w:val="auto"/>
              </w:rPr>
              <w:t>Ryan M. Lane</w:t>
            </w:r>
          </w:p>
        </w:tc>
        <w:tc>
          <w:tcPr>
            <w:tcW w:w="3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31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10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8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802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66"/>
        </w:trPr>
        <w:tc>
          <w:tcPr>
            <w:tcW w:w="1840" w:type="dxa"/>
            <w:vAlign w:val="bottom"/>
            <w:vMerge w:val="continue"/>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tcPr>
          <w:p>
            <w:pPr>
              <w:ind w:left="380"/>
              <w:spacing w:after="0" w:line="167" w:lineRule="exact"/>
              <w:rPr>
                <w:sz w:val="20"/>
                <w:szCs w:val="20"/>
                <w:color w:val="auto"/>
              </w:rPr>
            </w:pPr>
            <w:r>
              <w:rPr>
                <w:rFonts w:ascii="Arial" w:cs="Arial" w:eastAsia="Arial" w:hAnsi="Arial"/>
                <w:sz w:val="17"/>
                <w:szCs w:val="17"/>
                <w:color w:val="auto"/>
              </w:rPr>
              <w:t>2,733,497 shares of Common Stock</w:t>
            </w:r>
          </w:p>
        </w:tc>
        <w:tc>
          <w:tcPr>
            <w:tcW w:w="0" w:type="dxa"/>
            <w:vAlign w:val="bottom"/>
          </w:tcPr>
          <w:p>
            <w:pPr>
              <w:spacing w:after="0"/>
              <w:rPr>
                <w:sz w:val="1"/>
                <w:szCs w:val="1"/>
                <w:color w:val="auto"/>
              </w:rPr>
            </w:pPr>
          </w:p>
        </w:tc>
      </w:tr>
      <w:tr>
        <w:trPr>
          <w:trHeight w:val="179"/>
        </w:trPr>
        <w:tc>
          <w:tcPr>
            <w:tcW w:w="1840" w:type="dxa"/>
            <w:vAlign w:val="bottom"/>
          </w:tcPr>
          <w:p>
            <w:pPr>
              <w:jc w:val="center"/>
              <w:spacing w:after="0" w:line="179" w:lineRule="exact"/>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20" w:type="dxa"/>
            <w:vAlign w:val="bottom"/>
            <w:vMerge w:val="restart"/>
          </w:tcPr>
          <w:p>
            <w:pPr>
              <w:ind w:left="380"/>
              <w:spacing w:after="0"/>
              <w:rPr>
                <w:sz w:val="20"/>
                <w:szCs w:val="20"/>
                <w:color w:val="auto"/>
              </w:rPr>
            </w:pPr>
            <w:r>
              <w:rPr>
                <w:rFonts w:ascii="Arial" w:cs="Arial" w:eastAsia="Arial" w:hAnsi="Arial"/>
                <w:sz w:val="17"/>
                <w:szCs w:val="17"/>
                <w:color w:val="auto"/>
                <w:w w:val="96"/>
              </w:rPr>
              <w:t>6,960,000 shares of Common Stock issuable upon exercise of Series A, D and E Warrants (See Item 4)*</w:t>
            </w:r>
          </w:p>
        </w:tc>
        <w:tc>
          <w:tcPr>
            <w:tcW w:w="0" w:type="dxa"/>
            <w:vAlign w:val="bottom"/>
          </w:tcPr>
          <w:p>
            <w:pPr>
              <w:spacing w:after="0"/>
              <w:rPr>
                <w:sz w:val="1"/>
                <w:szCs w:val="1"/>
                <w:color w:val="auto"/>
              </w:rPr>
            </w:pPr>
          </w:p>
        </w:tc>
      </w:tr>
      <w:tr>
        <w:trPr>
          <w:trHeight w:val="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840" w:type="dxa"/>
            <w:vAlign w:val="bottom"/>
            <w:vMerge w:val="continue"/>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20" w:type="dxa"/>
            <w:vAlign w:val="bottom"/>
            <w:vMerge w:val="restart"/>
          </w:tcPr>
          <w:p>
            <w:pPr>
              <w:ind w:left="380"/>
              <w:spacing w:after="0"/>
              <w:rPr>
                <w:sz w:val="20"/>
                <w:szCs w:val="20"/>
                <w:color w:val="auto"/>
              </w:rPr>
            </w:pPr>
            <w:r>
              <w:rPr>
                <w:rFonts w:ascii="Arial" w:cs="Arial" w:eastAsia="Arial" w:hAnsi="Arial"/>
                <w:sz w:val="17"/>
                <w:szCs w:val="17"/>
                <w:color w:val="auto"/>
                <w:w w:val="99"/>
              </w:rPr>
              <w:t>4,640,000 shares of Common Stock issuable upon exercise of Series B and C Warrants (See Item 4)*</w:t>
            </w:r>
          </w:p>
        </w:tc>
        <w:tc>
          <w:tcPr>
            <w:tcW w:w="0" w:type="dxa"/>
            <w:vAlign w:val="bottom"/>
          </w:tcPr>
          <w:p>
            <w:pPr>
              <w:spacing w:after="0"/>
              <w:rPr>
                <w:sz w:val="1"/>
                <w:szCs w:val="1"/>
                <w:color w:val="auto"/>
              </w:rPr>
            </w:pPr>
          </w:p>
        </w:tc>
      </w:tr>
      <w:tr>
        <w:trPr>
          <w:trHeight w:val="75"/>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20"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3"/>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5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Pr>
          <w:p>
            <w:pPr>
              <w:ind w:left="380"/>
              <w:spacing w:after="0"/>
              <w:rPr>
                <w:sz w:val="20"/>
                <w:szCs w:val="20"/>
                <w:color w:val="auto"/>
              </w:rPr>
            </w:pPr>
            <w:r>
              <w:rPr>
                <w:rFonts w:ascii="Arial" w:cs="Arial" w:eastAsia="Arial" w:hAnsi="Arial"/>
                <w:sz w:val="17"/>
                <w:szCs w:val="17"/>
                <w:color w:val="auto"/>
              </w:rPr>
              <w:t>2,733,497 shares of Common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Pr>
          <w:p>
            <w:pPr>
              <w:ind w:left="380"/>
              <w:spacing w:after="0"/>
              <w:rPr>
                <w:sz w:val="20"/>
                <w:szCs w:val="20"/>
                <w:color w:val="auto"/>
              </w:rPr>
            </w:pPr>
            <w:r>
              <w:rPr>
                <w:rFonts w:ascii="Arial" w:cs="Arial" w:eastAsia="Arial" w:hAnsi="Arial"/>
                <w:sz w:val="17"/>
                <w:szCs w:val="17"/>
                <w:color w:val="auto"/>
                <w:w w:val="96"/>
              </w:rPr>
              <w:t>6,960,000 shares of Common Stock issuable upon exercise of Series A, D and E Warrants (See Item 4)*</w:t>
            </w:r>
          </w:p>
        </w:tc>
        <w:tc>
          <w:tcPr>
            <w:tcW w:w="0" w:type="dxa"/>
            <w:vAlign w:val="bottom"/>
          </w:tcPr>
          <w:p>
            <w:pPr>
              <w:spacing w:after="0"/>
              <w:rPr>
                <w:sz w:val="1"/>
                <w:szCs w:val="1"/>
                <w:color w:val="auto"/>
              </w:rPr>
            </w:pPr>
          </w:p>
        </w:tc>
      </w:tr>
      <w:tr>
        <w:trPr>
          <w:trHeight w:val="218"/>
        </w:trPr>
        <w:tc>
          <w:tcPr>
            <w:tcW w:w="184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w w:val="99"/>
              </w:rPr>
              <w:t>4,640,000 shares of Common Stock issuable upon exercise of Series B and C Warrants (See Item 4)*</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80" w:right="3560" w:hanging="1419"/>
        <w:spacing w:after="0" w:line="182" w:lineRule="auto"/>
        <w:tabs>
          <w:tab w:leader="none" w:pos="1957" w:val="left"/>
        </w:tabs>
        <w:numPr>
          <w:ilvl w:val="0"/>
          <w:numId w:val="7"/>
        </w:numPr>
        <w:rPr>
          <w:rFonts w:ascii="Arial" w:cs="Arial" w:eastAsia="Arial" w:hAnsi="Arial"/>
          <w:sz w:val="33"/>
          <w:szCs w:val="33"/>
          <w:b w:val="1"/>
          <w:bCs w:val="1"/>
          <w:color w:val="auto"/>
          <w:vertAlign w:val="subscript"/>
        </w:rPr>
      </w:pPr>
      <w:r>
        <w:rPr>
          <w:rFonts w:ascii="Arial" w:cs="Arial" w:eastAsia="Arial" w:hAnsi="Arial"/>
          <w:sz w:val="13"/>
          <w:szCs w:val="13"/>
          <w:color w:val="auto"/>
        </w:rPr>
        <w:t xml:space="preserve">AGGREGATE AMOUNT BENEFICIALLY OWNED BY EACH REPORTING PERSON </w:t>
      </w:r>
      <w:r>
        <w:rPr>
          <w:rFonts w:ascii="Arial" w:cs="Arial" w:eastAsia="Arial" w:hAnsi="Arial"/>
          <w:sz w:val="14"/>
          <w:szCs w:val="14"/>
          <w:color w:val="auto"/>
        </w:rPr>
        <w:t>2,733,497 shares of Common Stock</w:t>
      </w:r>
    </w:p>
    <w:p>
      <w:pPr>
        <w:spacing w:after="0" w:line="1" w:lineRule="exact"/>
        <w:rPr>
          <w:rFonts w:ascii="Arial" w:cs="Arial" w:eastAsia="Arial" w:hAnsi="Arial"/>
          <w:sz w:val="33"/>
          <w:szCs w:val="33"/>
          <w:b w:val="1"/>
          <w:bCs w:val="1"/>
          <w:color w:val="auto"/>
          <w:vertAlign w:val="subscript"/>
        </w:rPr>
      </w:pPr>
    </w:p>
    <w:p>
      <w:pPr>
        <w:ind w:left="2300" w:right="2020" w:hanging="4"/>
        <w:spacing w:after="0" w:line="286" w:lineRule="auto"/>
        <w:rPr>
          <w:rFonts w:ascii="Arial" w:cs="Arial" w:eastAsia="Arial" w:hAnsi="Arial"/>
          <w:sz w:val="33"/>
          <w:szCs w:val="33"/>
          <w:b w:val="1"/>
          <w:bCs w:val="1"/>
          <w:color w:val="auto"/>
          <w:vertAlign w:val="subscript"/>
        </w:rPr>
      </w:pPr>
      <w:r>
        <w:rPr>
          <w:rFonts w:ascii="Arial" w:cs="Arial" w:eastAsia="Arial" w:hAnsi="Arial"/>
          <w:sz w:val="15"/>
          <w:szCs w:val="15"/>
          <w:color w:val="auto"/>
        </w:rPr>
        <w:t>6,960,000 shares of Common Stock issuable upon exercise of Series A, D and E Warrants (See Item 4)* 4,640,000 shares of Common Stock issuable upon exercise of Series B and C Warrants (See Item 4)*</w:t>
      </w:r>
    </w:p>
    <w:tbl>
      <w:tblPr>
        <w:tblLayout w:type="fixed"/>
        <w:tblInd w:w="0" w:type="dxa"/>
        <w:tblCellMar>
          <w:top w:w="0" w:type="dxa"/>
          <w:left w:w="0" w:type="dxa"/>
          <w:bottom w:w="0" w:type="dxa"/>
          <w:right w:w="0" w:type="dxa"/>
        </w:tblCellMar>
      </w:tblPr>
      <w:tr>
        <w:trPr>
          <w:trHeight w:val="214"/>
        </w:trPr>
        <w:tc>
          <w:tcPr>
            <w:tcW w:w="1520" w:type="dxa"/>
            <w:vAlign w:val="bottom"/>
          </w:tcPr>
          <w:p>
            <w:pPr>
              <w:jc w:val="center"/>
              <w:ind w:left="205"/>
              <w:spacing w:after="0" w:line="214" w:lineRule="exact"/>
              <w:rPr>
                <w:sz w:val="20"/>
                <w:szCs w:val="20"/>
                <w:color w:val="auto"/>
              </w:rPr>
            </w:pPr>
            <w:r>
              <w:rPr>
                <w:rFonts w:ascii="Arial" w:cs="Arial" w:eastAsia="Arial" w:hAnsi="Arial"/>
                <w:sz w:val="24"/>
                <w:szCs w:val="24"/>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214"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5"/>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9.90% (See Item 4)*</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20" w:type="dxa"/>
            <w:vAlign w:val="bottom"/>
            <w:vMerge w:val="restart"/>
          </w:tcPr>
          <w:p>
            <w:pPr>
              <w:jc w:val="center"/>
              <w:ind w:left="205"/>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520" w:type="dxa"/>
            <w:vAlign w:val="bottom"/>
            <w:vMerge w:val="continue"/>
          </w:tcPr>
          <w:p>
            <w:pPr>
              <w:spacing w:after="0"/>
              <w:rPr>
                <w:sz w:val="13"/>
                <w:szCs w:val="13"/>
                <w:color w:val="auto"/>
              </w:rPr>
            </w:pP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IN</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20" w:type="dxa"/>
            <w:vAlign w:val="bottom"/>
          </w:tcPr>
          <w:p>
            <w:pPr>
              <w:spacing w:after="0"/>
              <w:rPr>
                <w:sz w:val="8"/>
                <w:szCs w:val="8"/>
                <w:color w:val="auto"/>
              </w:rPr>
            </w:pPr>
          </w:p>
        </w:tc>
        <w:tc>
          <w:tcPr>
            <w:tcW w:w="778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200" w:firstLine="8"/>
        <w:spacing w:after="0" w:line="291" w:lineRule="auto"/>
        <w:tabs>
          <w:tab w:leader="none" w:pos="135"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5000" w:type="dxa"/>
            <w:vAlign w:val="bottom"/>
            <w:gridSpan w:val="2"/>
          </w:tcPr>
          <w:p>
            <w:pPr>
              <w:spacing w:after="0"/>
              <w:rPr>
                <w:sz w:val="20"/>
                <w:szCs w:val="20"/>
                <w:color w:val="auto"/>
              </w:rPr>
            </w:pPr>
            <w:r>
              <w:rPr>
                <w:rFonts w:ascii="Arial" w:cs="Arial" w:eastAsia="Arial" w:hAnsi="Arial"/>
                <w:sz w:val="22"/>
                <w:szCs w:val="22"/>
                <w:b w:val="1"/>
                <w:bCs w:val="1"/>
                <w:color w:val="auto"/>
              </w:rPr>
              <w:t>CUSIP No. 876033309</w:t>
            </w:r>
          </w:p>
        </w:tc>
        <w:tc>
          <w:tcPr>
            <w:tcW w:w="3100" w:type="dxa"/>
            <w:vAlign w:val="bottom"/>
          </w:tcPr>
          <w:p>
            <w:pPr>
              <w:ind w:left="52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5 of 11 Pages</w:t>
            </w:r>
          </w:p>
        </w:tc>
        <w:tc>
          <w:tcPr>
            <w:tcW w:w="0" w:type="dxa"/>
            <w:vAlign w:val="bottom"/>
          </w:tcPr>
          <w:p>
            <w:pPr>
              <w:spacing w:after="0"/>
              <w:rPr>
                <w:sz w:val="1"/>
                <w:szCs w:val="1"/>
                <w:color w:val="auto"/>
              </w:rPr>
            </w:pPr>
          </w:p>
        </w:tc>
      </w:tr>
      <w:tr>
        <w:trPr>
          <w:trHeight w:val="436"/>
        </w:trPr>
        <w:tc>
          <w:tcPr>
            <w:tcW w:w="1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520" w:type="dxa"/>
            <w:vAlign w:val="bottom"/>
          </w:tcPr>
          <w:p>
            <w:pPr>
              <w:ind w:left="480"/>
              <w:spacing w:after="0"/>
              <w:rPr>
                <w:sz w:val="20"/>
                <w:szCs w:val="20"/>
                <w:color w:val="auto"/>
              </w:rPr>
            </w:pPr>
            <w:r>
              <w:rPr>
                <w:rFonts w:ascii="Arial" w:cs="Arial" w:eastAsia="Arial" w:hAnsi="Arial"/>
                <w:sz w:val="16"/>
                <w:szCs w:val="16"/>
                <w:color w:val="auto"/>
              </w:rPr>
              <w:t>NAMES OF REPORTING PERSONS</w:t>
            </w:r>
          </w:p>
        </w:tc>
        <w:tc>
          <w:tcPr>
            <w:tcW w:w="3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520" w:type="dxa"/>
            <w:vAlign w:val="bottom"/>
            <w:vMerge w:val="restart"/>
          </w:tcPr>
          <w:p>
            <w:pPr>
              <w:ind w:left="820"/>
              <w:spacing w:after="0"/>
              <w:rPr>
                <w:sz w:val="20"/>
                <w:szCs w:val="20"/>
                <w:color w:val="auto"/>
              </w:rPr>
            </w:pPr>
            <w:r>
              <w:rPr>
                <w:rFonts w:ascii="Arial" w:cs="Arial" w:eastAsia="Arial" w:hAnsi="Arial"/>
                <w:sz w:val="20"/>
                <w:szCs w:val="20"/>
                <w:color w:val="auto"/>
              </w:rPr>
              <w:t>Martin D. Hoe</w:t>
            </w:r>
          </w:p>
        </w:tc>
        <w:tc>
          <w:tcPr>
            <w:tcW w:w="3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31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10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ind w:left="1960" w:hanging="1099"/>
        <w:spacing w:after="0" w:line="182" w:lineRule="auto"/>
        <w:tabs>
          <w:tab w:leader="none" w:pos="1960" w:val="left"/>
        </w:tabs>
        <w:numPr>
          <w:ilvl w:val="0"/>
          <w:numId w:val="9"/>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8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802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66"/>
        </w:trPr>
        <w:tc>
          <w:tcPr>
            <w:tcW w:w="1840" w:type="dxa"/>
            <w:vAlign w:val="bottom"/>
            <w:vMerge w:val="continue"/>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tcPr>
          <w:p>
            <w:pPr>
              <w:ind w:left="380"/>
              <w:spacing w:after="0" w:line="167" w:lineRule="exact"/>
              <w:rPr>
                <w:sz w:val="20"/>
                <w:szCs w:val="20"/>
                <w:color w:val="auto"/>
              </w:rPr>
            </w:pPr>
            <w:r>
              <w:rPr>
                <w:rFonts w:ascii="Arial" w:cs="Arial" w:eastAsia="Arial" w:hAnsi="Arial"/>
                <w:sz w:val="17"/>
                <w:szCs w:val="17"/>
                <w:color w:val="auto"/>
              </w:rPr>
              <w:t>2,733,497 shares of Common Stock</w:t>
            </w:r>
          </w:p>
        </w:tc>
        <w:tc>
          <w:tcPr>
            <w:tcW w:w="0" w:type="dxa"/>
            <w:vAlign w:val="bottom"/>
          </w:tcPr>
          <w:p>
            <w:pPr>
              <w:spacing w:after="0"/>
              <w:rPr>
                <w:sz w:val="1"/>
                <w:szCs w:val="1"/>
                <w:color w:val="auto"/>
              </w:rPr>
            </w:pPr>
          </w:p>
        </w:tc>
      </w:tr>
      <w:tr>
        <w:trPr>
          <w:trHeight w:val="179"/>
        </w:trPr>
        <w:tc>
          <w:tcPr>
            <w:tcW w:w="1840" w:type="dxa"/>
            <w:vAlign w:val="bottom"/>
          </w:tcPr>
          <w:p>
            <w:pPr>
              <w:jc w:val="center"/>
              <w:spacing w:after="0" w:line="179" w:lineRule="exact"/>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20" w:type="dxa"/>
            <w:vAlign w:val="bottom"/>
            <w:vMerge w:val="restart"/>
          </w:tcPr>
          <w:p>
            <w:pPr>
              <w:ind w:left="380"/>
              <w:spacing w:after="0"/>
              <w:rPr>
                <w:sz w:val="20"/>
                <w:szCs w:val="20"/>
                <w:color w:val="auto"/>
              </w:rPr>
            </w:pPr>
            <w:r>
              <w:rPr>
                <w:rFonts w:ascii="Arial" w:cs="Arial" w:eastAsia="Arial" w:hAnsi="Arial"/>
                <w:sz w:val="17"/>
                <w:szCs w:val="17"/>
                <w:color w:val="auto"/>
                <w:w w:val="96"/>
              </w:rPr>
              <w:t>6,960,000 shares of Common Stock issuable upon exercise of Series A, D and E Warrants (See Item 4)*</w:t>
            </w:r>
          </w:p>
        </w:tc>
        <w:tc>
          <w:tcPr>
            <w:tcW w:w="0" w:type="dxa"/>
            <w:vAlign w:val="bottom"/>
          </w:tcPr>
          <w:p>
            <w:pPr>
              <w:spacing w:after="0"/>
              <w:rPr>
                <w:sz w:val="1"/>
                <w:szCs w:val="1"/>
                <w:color w:val="auto"/>
              </w:rPr>
            </w:pPr>
          </w:p>
        </w:tc>
      </w:tr>
      <w:tr>
        <w:trPr>
          <w:trHeight w:val="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840" w:type="dxa"/>
            <w:vAlign w:val="bottom"/>
            <w:vMerge w:val="continue"/>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20" w:type="dxa"/>
            <w:vAlign w:val="bottom"/>
            <w:vMerge w:val="restart"/>
          </w:tcPr>
          <w:p>
            <w:pPr>
              <w:ind w:left="380"/>
              <w:spacing w:after="0"/>
              <w:rPr>
                <w:sz w:val="20"/>
                <w:szCs w:val="20"/>
                <w:color w:val="auto"/>
              </w:rPr>
            </w:pPr>
            <w:r>
              <w:rPr>
                <w:rFonts w:ascii="Arial" w:cs="Arial" w:eastAsia="Arial" w:hAnsi="Arial"/>
                <w:sz w:val="17"/>
                <w:szCs w:val="17"/>
                <w:color w:val="auto"/>
                <w:w w:val="99"/>
              </w:rPr>
              <w:t>4,640,000 shares of Common Stock issuable upon exercise of Series B and C Warrants (See Item 4)*</w:t>
            </w:r>
          </w:p>
        </w:tc>
        <w:tc>
          <w:tcPr>
            <w:tcW w:w="0" w:type="dxa"/>
            <w:vAlign w:val="bottom"/>
          </w:tcPr>
          <w:p>
            <w:pPr>
              <w:spacing w:after="0"/>
              <w:rPr>
                <w:sz w:val="1"/>
                <w:szCs w:val="1"/>
                <w:color w:val="auto"/>
              </w:rPr>
            </w:pPr>
          </w:p>
        </w:tc>
      </w:tr>
      <w:tr>
        <w:trPr>
          <w:trHeight w:val="75"/>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20"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3"/>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5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Pr>
          <w:p>
            <w:pPr>
              <w:ind w:left="380"/>
              <w:spacing w:after="0"/>
              <w:rPr>
                <w:sz w:val="20"/>
                <w:szCs w:val="20"/>
                <w:color w:val="auto"/>
              </w:rPr>
            </w:pPr>
            <w:r>
              <w:rPr>
                <w:rFonts w:ascii="Arial" w:cs="Arial" w:eastAsia="Arial" w:hAnsi="Arial"/>
                <w:sz w:val="17"/>
                <w:szCs w:val="17"/>
                <w:color w:val="auto"/>
              </w:rPr>
              <w:t>2,733,497 shares of Common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Pr>
          <w:p>
            <w:pPr>
              <w:ind w:left="380"/>
              <w:spacing w:after="0"/>
              <w:rPr>
                <w:sz w:val="20"/>
                <w:szCs w:val="20"/>
                <w:color w:val="auto"/>
              </w:rPr>
            </w:pPr>
            <w:r>
              <w:rPr>
                <w:rFonts w:ascii="Arial" w:cs="Arial" w:eastAsia="Arial" w:hAnsi="Arial"/>
                <w:sz w:val="17"/>
                <w:szCs w:val="17"/>
                <w:color w:val="auto"/>
                <w:w w:val="96"/>
              </w:rPr>
              <w:t>6,960,000 shares of Common Stock issuable upon exercise of Series A, D and E Warrants (See Item 4)*</w:t>
            </w:r>
          </w:p>
        </w:tc>
        <w:tc>
          <w:tcPr>
            <w:tcW w:w="0" w:type="dxa"/>
            <w:vAlign w:val="bottom"/>
          </w:tcPr>
          <w:p>
            <w:pPr>
              <w:spacing w:after="0"/>
              <w:rPr>
                <w:sz w:val="1"/>
                <w:szCs w:val="1"/>
                <w:color w:val="auto"/>
              </w:rPr>
            </w:pPr>
          </w:p>
        </w:tc>
      </w:tr>
      <w:tr>
        <w:trPr>
          <w:trHeight w:val="218"/>
        </w:trPr>
        <w:tc>
          <w:tcPr>
            <w:tcW w:w="184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w w:val="99"/>
              </w:rPr>
              <w:t>4,640,000 shares of Common Stock issuable upon exercise of Series B and C Warrants (See Item 4)*</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80" w:right="3560" w:hanging="1419"/>
        <w:spacing w:after="0" w:line="182" w:lineRule="auto"/>
        <w:tabs>
          <w:tab w:leader="none" w:pos="1957" w:val="left"/>
        </w:tabs>
        <w:numPr>
          <w:ilvl w:val="0"/>
          <w:numId w:val="10"/>
        </w:numPr>
        <w:rPr>
          <w:rFonts w:ascii="Arial" w:cs="Arial" w:eastAsia="Arial" w:hAnsi="Arial"/>
          <w:sz w:val="33"/>
          <w:szCs w:val="33"/>
          <w:b w:val="1"/>
          <w:bCs w:val="1"/>
          <w:color w:val="auto"/>
          <w:vertAlign w:val="subscript"/>
        </w:rPr>
      </w:pPr>
      <w:r>
        <w:rPr>
          <w:rFonts w:ascii="Arial" w:cs="Arial" w:eastAsia="Arial" w:hAnsi="Arial"/>
          <w:sz w:val="13"/>
          <w:szCs w:val="13"/>
          <w:color w:val="auto"/>
        </w:rPr>
        <w:t xml:space="preserve">AGGREGATE AMOUNT BENEFICIALLY OWNED BY EACH REPORTING PERSON </w:t>
      </w:r>
      <w:r>
        <w:rPr>
          <w:rFonts w:ascii="Arial" w:cs="Arial" w:eastAsia="Arial" w:hAnsi="Arial"/>
          <w:sz w:val="14"/>
          <w:szCs w:val="14"/>
          <w:color w:val="auto"/>
        </w:rPr>
        <w:t>2,733,497 shares of Common Stock</w:t>
      </w:r>
    </w:p>
    <w:p>
      <w:pPr>
        <w:spacing w:after="0" w:line="1" w:lineRule="exact"/>
        <w:rPr>
          <w:rFonts w:ascii="Arial" w:cs="Arial" w:eastAsia="Arial" w:hAnsi="Arial"/>
          <w:sz w:val="33"/>
          <w:szCs w:val="33"/>
          <w:b w:val="1"/>
          <w:bCs w:val="1"/>
          <w:color w:val="auto"/>
          <w:vertAlign w:val="subscript"/>
        </w:rPr>
      </w:pPr>
    </w:p>
    <w:p>
      <w:pPr>
        <w:ind w:left="2300" w:right="2020" w:hanging="4"/>
        <w:spacing w:after="0" w:line="286" w:lineRule="auto"/>
        <w:rPr>
          <w:rFonts w:ascii="Arial" w:cs="Arial" w:eastAsia="Arial" w:hAnsi="Arial"/>
          <w:sz w:val="33"/>
          <w:szCs w:val="33"/>
          <w:b w:val="1"/>
          <w:bCs w:val="1"/>
          <w:color w:val="auto"/>
          <w:vertAlign w:val="subscript"/>
        </w:rPr>
      </w:pPr>
      <w:r>
        <w:rPr>
          <w:rFonts w:ascii="Arial" w:cs="Arial" w:eastAsia="Arial" w:hAnsi="Arial"/>
          <w:sz w:val="15"/>
          <w:szCs w:val="15"/>
          <w:color w:val="auto"/>
        </w:rPr>
        <w:t>6,960,000 shares of Common Stock issuable upon exercise of Series A, D and E Warrants (See Item 4)* 4,640,000 shares of Common Stock issuable upon exercise of Series B and C Warrants (See Item 4)*</w:t>
      </w:r>
    </w:p>
    <w:tbl>
      <w:tblPr>
        <w:tblLayout w:type="fixed"/>
        <w:tblInd w:w="0" w:type="dxa"/>
        <w:tblCellMar>
          <w:top w:w="0" w:type="dxa"/>
          <w:left w:w="0" w:type="dxa"/>
          <w:bottom w:w="0" w:type="dxa"/>
          <w:right w:w="0" w:type="dxa"/>
        </w:tblCellMar>
      </w:tblPr>
      <w:tr>
        <w:trPr>
          <w:trHeight w:val="214"/>
        </w:trPr>
        <w:tc>
          <w:tcPr>
            <w:tcW w:w="1520" w:type="dxa"/>
            <w:vAlign w:val="bottom"/>
          </w:tcPr>
          <w:p>
            <w:pPr>
              <w:jc w:val="center"/>
              <w:ind w:left="205"/>
              <w:spacing w:after="0" w:line="214" w:lineRule="exact"/>
              <w:rPr>
                <w:sz w:val="20"/>
                <w:szCs w:val="20"/>
                <w:color w:val="auto"/>
              </w:rPr>
            </w:pPr>
            <w:r>
              <w:rPr>
                <w:rFonts w:ascii="Arial" w:cs="Arial" w:eastAsia="Arial" w:hAnsi="Arial"/>
                <w:sz w:val="24"/>
                <w:szCs w:val="24"/>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214"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5"/>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9.90% (See Item 4)*</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20" w:type="dxa"/>
            <w:vAlign w:val="bottom"/>
            <w:vMerge w:val="restart"/>
          </w:tcPr>
          <w:p>
            <w:pPr>
              <w:jc w:val="center"/>
              <w:ind w:left="205"/>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520" w:type="dxa"/>
            <w:vAlign w:val="bottom"/>
            <w:vMerge w:val="continue"/>
          </w:tcPr>
          <w:p>
            <w:pPr>
              <w:spacing w:after="0"/>
              <w:rPr>
                <w:sz w:val="13"/>
                <w:szCs w:val="13"/>
                <w:color w:val="auto"/>
              </w:rPr>
            </w:pP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IN</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20" w:type="dxa"/>
            <w:vAlign w:val="bottom"/>
          </w:tcPr>
          <w:p>
            <w:pPr>
              <w:spacing w:after="0"/>
              <w:rPr>
                <w:sz w:val="8"/>
                <w:szCs w:val="8"/>
                <w:color w:val="auto"/>
              </w:rPr>
            </w:pPr>
          </w:p>
        </w:tc>
        <w:tc>
          <w:tcPr>
            <w:tcW w:w="778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200" w:firstLine="8"/>
        <w:spacing w:after="0" w:line="291" w:lineRule="auto"/>
        <w:tabs>
          <w:tab w:leader="none" w:pos="1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0" w:right="239" w:bottom="1440" w:gutter="0" w:footer="0" w:header="0"/>
        </w:sectPr>
      </w:pPr>
    </w:p>
    <w:bookmarkStart w:id="5" w:name="page6"/>
    <w:bookmarkEnd w:id="5"/>
    <w:p>
      <w:pPr>
        <w:spacing w:after="0"/>
        <w:tabs>
          <w:tab w:leader="none" w:pos="5500" w:val="left"/>
          <w:tab w:leader="none" w:pos="9720" w:val="left"/>
        </w:tabs>
        <w:rPr>
          <w:sz w:val="20"/>
          <w:szCs w:val="20"/>
          <w:color w:val="auto"/>
        </w:rPr>
      </w:pPr>
      <w:r>
        <w:rPr>
          <w:rFonts w:ascii="Arial" w:cs="Arial" w:eastAsia="Arial" w:hAnsi="Arial"/>
          <w:sz w:val="22"/>
          <w:szCs w:val="22"/>
          <w:b w:val="1"/>
          <w:bCs w:val="1"/>
          <w:color w:val="auto"/>
        </w:rPr>
        <w:t>CUSIP No. 876033309</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6 of 11 Pages</w:t>
      </w:r>
    </w:p>
    <w:p>
      <w:pPr>
        <w:spacing w:after="0" w:line="200" w:lineRule="exact"/>
        <w:rPr>
          <w:sz w:val="20"/>
          <w:szCs w:val="20"/>
          <w:color w:val="auto"/>
        </w:rPr>
      </w:pPr>
    </w:p>
    <w:p>
      <w:pPr>
        <w:spacing w:after="0" w:line="240"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name of the issuer is TapImmune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20" w:right="480"/>
        <w:spacing w:after="0" w:line="260" w:lineRule="auto"/>
        <w:rPr>
          <w:sz w:val="20"/>
          <w:szCs w:val="20"/>
          <w:color w:val="auto"/>
        </w:rPr>
      </w:pPr>
      <w:r>
        <w:rPr>
          <w:rFonts w:ascii="Arial" w:cs="Arial" w:eastAsia="Arial" w:hAnsi="Arial"/>
          <w:sz w:val="20"/>
          <w:szCs w:val="20"/>
          <w:color w:val="auto"/>
        </w:rPr>
        <w:t>The Company's principal executive offices are located at 1551 Eastlake Avenue East, Suite 100, Seattle, Washington 98102.</w:t>
      </w:r>
    </w:p>
    <w:p>
      <w:pPr>
        <w:spacing w:after="0" w:line="18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00" w:lineRule="exact"/>
        <w:rPr>
          <w:sz w:val="20"/>
          <w:szCs w:val="20"/>
          <w:color w:val="auto"/>
        </w:rPr>
      </w:pPr>
    </w:p>
    <w:p>
      <w:pPr>
        <w:spacing w:after="0" w:line="265" w:lineRule="exact"/>
        <w:rPr>
          <w:sz w:val="20"/>
          <w:szCs w:val="20"/>
          <w:color w:val="auto"/>
        </w:rPr>
      </w:pPr>
    </w:p>
    <w:p>
      <w:pPr>
        <w:ind w:left="1820" w:right="420"/>
        <w:spacing w:after="0" w:line="316"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with respect to the shares of Common Stock (as defined in Item 2(d) below) of the Company:</w:t>
      </w:r>
    </w:p>
    <w:p>
      <w:pPr>
        <w:spacing w:after="0" w:line="144" w:lineRule="exact"/>
        <w:rPr>
          <w:sz w:val="20"/>
          <w:szCs w:val="20"/>
          <w:color w:val="auto"/>
        </w:rPr>
      </w:pPr>
    </w:p>
    <w:p>
      <w:pPr>
        <w:ind w:left="1820"/>
        <w:spacing w:after="0"/>
        <w:rPr>
          <w:sz w:val="20"/>
          <w:szCs w:val="20"/>
          <w:color w:val="auto"/>
        </w:rPr>
      </w:pPr>
      <w:r>
        <w:rPr>
          <w:rFonts w:ascii="Arial" w:cs="Arial" w:eastAsia="Arial" w:hAnsi="Arial"/>
          <w:sz w:val="20"/>
          <w:szCs w:val="20"/>
          <w:u w:val="single" w:color="auto"/>
          <w:color w:val="auto"/>
        </w:rPr>
        <w:t>Empery Funds</w:t>
      </w:r>
    </w:p>
    <w:p>
      <w:pPr>
        <w:spacing w:after="0" w:line="229" w:lineRule="exact"/>
        <w:rPr>
          <w:sz w:val="20"/>
          <w:szCs w:val="20"/>
          <w:color w:val="auto"/>
        </w:rPr>
      </w:pPr>
    </w:p>
    <w:p>
      <w:pPr>
        <w:ind w:left="1820" w:right="240" w:firstLine="7"/>
        <w:spacing w:after="0" w:line="291" w:lineRule="auto"/>
        <w:tabs>
          <w:tab w:leader="none" w:pos="20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Empery Tax Efficient II, LP, to which the Investment Manager (as defined below) serves as investment manager, with respect to the shares of Common Stock held by, and underlying the Reported Warrants held by, it (such fund, and together with other funds to which the Investment Manager serves as investment manager, the "</w:t>
      </w:r>
      <w:r>
        <w:rPr>
          <w:rFonts w:ascii="Arial" w:cs="Arial" w:eastAsia="Arial" w:hAnsi="Arial"/>
          <w:sz w:val="18"/>
          <w:szCs w:val="18"/>
          <w:u w:val="single" w:color="auto"/>
          <w:color w:val="auto"/>
        </w:rPr>
        <w:t>Empery Funds</w:t>
      </w:r>
      <w:r>
        <w:rPr>
          <w:rFonts w:ascii="Arial" w:cs="Arial" w:eastAsia="Arial" w:hAnsi="Arial"/>
          <w:sz w:val="18"/>
          <w:szCs w:val="18"/>
          <w:color w:val="auto"/>
        </w:rPr>
        <w:t>").</w:t>
      </w:r>
    </w:p>
    <w:p>
      <w:pPr>
        <w:spacing w:after="0" w:line="165" w:lineRule="exact"/>
        <w:rPr>
          <w:sz w:val="20"/>
          <w:szCs w:val="20"/>
          <w:color w:val="auto"/>
        </w:rPr>
      </w:pPr>
    </w:p>
    <w:p>
      <w:pPr>
        <w:ind w:left="1820"/>
        <w:spacing w:after="0"/>
        <w:rPr>
          <w:sz w:val="20"/>
          <w:szCs w:val="20"/>
          <w:color w:val="auto"/>
        </w:rPr>
      </w:pPr>
      <w:r>
        <w:rPr>
          <w:rFonts w:ascii="Arial" w:cs="Arial" w:eastAsia="Arial" w:hAnsi="Arial"/>
          <w:sz w:val="20"/>
          <w:szCs w:val="20"/>
          <w:u w:val="single" w:color="auto"/>
          <w:color w:val="auto"/>
        </w:rPr>
        <w:t>Investment Manager</w:t>
      </w:r>
    </w:p>
    <w:p>
      <w:pPr>
        <w:spacing w:after="0" w:line="229" w:lineRule="exact"/>
        <w:rPr>
          <w:sz w:val="20"/>
          <w:szCs w:val="20"/>
          <w:color w:val="auto"/>
        </w:rPr>
      </w:pPr>
    </w:p>
    <w:p>
      <w:pPr>
        <w:ind w:left="1820" w:right="240" w:firstLine="7"/>
        <w:spacing w:after="0" w:line="260" w:lineRule="auto"/>
        <w:tabs>
          <w:tab w:leader="none" w:pos="2111" w:val="left"/>
        </w:tabs>
        <w:numPr>
          <w:ilvl w:val="0"/>
          <w:numId w:val="13"/>
        </w:numPr>
        <w:rPr>
          <w:rFonts w:ascii="Arial" w:cs="Arial" w:eastAsia="Arial" w:hAnsi="Arial"/>
          <w:sz w:val="20"/>
          <w:szCs w:val="20"/>
          <w:color w:val="auto"/>
        </w:rPr>
      </w:pPr>
      <w:r>
        <w:rPr>
          <w:rFonts w:ascii="Arial" w:cs="Arial" w:eastAsia="Arial" w:hAnsi="Arial"/>
          <w:sz w:val="20"/>
          <w:szCs w:val="20"/>
          <w:color w:val="auto"/>
        </w:rPr>
        <w:t>Empery Asset Management, LP (the "</w:t>
      </w:r>
      <w:r>
        <w:rPr>
          <w:rFonts w:ascii="Arial" w:cs="Arial" w:eastAsia="Arial" w:hAnsi="Arial"/>
          <w:sz w:val="20"/>
          <w:szCs w:val="20"/>
          <w:u w:val="single" w:color="auto"/>
          <w:color w:val="auto"/>
        </w:rPr>
        <w:t>Investment Manager</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sz w:val="20"/>
          <w:szCs w:val="20"/>
          <w:color w:val="auto"/>
        </w:rPr>
      </w:pPr>
    </w:p>
    <w:p>
      <w:pPr>
        <w:ind w:left="1820"/>
        <w:spacing w:after="0"/>
        <w:rPr>
          <w:sz w:val="20"/>
          <w:szCs w:val="20"/>
          <w:color w:val="auto"/>
        </w:rPr>
      </w:pPr>
      <w:r>
        <w:rPr>
          <w:rFonts w:ascii="Arial" w:cs="Arial" w:eastAsia="Arial" w:hAnsi="Arial"/>
          <w:sz w:val="20"/>
          <w:szCs w:val="20"/>
          <w:u w:val="single" w:color="auto"/>
          <w:color w:val="auto"/>
        </w:rPr>
        <w:t>Reporting Individuals</w:t>
      </w:r>
    </w:p>
    <w:p>
      <w:pPr>
        <w:spacing w:after="0" w:line="229" w:lineRule="exact"/>
        <w:rPr>
          <w:sz w:val="20"/>
          <w:szCs w:val="20"/>
          <w:color w:val="auto"/>
        </w:rPr>
      </w:pPr>
    </w:p>
    <w:p>
      <w:pPr>
        <w:ind w:left="1820" w:right="140" w:firstLine="7"/>
        <w:spacing w:after="0" w:line="260" w:lineRule="auto"/>
        <w:tabs>
          <w:tab w:leader="none" w:pos="2166" w:val="left"/>
        </w:tabs>
        <w:numPr>
          <w:ilvl w:val="0"/>
          <w:numId w:val="14"/>
        </w:numPr>
        <w:rPr>
          <w:rFonts w:ascii="Arial" w:cs="Arial" w:eastAsia="Arial" w:hAnsi="Arial"/>
          <w:sz w:val="20"/>
          <w:szCs w:val="20"/>
          <w:color w:val="auto"/>
        </w:rPr>
      </w:pPr>
      <w:r>
        <w:rPr>
          <w:rFonts w:ascii="Arial" w:cs="Arial" w:eastAsia="Arial" w:hAnsi="Arial"/>
          <w:sz w:val="20"/>
          <w:szCs w:val="20"/>
          <w:color w:val="auto"/>
        </w:rPr>
        <w:t>Mr. Ryan M. Lane ("</w:t>
      </w:r>
      <w:r>
        <w:rPr>
          <w:rFonts w:ascii="Arial" w:cs="Arial" w:eastAsia="Arial" w:hAnsi="Arial"/>
          <w:sz w:val="20"/>
          <w:szCs w:val="20"/>
          <w:u w:val="single" w:color="auto"/>
          <w:color w:val="auto"/>
        </w:rPr>
        <w:t>Mr. Lane</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rFonts w:ascii="Arial" w:cs="Arial" w:eastAsia="Arial" w:hAnsi="Arial"/>
          <w:sz w:val="20"/>
          <w:szCs w:val="20"/>
          <w:color w:val="auto"/>
        </w:rPr>
      </w:pPr>
    </w:p>
    <w:p>
      <w:pPr>
        <w:ind w:left="1820" w:right="180" w:firstLine="7"/>
        <w:spacing w:after="0" w:line="260" w:lineRule="auto"/>
        <w:tabs>
          <w:tab w:leader="none" w:pos="2155" w:val="left"/>
        </w:tabs>
        <w:numPr>
          <w:ilvl w:val="0"/>
          <w:numId w:val="14"/>
        </w:numPr>
        <w:rPr>
          <w:rFonts w:ascii="Arial" w:cs="Arial" w:eastAsia="Arial" w:hAnsi="Arial"/>
          <w:sz w:val="20"/>
          <w:szCs w:val="20"/>
          <w:color w:val="auto"/>
        </w:rPr>
      </w:pPr>
      <w:r>
        <w:rPr>
          <w:rFonts w:ascii="Arial" w:cs="Arial" w:eastAsia="Arial" w:hAnsi="Arial"/>
          <w:sz w:val="20"/>
          <w:szCs w:val="20"/>
          <w:color w:val="auto"/>
        </w:rPr>
        <w:t>Mr. Martin D. Hoe ("</w:t>
      </w:r>
      <w:r>
        <w:rPr>
          <w:rFonts w:ascii="Arial" w:cs="Arial" w:eastAsia="Arial" w:hAnsi="Arial"/>
          <w:sz w:val="20"/>
          <w:szCs w:val="20"/>
          <w:u w:val="single" w:color="auto"/>
          <w:color w:val="auto"/>
        </w:rPr>
        <w:t>Mr. Hoe</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sz w:val="20"/>
          <w:szCs w:val="20"/>
          <w:color w:val="auto"/>
        </w:rPr>
      </w:pPr>
    </w:p>
    <w:p>
      <w:pPr>
        <w:jc w:val="both"/>
        <w:ind w:left="1820" w:right="740"/>
        <w:spacing w:after="0" w:line="250" w:lineRule="auto"/>
        <w:rPr>
          <w:sz w:val="20"/>
          <w:szCs w:val="20"/>
          <w:color w:val="auto"/>
        </w:rPr>
      </w:pPr>
      <w:r>
        <w:rPr>
          <w:rFonts w:ascii="Arial" w:cs="Arial" w:eastAsia="Arial" w:hAnsi="Arial"/>
          <w:sz w:val="20"/>
          <w:szCs w:val="20"/>
          <w:color w:val="auto"/>
        </w:rPr>
        <w:t>The Investment Manager serves as the investment manager to each of the Empery Funds. Each of the Reporting Individuals is a Managing Member of Empery AM GP, LLC (the "</w:t>
      </w:r>
      <w:r>
        <w:rPr>
          <w:rFonts w:ascii="Arial" w:cs="Arial" w:eastAsia="Arial" w:hAnsi="Arial"/>
          <w:sz w:val="20"/>
          <w:szCs w:val="20"/>
          <w:u w:val="single" w:color="auto"/>
          <w:color w:val="auto"/>
        </w:rPr>
        <w:t>General Partner</w:t>
      </w:r>
      <w:r>
        <w:rPr>
          <w:rFonts w:ascii="Arial" w:cs="Arial" w:eastAsia="Arial" w:hAnsi="Arial"/>
          <w:sz w:val="20"/>
          <w:szCs w:val="20"/>
          <w:color w:val="auto"/>
        </w:rPr>
        <w:t>"), the general partner of the Investment Manager.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The address of the business office of each of the Reporting Persons is:</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1 Rockefeller Plaza, Suite 1205</w:t>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New York, New York 10020</w:t>
      </w:r>
    </w:p>
    <w:p>
      <w:pPr>
        <w:spacing w:after="0" w:line="207"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ectPr>
          <w:pgSz w:w="11900" w:h="16838" w:orient="portrait"/>
          <w:cols w:equalWidth="0" w:num="1">
            <w:col w:w="11420"/>
          </w:cols>
          <w:pgMar w:left="240" w:top="22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5340" w:type="dxa"/>
            <w:vAlign w:val="bottom"/>
            <w:gridSpan w:val="3"/>
          </w:tcPr>
          <w:p>
            <w:pPr>
              <w:spacing w:after="0"/>
              <w:rPr>
                <w:sz w:val="20"/>
                <w:szCs w:val="20"/>
                <w:color w:val="auto"/>
              </w:rPr>
            </w:pPr>
            <w:r>
              <w:rPr>
                <w:rFonts w:ascii="Arial" w:cs="Arial" w:eastAsia="Arial" w:hAnsi="Arial"/>
                <w:sz w:val="22"/>
                <w:szCs w:val="22"/>
                <w:b w:val="1"/>
                <w:bCs w:val="1"/>
                <w:color w:val="auto"/>
              </w:rPr>
              <w:t>CUSIP No. 876033309</w:t>
            </w:r>
          </w:p>
        </w:tc>
        <w:tc>
          <w:tcPr>
            <w:tcW w:w="2660" w:type="dxa"/>
            <w:vAlign w:val="bottom"/>
            <w:gridSpan w:val="2"/>
          </w:tcPr>
          <w:p>
            <w:pPr>
              <w:ind w:left="180"/>
              <w:spacing w:after="0"/>
              <w:rPr>
                <w:sz w:val="20"/>
                <w:szCs w:val="20"/>
                <w:color w:val="auto"/>
              </w:rPr>
            </w:pPr>
            <w:r>
              <w:rPr>
                <w:rFonts w:ascii="Arial" w:cs="Arial" w:eastAsia="Arial" w:hAnsi="Arial"/>
                <w:sz w:val="22"/>
                <w:szCs w:val="22"/>
                <w:b w:val="1"/>
                <w:bCs w:val="1"/>
                <w:color w:val="auto"/>
              </w:rPr>
              <w:t>13G</w:t>
            </w:r>
          </w:p>
        </w:tc>
        <w:tc>
          <w:tcPr>
            <w:tcW w:w="3420" w:type="dxa"/>
            <w:vAlign w:val="bottom"/>
          </w:tcPr>
          <w:p>
            <w:pPr>
              <w:ind w:left="1740"/>
              <w:spacing w:after="0"/>
              <w:rPr>
                <w:sz w:val="20"/>
                <w:szCs w:val="20"/>
                <w:color w:val="auto"/>
              </w:rPr>
            </w:pPr>
            <w:r>
              <w:rPr>
                <w:rFonts w:ascii="Arial" w:cs="Arial" w:eastAsia="Arial" w:hAnsi="Arial"/>
                <w:sz w:val="22"/>
                <w:szCs w:val="22"/>
                <w:b w:val="1"/>
                <w:bCs w:val="1"/>
                <w:color w:val="auto"/>
                <w:w w:val="83"/>
              </w:rPr>
              <w:t>Page 7 of 11 Pages</w:t>
            </w:r>
          </w:p>
        </w:tc>
      </w:tr>
      <w:tr>
        <w:trPr>
          <w:trHeight w:val="648"/>
        </w:trPr>
        <w:tc>
          <w:tcPr>
            <w:tcW w:w="1280" w:type="dxa"/>
            <w:vAlign w:val="bottom"/>
          </w:tcPr>
          <w:p>
            <w:pPr>
              <w:spacing w:after="0"/>
              <w:rPr>
                <w:sz w:val="24"/>
                <w:szCs w:val="24"/>
                <w:color w:val="auto"/>
              </w:rPr>
            </w:pPr>
          </w:p>
        </w:tc>
        <w:tc>
          <w:tcPr>
            <w:tcW w:w="10140" w:type="dxa"/>
            <w:vAlign w:val="bottom"/>
            <w:gridSpan w:val="5"/>
          </w:tcPr>
          <w:p>
            <w:pPr>
              <w:ind w:left="540"/>
              <w:spacing w:after="0"/>
              <w:rPr>
                <w:sz w:val="20"/>
                <w:szCs w:val="20"/>
                <w:color w:val="auto"/>
              </w:rPr>
            </w:pPr>
            <w:r>
              <w:rPr>
                <w:rFonts w:ascii="Arial" w:cs="Arial" w:eastAsia="Arial" w:hAnsi="Arial"/>
                <w:sz w:val="20"/>
                <w:szCs w:val="20"/>
                <w:color w:val="auto"/>
                <w:w w:val="95"/>
              </w:rPr>
              <w:t>Citizenship is set forth in Row 4 of the cover page for each Reporting Person hereto and is incorporated herein by</w:t>
            </w:r>
          </w:p>
        </w:tc>
      </w:tr>
      <w:tr>
        <w:trPr>
          <w:trHeight w:val="250"/>
        </w:trPr>
        <w:tc>
          <w:tcPr>
            <w:tcW w:w="1280" w:type="dxa"/>
            <w:vAlign w:val="bottom"/>
          </w:tcPr>
          <w:p>
            <w:pPr>
              <w:spacing w:after="0"/>
              <w:rPr>
                <w:sz w:val="21"/>
                <w:szCs w:val="21"/>
                <w:color w:val="auto"/>
              </w:rPr>
            </w:pPr>
          </w:p>
        </w:tc>
        <w:tc>
          <w:tcPr>
            <w:tcW w:w="4060" w:type="dxa"/>
            <w:vAlign w:val="bottom"/>
            <w:gridSpan w:val="2"/>
          </w:tcPr>
          <w:p>
            <w:pPr>
              <w:ind w:left="540"/>
              <w:spacing w:after="0"/>
              <w:rPr>
                <w:sz w:val="20"/>
                <w:szCs w:val="20"/>
                <w:color w:val="auto"/>
              </w:rPr>
            </w:pPr>
            <w:r>
              <w:rPr>
                <w:rFonts w:ascii="Arial" w:cs="Arial" w:eastAsia="Arial" w:hAnsi="Arial"/>
                <w:sz w:val="20"/>
                <w:szCs w:val="20"/>
                <w:color w:val="auto"/>
                <w:w w:val="92"/>
              </w:rPr>
              <w:t>reference for each such Reporting Person.</w:t>
            </w:r>
          </w:p>
        </w:tc>
        <w:tc>
          <w:tcPr>
            <w:tcW w:w="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4060" w:type="dxa"/>
            <w:vAlign w:val="bottom"/>
            <w:gridSpan w:val="2"/>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15"/>
        </w:trPr>
        <w:tc>
          <w:tcPr>
            <w:tcW w:w="1280" w:type="dxa"/>
            <w:vAlign w:val="bottom"/>
          </w:tcPr>
          <w:p>
            <w:pPr>
              <w:spacing w:after="0"/>
              <w:rPr>
                <w:sz w:val="24"/>
                <w:szCs w:val="24"/>
                <w:color w:val="auto"/>
              </w:rPr>
            </w:pPr>
          </w:p>
        </w:tc>
        <w:tc>
          <w:tcPr>
            <w:tcW w:w="6720" w:type="dxa"/>
            <w:vAlign w:val="bottom"/>
            <w:gridSpan w:val="4"/>
          </w:tcPr>
          <w:p>
            <w:pPr>
              <w:ind w:left="440"/>
              <w:spacing w:after="0"/>
              <w:rPr>
                <w:sz w:val="20"/>
                <w:szCs w:val="20"/>
                <w:color w:val="auto"/>
              </w:rPr>
            </w:pPr>
            <w:r>
              <w:rPr>
                <w:rFonts w:ascii="Arial" w:cs="Arial" w:eastAsia="Arial" w:hAnsi="Arial"/>
                <w:sz w:val="20"/>
                <w:szCs w:val="20"/>
                <w:color w:val="auto"/>
              </w:rPr>
              <w:t>Common Stock, $0.001 par value (the "Common Stock")</w:t>
            </w:r>
          </w:p>
        </w:tc>
        <w:tc>
          <w:tcPr>
            <w:tcW w:w="3420" w:type="dxa"/>
            <w:vAlign w:val="bottom"/>
          </w:tcPr>
          <w:p>
            <w:pPr>
              <w:spacing w:after="0"/>
              <w:rPr>
                <w:sz w:val="24"/>
                <w:szCs w:val="24"/>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60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3600" w:type="dxa"/>
            <w:vAlign w:val="bottom"/>
          </w:tcPr>
          <w:p>
            <w:pPr>
              <w:ind w:left="440"/>
              <w:spacing w:after="0"/>
              <w:rPr>
                <w:sz w:val="20"/>
                <w:szCs w:val="20"/>
                <w:color w:val="auto"/>
              </w:rPr>
            </w:pPr>
            <w:r>
              <w:rPr>
                <w:rFonts w:ascii="Arial" w:cs="Arial" w:eastAsia="Arial" w:hAnsi="Arial"/>
                <w:sz w:val="20"/>
                <w:szCs w:val="20"/>
                <w:color w:val="auto"/>
              </w:rPr>
              <w:t>876033309</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4060" w:type="dxa"/>
            <w:vAlign w:val="bottom"/>
            <w:gridSpan w:val="2"/>
          </w:tcPr>
          <w:p>
            <w:pPr>
              <w:ind w:left="440"/>
              <w:spacing w:after="0"/>
              <w:rPr>
                <w:sz w:val="20"/>
                <w:szCs w:val="20"/>
                <w:color w:val="auto"/>
              </w:rPr>
            </w:pPr>
            <w:r>
              <w:rPr>
                <w:rFonts w:ascii="Arial" w:cs="Arial" w:eastAsia="Arial" w:hAnsi="Arial"/>
                <w:sz w:val="20"/>
                <w:szCs w:val="20"/>
                <w:b w:val="1"/>
                <w:bCs w:val="1"/>
                <w:color w:val="auto"/>
              </w:rPr>
              <w:t>THE PERSON FILING IS A:</w:t>
            </w:r>
          </w:p>
        </w:tc>
        <w:tc>
          <w:tcPr>
            <w:tcW w:w="7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20" w:type="dxa"/>
            <w:vAlign w:val="bottom"/>
          </w:tcPr>
          <w:p>
            <w:pPr>
              <w:spacing w:after="0"/>
              <w:rPr>
                <w:sz w:val="22"/>
                <w:szCs w:val="22"/>
                <w:color w:val="auto"/>
              </w:rPr>
            </w:pPr>
          </w:p>
        </w:tc>
      </w:tr>
    </w:tbl>
    <w:p>
      <w:pPr>
        <w:spacing w:after="0" w:line="185" w:lineRule="exact"/>
        <w:rPr>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registered under Section 203 of the Investment Advisers Act of 1940,</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29" w:lineRule="exact"/>
        <w:rPr>
          <w:rFonts w:ascii="Arial" w:cs="Arial" w:eastAsia="Arial" w:hAnsi="Arial"/>
          <w:sz w:val="20"/>
          <w:szCs w:val="20"/>
          <w:color w:val="auto"/>
        </w:rPr>
      </w:pPr>
    </w:p>
    <w:p>
      <w:pPr>
        <w:ind w:left="3080" w:right="320" w:hanging="1260"/>
        <w:spacing w:after="0" w:line="252" w:lineRule="exact"/>
        <w:tabs>
          <w:tab w:leader="none" w:pos="2612"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of 1940,</w:t>
      </w:r>
    </w:p>
    <w:p>
      <w:pPr>
        <w:spacing w:after="0" w:line="173"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right="2520"/>
        <w:spacing w:after="0" w:line="37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_______________________________________________ </w:t>
      </w:r>
      <w:r>
        <w:rPr>
          <w:rFonts w:ascii="Arial" w:cs="Arial" w:eastAsia="Arial" w:hAnsi="Arial"/>
          <w:sz w:val="20"/>
          <w:szCs w:val="20"/>
          <w:b w:val="1"/>
          <w:bCs w:val="1"/>
          <w:color w:val="auto"/>
        </w:rPr>
        <w:t>OWNERSHIP</w:t>
      </w:r>
      <w:r>
        <w:rPr>
          <w:rFonts w:ascii="Arial" w:cs="Arial" w:eastAsia="Arial" w:hAnsi="Arial"/>
          <w:sz w:val="20"/>
          <w:szCs w:val="20"/>
          <w:color w:val="auto"/>
        </w:rPr>
        <w:t>.</w:t>
      </w:r>
    </w:p>
    <w:p>
      <w:pPr>
        <w:sectPr>
          <w:pgSz w:w="11900" w:h="16838" w:orient="portrait"/>
          <w:cols w:equalWidth="0" w:num="2">
            <w:col w:w="1100" w:space="720"/>
            <w:col w:w="9600"/>
          </w:cols>
          <w:pgMar w:left="240" w:top="220" w:right="239" w:bottom="1440" w:gutter="0" w:footer="0" w:header="0"/>
          <w:type w:val="continuous"/>
        </w:sectPr>
      </w:pPr>
    </w:p>
    <w:bookmarkStart w:id="7" w:name="page8"/>
    <w:bookmarkEnd w:id="7"/>
    <w:p>
      <w:pPr>
        <w:spacing w:after="0"/>
        <w:tabs>
          <w:tab w:leader="none" w:pos="5500" w:val="left"/>
          <w:tab w:leader="none" w:pos="9720" w:val="left"/>
        </w:tabs>
        <w:rPr>
          <w:sz w:val="20"/>
          <w:szCs w:val="20"/>
          <w:color w:val="auto"/>
        </w:rPr>
      </w:pPr>
      <w:r>
        <w:rPr>
          <w:rFonts w:ascii="Arial" w:cs="Arial" w:eastAsia="Arial" w:hAnsi="Arial"/>
          <w:sz w:val="22"/>
          <w:szCs w:val="22"/>
          <w:b w:val="1"/>
          <w:bCs w:val="1"/>
          <w:color w:val="auto"/>
        </w:rPr>
        <w:t>CUSIP No. 876033309</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8 of 11 Pages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720" w:right="160"/>
        <w:spacing w:after="0" w:line="243" w:lineRule="auto"/>
        <w:rPr>
          <w:sz w:val="20"/>
          <w:szCs w:val="20"/>
          <w:color w:val="auto"/>
        </w:rPr>
      </w:pPr>
      <w:r>
        <w:rPr>
          <w:rFonts w:ascii="Arial" w:cs="Arial" w:eastAsia="Arial" w:hAnsi="Arial"/>
          <w:sz w:val="20"/>
          <w:szCs w:val="20"/>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27,638,815 shares of Common Stock issued and outstanding as of January 12, 2015, as represented in Exhibit 10.1 attached to the Company's Current Report on Form 8-K filed with the Securities and Exchange Commission on January 12, 2015 and assumes the exercise of the reported warrants (the "</w:t>
      </w:r>
      <w:r>
        <w:rPr>
          <w:rFonts w:ascii="Arial" w:cs="Arial" w:eastAsia="Arial" w:hAnsi="Arial"/>
          <w:sz w:val="20"/>
          <w:szCs w:val="20"/>
          <w:u w:val="single" w:color="auto"/>
          <w:color w:val="auto"/>
        </w:rPr>
        <w:t>Reported Warrants</w:t>
      </w:r>
      <w:r>
        <w:rPr>
          <w:rFonts w:ascii="Arial" w:cs="Arial" w:eastAsia="Arial" w:hAnsi="Arial"/>
          <w:sz w:val="20"/>
          <w:szCs w:val="20"/>
          <w:color w:val="auto"/>
        </w:rPr>
        <w:t>") subject to the applicable Blockers (as defined below).</w:t>
      </w:r>
    </w:p>
    <w:p>
      <w:pPr>
        <w:spacing w:after="0" w:line="207" w:lineRule="exact"/>
        <w:rPr>
          <w:sz w:val="20"/>
          <w:szCs w:val="20"/>
          <w:color w:val="auto"/>
        </w:rPr>
      </w:pPr>
    </w:p>
    <w:p>
      <w:pPr>
        <w:ind w:left="1720" w:right="120"/>
        <w:spacing w:after="0" w:line="257" w:lineRule="auto"/>
        <w:rPr>
          <w:sz w:val="20"/>
          <w:szCs w:val="20"/>
          <w:color w:val="auto"/>
        </w:rPr>
      </w:pPr>
      <w:r>
        <w:rPr>
          <w:rFonts w:ascii="Arial" w:cs="Arial" w:eastAsia="Arial" w:hAnsi="Arial"/>
          <w:sz w:val="19"/>
          <w:szCs w:val="19"/>
          <w:color w:val="auto"/>
        </w:rPr>
        <w:t>Pursuant to the terms of the Reported Warrants, the Reporting Persons cannot exercise (i) any of the Reported Warrants that are Series A, Series D or Series E Warrants if the Reporting Persons would beneficially own, after any such exercise, more than 4.9% of the outstanding shares of Common Stock or (ii) any of the Reported Warrants that are Series B or Series C Warrants if the Reporting Persons would beneficially own, after any such exercise, more than 9.9% of the outstanding shares of Common Stock (the applicable "</w:t>
      </w:r>
      <w:r>
        <w:rPr>
          <w:rFonts w:ascii="Arial" w:cs="Arial" w:eastAsia="Arial" w:hAnsi="Arial"/>
          <w:sz w:val="19"/>
          <w:szCs w:val="19"/>
          <w:u w:val="single" w:color="auto"/>
          <w:color w:val="auto"/>
        </w:rPr>
        <w:t>Blockers</w:t>
      </w:r>
      <w:r>
        <w:rPr>
          <w:rFonts w:ascii="Arial" w:cs="Arial" w:eastAsia="Arial" w:hAnsi="Arial"/>
          <w:sz w:val="19"/>
          <w:szCs w:val="19"/>
          <w:color w:val="auto"/>
        </w:rPr>
        <w:t>"),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195" w:lineRule="exact"/>
        <w:rPr>
          <w:sz w:val="20"/>
          <w:szCs w:val="20"/>
          <w:color w:val="auto"/>
        </w:rPr>
      </w:pPr>
    </w:p>
    <w:p>
      <w:pPr>
        <w:ind w:left="1720" w:right="240"/>
        <w:spacing w:after="0" w:line="311" w:lineRule="auto"/>
        <w:rPr>
          <w:sz w:val="20"/>
          <w:szCs w:val="20"/>
          <w:color w:val="auto"/>
        </w:rPr>
      </w:pPr>
      <w:r>
        <w:rPr>
          <w:rFonts w:ascii="Arial" w:cs="Arial" w:eastAsia="Arial" w:hAnsi="Arial"/>
          <w:sz w:val="16"/>
          <w:szCs w:val="16"/>
          <w:color w:val="auto"/>
        </w:rPr>
        <w:t>The Investment Manager, which serves as the investment manager to the Empery Funds, may be deemed to be the beneficial owner of all shares of Common Stock held by, and underlying the Reported Warrants (subject to the applicable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applicable Blockers) held by, the Empery Funds.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w:t>
      </w:r>
    </w:p>
    <w:p>
      <w:pPr>
        <w:spacing w:after="0" w:line="38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720" w:hanging="1617"/>
        <w:spacing w:after="0" w:line="251" w:lineRule="auto"/>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0" w:right="239" w:bottom="1440" w:gutter="0" w:footer="0" w:header="0"/>
          <w:type w:val="continuous"/>
        </w:sectPr>
      </w:pPr>
    </w:p>
    <w:bookmarkStart w:id="8" w:name="page9"/>
    <w:bookmarkEnd w:id="8"/>
    <w:p>
      <w:pPr>
        <w:spacing w:after="0"/>
        <w:tabs>
          <w:tab w:leader="none" w:pos="5500" w:val="left"/>
          <w:tab w:leader="none" w:pos="9720" w:val="left"/>
        </w:tabs>
        <w:rPr>
          <w:sz w:val="20"/>
          <w:szCs w:val="20"/>
          <w:color w:val="auto"/>
        </w:rPr>
      </w:pPr>
      <w:r>
        <w:rPr>
          <w:rFonts w:ascii="Arial" w:cs="Arial" w:eastAsia="Arial" w:hAnsi="Arial"/>
          <w:sz w:val="22"/>
          <w:szCs w:val="22"/>
          <w:b w:val="1"/>
          <w:bCs w:val="1"/>
          <w:color w:val="auto"/>
        </w:rPr>
        <w:t>CUSIP No. 876033309</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9 of 11 Pages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200"/>
        <w:spacing w:after="0" w:line="246" w:lineRule="auto"/>
        <w:rPr>
          <w:sz w:val="20"/>
          <w:szCs w:val="20"/>
          <w:color w:val="auto"/>
        </w:rPr>
      </w:pPr>
      <w:r>
        <w:rPr>
          <w:rFonts w:ascii="Arial" w:cs="Arial" w:eastAsia="Arial" w:hAnsi="Arial"/>
          <w:sz w:val="20"/>
          <w:szCs w:val="20"/>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0" w:right="239" w:bottom="1440" w:gutter="0" w:footer="0" w:header="0"/>
          <w:type w:val="continuous"/>
        </w:sectPr>
      </w:pPr>
    </w:p>
    <w:bookmarkStart w:id="9" w:name="page10"/>
    <w:bookmarkEnd w:id="9"/>
    <w:p>
      <w:pPr>
        <w:spacing w:after="0"/>
        <w:tabs>
          <w:tab w:leader="none" w:pos="5500" w:val="left"/>
          <w:tab w:leader="none" w:pos="9620" w:val="left"/>
        </w:tabs>
        <w:rPr>
          <w:sz w:val="20"/>
          <w:szCs w:val="20"/>
          <w:color w:val="auto"/>
        </w:rPr>
      </w:pPr>
      <w:r>
        <w:rPr>
          <w:rFonts w:ascii="Arial" w:cs="Arial" w:eastAsia="Arial" w:hAnsi="Arial"/>
          <w:sz w:val="22"/>
          <w:szCs w:val="22"/>
          <w:b w:val="1"/>
          <w:bCs w:val="1"/>
          <w:color w:val="auto"/>
        </w:rPr>
        <w:t>CUSIP No. 876033309</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10 of 11 Pages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12, 2015</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TAX EFFICIENT II,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ASSET MANAGEMENT, LP, its Authorized Agent</w:t>
      </w:r>
    </w:p>
    <w:p>
      <w:pPr>
        <w:spacing w:after="0" w:line="21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p>
      <w:pPr>
        <w:sectPr>
          <w:pgSz w:w="11900" w:h="16838" w:orient="portrait"/>
          <w:cols w:equalWidth="0" w:num="1">
            <w:col w:w="11420"/>
          </w:cols>
          <w:pgMar w:left="240" w:top="220" w:right="239" w:bottom="1440" w:gutter="0" w:footer="0" w:header="0"/>
        </w:sectPr>
      </w:pPr>
    </w:p>
    <w:bookmarkStart w:id="10" w:name="page11"/>
    <w:bookmarkEnd w:id="10"/>
    <w:p>
      <w:pPr>
        <w:spacing w:after="0"/>
        <w:tabs>
          <w:tab w:leader="none" w:pos="5500" w:val="left"/>
          <w:tab w:leader="none" w:pos="9620" w:val="left"/>
        </w:tabs>
        <w:rPr>
          <w:sz w:val="20"/>
          <w:szCs w:val="20"/>
          <w:color w:val="auto"/>
        </w:rPr>
      </w:pPr>
      <w:r>
        <w:rPr>
          <w:rFonts w:ascii="Arial" w:cs="Arial" w:eastAsia="Arial" w:hAnsi="Arial"/>
          <w:sz w:val="22"/>
          <w:szCs w:val="22"/>
          <w:b w:val="1"/>
          <w:bCs w:val="1"/>
          <w:color w:val="auto"/>
        </w:rPr>
        <w:t>CUSIP No. 876033309</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11 of 11 Pages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12, 2015</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TAX EFFICIENT II,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ASSET MANAGEMENT, LP, its Authorized Agent</w:t>
      </w:r>
    </w:p>
    <w:p>
      <w:pPr>
        <w:spacing w:after="0" w:line="21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9"/>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9"/>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2020-01-22T04:46:37Z</dcterms:created>
  <dcterms:modified xsi:type="dcterms:W3CDTF">2020-01-22T04:46:37Z</dcterms:modified>
</cp:coreProperties>
</file>