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4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3742690</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380" w:space="340"/>
            <w:col w:w="5159"/>
          </w:cols>
          <w:pgMar w:left="580" w:top="205" w:right="1440" w:bottom="1440" w:gutter="0" w:footer="0" w:header="0"/>
          <w:type w:val="continuous"/>
        </w:sectPr>
      </w:pP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225"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1940" w:hanging="680"/>
        <w:spacing w:after="0"/>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1940" w:right="419" w:hanging="680"/>
        <w:spacing w:after="0" w:line="249" w:lineRule="auto"/>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509905</wp:posOffset>
            </wp:positionV>
            <wp:extent cx="257175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9350 Kirby Drive, Suite 300</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Houston, TX 77054</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June 6, 2024</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0"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Delaware corporation (the “Company”). The meeting will be held on Thursday, June 6, 2024 at 9:00 a.m. Central Time and will be a virtual stockholder meeting through which you can listen to the meeting, submit questions and vote online. You must register for the virtual meeting via </w:t>
      </w:r>
      <w:r>
        <w:rPr>
          <w:rFonts w:ascii="Times New Roman" w:cs="Times New Roman" w:eastAsia="Times New Roman" w:hAnsi="Times New Roman"/>
          <w:sz w:val="18"/>
          <w:szCs w:val="18"/>
          <w:i w:val="1"/>
          <w:iCs w:val="1"/>
          <w:color w:val="auto"/>
        </w:rPr>
        <w:t xml:space="preserve">http://viewproxy.com/markertherapeutics/2024/htype.asp </w:t>
      </w:r>
      <w:r>
        <w:rPr>
          <w:rFonts w:ascii="Times New Roman" w:cs="Times New Roman" w:eastAsia="Times New Roman" w:hAnsi="Times New Roman"/>
          <w:sz w:val="18"/>
          <w:szCs w:val="18"/>
          <w:color w:val="auto"/>
        </w:rPr>
        <w:t>no later than 11:59 p.m. Eastern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Wednesday, June 5, 2024. The meeting will be held for the following purposes:</w:t>
      </w:r>
    </w:p>
    <w:p>
      <w:pPr>
        <w:spacing w:after="0" w:line="117" w:lineRule="exact"/>
        <w:rPr>
          <w:sz w:val="20"/>
          <w:szCs w:val="20"/>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five nominees for director to hold office until the next Annual Meeting of Stockholders.</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80"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Marcum LLP as the independent registered public accounting firm of the Company for its fiscal year ending December 31, 2024.</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4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10, 2024. Only stockholders of record at the close of business on that date may vote at the meeting or any adjournment thereof.</w:t>
      </w:r>
    </w:p>
    <w:p>
      <w:pPr>
        <w:spacing w:after="0" w:line="133" w:lineRule="exact"/>
        <w:rPr>
          <w:sz w:val="20"/>
          <w:szCs w:val="20"/>
          <w:color w:val="auto"/>
        </w:rPr>
      </w:pPr>
    </w:p>
    <w:tbl>
      <w:tblPr>
        <w:tblLayout w:type="fixed"/>
        <w:tblInd w:w="1270" w:type="dxa"/>
        <w:tblCellMar>
          <w:top w:w="0" w:type="dxa"/>
          <w:left w:w="0" w:type="dxa"/>
          <w:bottom w:w="0" w:type="dxa"/>
          <w:right w:w="0" w:type="dxa"/>
        </w:tblCellMar>
      </w:tblPr>
      <w:tr>
        <w:trPr>
          <w:trHeight w:val="275"/>
        </w:trPr>
        <w:tc>
          <w:tcPr>
            <w:tcW w:w="7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Important Notice Regarding the Availability of Proxy Materials</w:t>
            </w:r>
          </w:p>
        </w:tc>
        <w:tc>
          <w:tcPr>
            <w:tcW w:w="78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60" w:type="dxa"/>
            <w:vAlign w:val="bottom"/>
            <w:tcBorders>
              <w:left w:val="single" w:sz="8" w:color="auto"/>
            </w:tcBorders>
          </w:tcPr>
          <w:p>
            <w:pPr>
              <w:spacing w:after="0"/>
              <w:rPr>
                <w:sz w:val="18"/>
                <w:szCs w:val="18"/>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for the Virtual Annual Meeting of Stockholders</w:t>
            </w:r>
          </w:p>
        </w:tc>
        <w:tc>
          <w:tcPr>
            <w:tcW w:w="780" w:type="dxa"/>
            <w:vAlign w:val="bottom"/>
            <w:tcBorders>
              <w:right w:val="single" w:sz="8" w:color="auto"/>
            </w:tcBorders>
          </w:tcPr>
          <w:p>
            <w:pPr>
              <w:spacing w:after="0"/>
              <w:rPr>
                <w:sz w:val="18"/>
                <w:szCs w:val="18"/>
                <w:color w:val="auto"/>
              </w:rPr>
            </w:pPr>
          </w:p>
        </w:tc>
      </w:tr>
      <w:tr>
        <w:trPr>
          <w:trHeight w:val="238"/>
        </w:trPr>
        <w:tc>
          <w:tcPr>
            <w:tcW w:w="760" w:type="dxa"/>
            <w:vAlign w:val="bottom"/>
            <w:tcBorders>
              <w:left w:val="single" w:sz="8" w:color="auto"/>
            </w:tcBorders>
          </w:tcPr>
          <w:p>
            <w:pPr>
              <w:spacing w:after="0"/>
              <w:rPr>
                <w:sz w:val="20"/>
                <w:szCs w:val="20"/>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 Be Held on Thursday, June 6, 2024 at 9:00 a.m. Central Time.</w:t>
            </w:r>
          </w:p>
        </w:tc>
        <w:tc>
          <w:tcPr>
            <w:tcW w:w="780" w:type="dxa"/>
            <w:vAlign w:val="bottom"/>
            <w:tcBorders>
              <w:right w:val="single" w:sz="8" w:color="auto"/>
            </w:tcBorders>
          </w:tcPr>
          <w:p>
            <w:pPr>
              <w:spacing w:after="0"/>
              <w:rPr>
                <w:sz w:val="20"/>
                <w:szCs w:val="20"/>
                <w:color w:val="auto"/>
              </w:rPr>
            </w:pPr>
          </w:p>
        </w:tc>
      </w:tr>
      <w:tr>
        <w:trPr>
          <w:trHeight w:val="302"/>
        </w:trPr>
        <w:tc>
          <w:tcPr>
            <w:tcW w:w="760" w:type="dxa"/>
            <w:vAlign w:val="bottom"/>
            <w:tcBorders>
              <w:left w:val="single" w:sz="8" w:color="auto"/>
            </w:tcBorders>
          </w:tcPr>
          <w:p>
            <w:pPr>
              <w:spacing w:after="0"/>
              <w:rPr>
                <w:sz w:val="24"/>
                <w:szCs w:val="24"/>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Register for the virtual Annual Meeting</w:t>
            </w:r>
          </w:p>
        </w:tc>
        <w:tc>
          <w:tcPr>
            <w:tcW w:w="780" w:type="dxa"/>
            <w:vAlign w:val="bottom"/>
            <w:tcBorders>
              <w:right w:val="single" w:sz="8" w:color="auto"/>
            </w:tcBorders>
          </w:tcPr>
          <w:p>
            <w:pPr>
              <w:spacing w:after="0"/>
              <w:rPr>
                <w:sz w:val="24"/>
                <w:szCs w:val="24"/>
                <w:color w:val="auto"/>
              </w:rPr>
            </w:pPr>
          </w:p>
        </w:tc>
      </w:tr>
      <w:tr>
        <w:trPr>
          <w:trHeight w:val="238"/>
        </w:trPr>
        <w:tc>
          <w:tcPr>
            <w:tcW w:w="760" w:type="dxa"/>
            <w:vAlign w:val="bottom"/>
            <w:tcBorders>
              <w:left w:val="single" w:sz="8" w:color="auto"/>
            </w:tcBorders>
          </w:tcPr>
          <w:p>
            <w:pPr>
              <w:spacing w:after="0"/>
              <w:rPr>
                <w:sz w:val="20"/>
                <w:szCs w:val="20"/>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xml:space="preserve">via </w:t>
            </w:r>
            <w:r>
              <w:rPr>
                <w:rFonts w:ascii="Times New Roman" w:cs="Times New Roman" w:eastAsia="Times New Roman" w:hAnsi="Times New Roman"/>
                <w:sz w:val="18"/>
                <w:szCs w:val="18"/>
                <w:b w:val="1"/>
                <w:bCs w:val="1"/>
                <w:i w:val="1"/>
                <w:iCs w:val="1"/>
                <w:color w:val="auto"/>
                <w:w w:val="95"/>
              </w:rPr>
              <w:t>http://viewproxy.com/markertherapeutics/2024/htype.asp</w:t>
            </w:r>
            <w:r>
              <w:rPr>
                <w:rFonts w:ascii="Times New Roman" w:cs="Times New Roman" w:eastAsia="Times New Roman" w:hAnsi="Times New Roman"/>
                <w:sz w:val="18"/>
                <w:szCs w:val="18"/>
                <w:b w:val="1"/>
                <w:bCs w:val="1"/>
                <w:color w:val="auto"/>
                <w:w w:val="95"/>
              </w:rPr>
              <w:t>.</w:t>
            </w:r>
          </w:p>
        </w:tc>
        <w:tc>
          <w:tcPr>
            <w:tcW w:w="780" w:type="dxa"/>
            <w:vAlign w:val="bottom"/>
            <w:tcBorders>
              <w:right w:val="single" w:sz="8" w:color="auto"/>
            </w:tcBorders>
          </w:tcPr>
          <w:p>
            <w:pPr>
              <w:spacing w:after="0"/>
              <w:rPr>
                <w:sz w:val="20"/>
                <w:szCs w:val="20"/>
                <w:color w:val="auto"/>
              </w:rPr>
            </w:pPr>
          </w:p>
        </w:tc>
      </w:tr>
      <w:tr>
        <w:trPr>
          <w:trHeight w:val="304"/>
        </w:trPr>
        <w:tc>
          <w:tcPr>
            <w:tcW w:w="760" w:type="dxa"/>
            <w:vAlign w:val="bottom"/>
            <w:tcBorders>
              <w:left w:val="single" w:sz="8" w:color="auto"/>
            </w:tcBorders>
          </w:tcPr>
          <w:p>
            <w:pPr>
              <w:spacing w:after="0"/>
              <w:rPr>
                <w:sz w:val="24"/>
                <w:szCs w:val="24"/>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w:t>
            </w:r>
          </w:p>
        </w:tc>
        <w:tc>
          <w:tcPr>
            <w:tcW w:w="780" w:type="dxa"/>
            <w:vAlign w:val="bottom"/>
            <w:tcBorders>
              <w:right w:val="single" w:sz="8" w:color="auto"/>
            </w:tcBorders>
          </w:tcPr>
          <w:p>
            <w:pPr>
              <w:spacing w:after="0"/>
              <w:rPr>
                <w:sz w:val="24"/>
                <w:szCs w:val="24"/>
                <w:color w:val="auto"/>
              </w:rPr>
            </w:pPr>
          </w:p>
        </w:tc>
      </w:tr>
      <w:tr>
        <w:trPr>
          <w:trHeight w:val="236"/>
        </w:trPr>
        <w:tc>
          <w:tcPr>
            <w:tcW w:w="760" w:type="dxa"/>
            <w:vAlign w:val="bottom"/>
            <w:tcBorders>
              <w:left w:val="single" w:sz="8" w:color="auto"/>
            </w:tcBorders>
          </w:tcPr>
          <w:p>
            <w:pPr>
              <w:spacing w:after="0"/>
              <w:rPr>
                <w:sz w:val="20"/>
                <w:szCs w:val="20"/>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http://www.viewproxy.com/markertherapeutics/2024.</w:t>
            </w:r>
          </w:p>
        </w:tc>
        <w:tc>
          <w:tcPr>
            <w:tcW w:w="780" w:type="dxa"/>
            <w:vAlign w:val="bottom"/>
            <w:tcBorders>
              <w:right w:val="single" w:sz="8" w:color="auto"/>
            </w:tcBorders>
          </w:tcPr>
          <w:p>
            <w:pPr>
              <w:spacing w:after="0"/>
              <w:rPr>
                <w:sz w:val="20"/>
                <w:szCs w:val="20"/>
                <w:color w:val="auto"/>
              </w:rPr>
            </w:pPr>
          </w:p>
        </w:tc>
      </w:tr>
      <w:tr>
        <w:trPr>
          <w:trHeight w:val="68"/>
        </w:trPr>
        <w:tc>
          <w:tcPr>
            <w:tcW w:w="760" w:type="dxa"/>
            <w:vAlign w:val="bottom"/>
            <w:tcBorders>
              <w:left w:val="single" w:sz="8" w:color="auto"/>
              <w:bottom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r>
    </w:tbl>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1371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Secretary</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601980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360" w:right="479" w:hanging="93"/>
        <w:spacing w:after="0" w:line="235" w:lineRule="auto"/>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You are cordially invited to attend the virtual Annual Meeting. You will not be able to attend the Annual</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-1144905</wp:posOffset>
            </wp:positionV>
            <wp:extent cx="5212080" cy="120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2001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6994525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80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29"/>
        </w:trPr>
        <w:tc>
          <w:tcPr>
            <w:tcW w:w="20" w:type="dxa"/>
            <w:vAlign w:val="bottom"/>
          </w:tcPr>
          <w:p>
            <w:pPr>
              <w:spacing w:after="0"/>
              <w:rPr>
                <w:sz w:val="19"/>
                <w:szCs w:val="19"/>
                <w:color w:val="auto"/>
              </w:rPr>
            </w:pPr>
          </w:p>
        </w:tc>
        <w:tc>
          <w:tcPr>
            <w:tcW w:w="66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3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shd w:val="clear" w:color="auto" w:fill="CCEEFF"/>
              </w:rPr>
              <w:t xml:space="preserve">INFORMATION REGARDING THE BOARD OF DIRECTORS AND CORPORATE GOVERNANCE </w:t>
            </w:r>
            <w:r>
              <w:rPr>
                <w:rFonts w:ascii="Times New Roman" w:cs="Times New Roman" w:eastAsia="Times New Roman" w:hAnsi="Times New Roman"/>
                <w:sz w:val="18"/>
                <w:szCs w:val="18"/>
                <w:color w:val="000000"/>
                <w:shd w:val="clear" w:color="auto" w:fill="CCEEFF"/>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shd w:val="clear" w:color="auto" w:fill="CCEEFF"/>
              </w:rPr>
              <w:t>10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7"/>
        </w:trPr>
        <w:tc>
          <w:tcPr>
            <w:tcW w:w="20" w:type="dxa"/>
            <w:vAlign w:val="bottom"/>
          </w:tcPr>
          <w:p>
            <w:pPr>
              <w:spacing w:after="0"/>
              <w:rPr>
                <w:sz w:val="24"/>
                <w:szCs w:val="24"/>
                <w:color w:val="auto"/>
              </w:rPr>
            </w:pPr>
          </w:p>
        </w:tc>
        <w:tc>
          <w:tcPr>
            <w:tcW w:w="55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PROPOSAL 2 ADVISORY VOTE ON EXECUTIVE COMPENSATION</w:t>
            </w:r>
          </w:p>
        </w:tc>
        <w:tc>
          <w:tcPr>
            <w:tcW w:w="320" w:type="dxa"/>
            <w:vAlign w:val="bottom"/>
            <w:tcBorders>
              <w:top w:val="single" w:sz="8" w:color="0000EE"/>
              <w:bottom w:val="single" w:sz="8" w:color="0000EE"/>
            </w:tcBorders>
          </w:tcPr>
          <w:p>
            <w:pPr>
              <w:spacing w:after="0"/>
              <w:rPr>
                <w:sz w:val="24"/>
                <w:szCs w:val="24"/>
                <w:color w:val="auto"/>
              </w:rPr>
            </w:pPr>
          </w:p>
        </w:tc>
        <w:tc>
          <w:tcPr>
            <w:tcW w:w="1120" w:type="dxa"/>
            <w:vAlign w:val="bottom"/>
            <w:tcBorders>
              <w:top w:val="single" w:sz="8" w:color="0000EE"/>
              <w:bottom w:val="single" w:sz="8" w:color="0000EE"/>
            </w:tcBorders>
            <w:gridSpan w:val="2"/>
          </w:tcPr>
          <w:p>
            <w:pPr>
              <w:spacing w:after="0"/>
              <w:rPr>
                <w:sz w:val="24"/>
                <w:szCs w:val="24"/>
                <w:color w:val="auto"/>
              </w:rPr>
            </w:pPr>
          </w:p>
        </w:tc>
        <w:tc>
          <w:tcPr>
            <w:tcW w:w="300" w:type="dxa"/>
            <w:vAlign w:val="bottom"/>
            <w:tcBorders>
              <w:top w:val="single" w:sz="8" w:color="0000EE"/>
              <w:bottom w:val="single" w:sz="8" w:color="0000EE"/>
            </w:tcBorders>
          </w:tcPr>
          <w:p>
            <w:pPr>
              <w:spacing w:after="0"/>
              <w:rPr>
                <w:sz w:val="24"/>
                <w:szCs w:val="24"/>
                <w:color w:val="auto"/>
              </w:rPr>
            </w:pPr>
          </w:p>
        </w:tc>
        <w:tc>
          <w:tcPr>
            <w:tcW w:w="540" w:type="dxa"/>
            <w:vAlign w:val="bottom"/>
            <w:tcBorders>
              <w:top w:val="single" w:sz="8" w:color="0000EE"/>
              <w:bottom w:val="single" w:sz="8" w:color="0000EE"/>
            </w:tcBorders>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PROPOSAL 3 RATIFICATION OF SELECTION OF INDEPENDENT REGISTERED PUBLIC</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080" w:type="dxa"/>
            <w:vAlign w:val="bottom"/>
            <w:tcBorders>
              <w:top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EE"/>
              </w:rPr>
              <w:t>ACCOUNTING FIRM</w:t>
            </w:r>
          </w:p>
        </w:tc>
        <w:tc>
          <w:tcPr>
            <w:tcW w:w="540" w:type="dxa"/>
            <w:vAlign w:val="bottom"/>
          </w:tcPr>
          <w:p>
            <w:pPr>
              <w:spacing w:after="0"/>
              <w:rPr>
                <w:sz w:val="17"/>
                <w:szCs w:val="17"/>
                <w:color w:val="auto"/>
              </w:rPr>
            </w:pPr>
          </w:p>
        </w:tc>
        <w:tc>
          <w:tcPr>
            <w:tcW w:w="14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EE"/>
              </w:rPr>
              <w:t>17</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840" w:type="dxa"/>
            <w:vAlign w:val="bottom"/>
            <w:gridSpan w:val="2"/>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69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40" w:type="dxa"/>
            <w:vAlign w:val="bottom"/>
            <w:gridSpan w:val="2"/>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20" w:type="dxa"/>
            <w:vAlign w:val="bottom"/>
          </w:tcPr>
          <w:p>
            <w:pPr>
              <w:spacing w:after="0"/>
              <w:rPr>
                <w:sz w:val="22"/>
                <w:szCs w:val="22"/>
                <w:color w:val="auto"/>
              </w:rPr>
            </w:pPr>
          </w:p>
        </w:tc>
        <w:tc>
          <w:tcPr>
            <w:tcW w:w="3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160" w:type="dxa"/>
            <w:vAlign w:val="bottom"/>
            <w:gridSpan w:val="2"/>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gridSpan w:val="2"/>
          </w:tcPr>
          <w:p>
            <w:pPr>
              <w:spacing w:after="0"/>
              <w:rPr>
                <w:sz w:val="22"/>
                <w:szCs w:val="22"/>
                <w:color w:val="auto"/>
              </w:rPr>
            </w:pPr>
          </w:p>
        </w:tc>
        <w:tc>
          <w:tcPr>
            <w:tcW w:w="1960" w:type="dxa"/>
            <w:vAlign w:val="bottom"/>
            <w:gridSpan w:val="4"/>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4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EXECUTIVE COMPENSATION AND KEY EMPLOYEES</w:t>
            </w:r>
          </w:p>
        </w:tc>
        <w:tc>
          <w:tcPr>
            <w:tcW w:w="1300" w:type="dxa"/>
            <w:vAlign w:val="bottom"/>
            <w:gridSpan w:val="2"/>
          </w:tcPr>
          <w:p>
            <w:pPr>
              <w:spacing w:after="0"/>
              <w:rPr>
                <w:sz w:val="22"/>
                <w:szCs w:val="22"/>
                <w:color w:val="auto"/>
              </w:rPr>
            </w:pPr>
          </w:p>
        </w:tc>
        <w:tc>
          <w:tcPr>
            <w:tcW w:w="1960" w:type="dxa"/>
            <w:vAlign w:val="bottom"/>
            <w:gridSpan w:val="4"/>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2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1120" w:type="dxa"/>
            <w:vAlign w:val="bottom"/>
            <w:gridSpan w:val="3"/>
          </w:tcPr>
          <w:p>
            <w:pPr>
              <w:spacing w:after="0"/>
              <w:rPr>
                <w:sz w:val="22"/>
                <w:szCs w:val="22"/>
                <w:color w:val="auto"/>
              </w:rPr>
            </w:pPr>
          </w:p>
        </w:tc>
        <w:tc>
          <w:tcPr>
            <w:tcW w:w="2320" w:type="dxa"/>
            <w:vAlign w:val="bottom"/>
            <w:gridSpan w:val="3"/>
          </w:tcPr>
          <w:p>
            <w:pPr>
              <w:spacing w:after="0"/>
              <w:rPr>
                <w:sz w:val="22"/>
                <w:szCs w:val="22"/>
                <w:color w:val="auto"/>
              </w:rPr>
            </w:pPr>
          </w:p>
        </w:tc>
        <w:tc>
          <w:tcPr>
            <w:tcW w:w="1960" w:type="dxa"/>
            <w:vAlign w:val="bottom"/>
            <w:gridSpan w:val="4"/>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5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TRANSACTIONS WITH RELATED PERSONS AND INDEMNIFICATION</w:t>
            </w:r>
          </w:p>
        </w:tc>
        <w:tc>
          <w:tcPr>
            <w:tcW w:w="1960" w:type="dxa"/>
            <w:vAlign w:val="bottom"/>
            <w:gridSpan w:val="4"/>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3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4280" w:type="dxa"/>
            <w:vAlign w:val="bottom"/>
            <w:gridSpan w:val="7"/>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1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OTHER MATTERS</w:t>
            </w:r>
          </w:p>
        </w:tc>
        <w:tc>
          <w:tcPr>
            <w:tcW w:w="6280" w:type="dxa"/>
            <w:vAlign w:val="bottom"/>
            <w:gridSpan w:val="13"/>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-2451100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-1739900</wp:posOffset>
            </wp:positionV>
            <wp:extent cx="5212080"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3175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-1242695</wp:posOffset>
            </wp:positionV>
            <wp:extent cx="521208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-882650</wp:posOffset>
            </wp:positionV>
            <wp:extent cx="521208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9350 Kirby Drive, Suite 300</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TX 77054</w:t>
      </w: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JUNE 6, 2024</w:t>
      </w:r>
    </w:p>
    <w:p>
      <w:pPr>
        <w:spacing w:after="0" w:line="18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Marker Therapeutics, Inc. (sometimes referred to as the “Company” or “Marker”) is soliciting your proxy to vote at the 2024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intend to mail these proxy materials on or about April 26, 2024 to all stockholders of record entitled to vote at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The Annual Meeting will be a virtual stockholder meeting through which you can listen to the meeting, submit questions and vote online. In order to attend the Annual Meeting, you must first register at </w:t>
      </w:r>
      <w:r>
        <w:rPr>
          <w:rFonts w:ascii="Times New Roman" w:cs="Times New Roman" w:eastAsia="Times New Roman" w:hAnsi="Times New Roman"/>
          <w:sz w:val="18"/>
          <w:szCs w:val="18"/>
          <w:i w:val="1"/>
          <w:iCs w:val="1"/>
          <w:color w:val="auto"/>
        </w:rPr>
        <w:t>http://viewproxy.com/markertherapeutics/2024/htype.asp</w:t>
      </w:r>
      <w:r>
        <w:rPr>
          <w:rFonts w:ascii="Times New Roman" w:cs="Times New Roman" w:eastAsia="Times New Roman" w:hAnsi="Times New Roman"/>
          <w:sz w:val="18"/>
          <w:szCs w:val="18"/>
          <w:color w:val="auto"/>
        </w:rPr>
        <w:t xml:space="preserve"> by 11:59 p.m. Eastern Time on Wednesday, June 5, 2024. Please follow the instructions on the registration page. You will then receive a meeting invitation by email with your unique link to join the Annual Meeting along with a password prior to the meeting date. We recommend that you log on a few minutes before the Annual Meeting to ensure that you are logged in when the meeting begins. Information on how to vote online during the Annual Meeting is discussed below.</w:t>
      </w:r>
    </w:p>
    <w:p>
      <w:pPr>
        <w:spacing w:after="0" w:line="32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have decided to hold a virtual stockholder meeting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Annual Meeting in person.</w:t>
      </w:r>
    </w:p>
    <w:p>
      <w:pPr>
        <w:spacing w:after="0" w:line="110"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Both stockholders of record and street name stockholders will be able to attend the Annual Meeting via live audio webcast, submit their questions during the meeting and vote their shares electronically at the Annual Meeting.</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10, 2024 will be entitled to vote at the Annual Meeting. On this record date, there were 8,913,490 shares of common stock outstanding and entitled to vote.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If on April 10, 2024 your shares were registered directly in your name with Marker’s transfer agent, Equiniti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stockholder of record, your virtual control number will be on your Notice of Internet Availability of Proxy Materials or proxy card.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6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on April 10, 2024 your shares were held, not in your name, but rather in an account at a brokerage firm, bank or other similar organization, then you are the beneficial owner of shares held in “street name” and these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However, since you are not the stockholder of record, you may not vote your shares online during the Annual Meeting unless you request and obtain a legal proxy from your broker, bank or other agent. During the registration process, you will be asked to upload or email the legal proxy provided to you by your broker, bank or other agent. You are also invited to attend the Annual Meeting so long as you demonstrate proof of stock ownership. Instructions on how to demonstrate proof of stock ownership are posted at </w:t>
      </w:r>
      <w:r>
        <w:rPr>
          <w:rFonts w:ascii="Times New Roman" w:cs="Times New Roman" w:eastAsia="Times New Roman" w:hAnsi="Times New Roman"/>
          <w:sz w:val="18"/>
          <w:szCs w:val="18"/>
          <w:i w:val="1"/>
          <w:iCs w:val="1"/>
          <w:color w:val="auto"/>
        </w:rPr>
        <w:t>http://viewproxy.com/markertherapeutics/2024/htype.asp</w:t>
      </w:r>
      <w:r>
        <w:rPr>
          <w:rFonts w:ascii="Times New Roman" w:cs="Times New Roman" w:eastAsia="Times New Roman" w:hAnsi="Times New Roman"/>
          <w:sz w:val="18"/>
          <w:szCs w:val="18"/>
          <w:color w:val="auto"/>
        </w:rPr>
        <w:t xml:space="preserve">. On the day of the Annual Meeting, if you are a beneficial holder, you may vote during the meeting only if, during registration and in advance of the meeting, you emailed or uploaded a copy of your legal proxy to </w:t>
      </w:r>
      <w:r>
        <w:rPr>
          <w:rFonts w:ascii="Times New Roman" w:cs="Times New Roman" w:eastAsia="Times New Roman" w:hAnsi="Times New Roman"/>
          <w:sz w:val="18"/>
          <w:szCs w:val="18"/>
          <w:i w:val="1"/>
          <w:iCs w:val="1"/>
          <w:color w:val="auto"/>
        </w:rPr>
        <w:t>VirtualMeeting@viewproxy.com</w:t>
      </w:r>
      <w:r>
        <w:rPr>
          <w:rFonts w:ascii="Times New Roman" w:cs="Times New Roman" w:eastAsia="Times New Roman" w:hAnsi="Times New Roman"/>
          <w:sz w:val="18"/>
          <w:szCs w:val="18"/>
          <w:color w:val="auto"/>
        </w:rPr>
        <w:t xml:space="preserve"> as instructed below.</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17"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five directors (Proposal 1);</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the Company’s named executive officers, as disclosed in this proxy statement (Proposal 2); and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Committee of the Board of Directors of Marcum LLP as the independent registered public accounting firm of the Company for its fiscal year ending December 31, 2024 (Proposal 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8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8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Proposals 2 and 3, you may vote “For” or “Against” or abstain from voting.</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7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85" w:lineRule="exact"/>
        <w:rPr>
          <w:sz w:val="20"/>
          <w:szCs w:val="20"/>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you may vote using the link that will be provided on the virtual meeting screen, or you may visit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while the polls are open. In order to vote during the meeting, you will need your virtual control number, which will be on your Notice of Internet Availability of Proxy Materials or proxy card.</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1-866-804-9616 using a touch-tone phone and follow the recorded instructions. You will be asked to provide the virtual control number from your Notice of Internet Availability of Proxy Materials or proxy card. Your telephone vote must be received by 11:59 p.m. Eastern Time on Wednesday, June 5, 2024 to be counted.</w:t>
      </w:r>
    </w:p>
    <w:p>
      <w:pPr>
        <w:spacing w:after="0" w:line="83" w:lineRule="exact"/>
        <w:rPr>
          <w:rFonts w:ascii="Times New Roman" w:cs="Times New Roman" w:eastAsia="Times New Roman" w:hAnsi="Times New Roman"/>
          <w:sz w:val="18"/>
          <w:szCs w:val="18"/>
          <w:color w:val="auto"/>
        </w:rPr>
      </w:pPr>
    </w:p>
    <w:p>
      <w:pPr>
        <w:ind w:left="1800" w:right="419" w:hanging="180"/>
        <w:spacing w:after="0" w:line="284"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to complete an electronic proxy card. Please have your enclosed proxy card available when you access the voting website and follow the</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prompts to vote your shares. Your internet vote must be received by 11:59 p.m. Eastern Time on Wednesday, June 5, 2024 to be counted.</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Annual Meeting, you must obtain a legal proxy from your broker, bank or other agent. Follow the instructions from your broker, bank or other agent included with these proxy materials, or contact that organization to request a proxy form. In advance of the Annual Meeting, you will need to upload or email a copy of the legal proxy from your broker, bank or other agent to </w:t>
      </w:r>
      <w:r>
        <w:rPr>
          <w:rFonts w:ascii="Times New Roman" w:cs="Times New Roman" w:eastAsia="Times New Roman" w:hAnsi="Times New Roman"/>
          <w:sz w:val="18"/>
          <w:szCs w:val="18"/>
          <w:i w:val="1"/>
          <w:iCs w:val="1"/>
          <w:color w:val="auto"/>
        </w:rPr>
        <w:t xml:space="preserve">VirtualMeeting@viewproxy.com </w:t>
      </w:r>
      <w:r>
        <w:rPr>
          <w:rFonts w:ascii="Times New Roman" w:cs="Times New Roman" w:eastAsia="Times New Roman" w:hAnsi="Times New Roman"/>
          <w:sz w:val="18"/>
          <w:szCs w:val="18"/>
          <w:color w:val="auto"/>
        </w:rPr>
        <w:t>in order to vote at the Annual Meeting. To vote online during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using the link that will be provided on the virtual meeting screen, or you may visit </w:t>
      </w:r>
      <w:r>
        <w:rPr>
          <w:rFonts w:ascii="Times New Roman" w:cs="Times New Roman" w:eastAsia="Times New Roman" w:hAnsi="Times New Roman"/>
          <w:sz w:val="18"/>
          <w:szCs w:val="18"/>
          <w:i w:val="1"/>
          <w:iCs w:val="1"/>
          <w:color w:val="auto"/>
        </w:rPr>
        <w:t xml:space="preserve">www.AALvote.com/MRKR </w:t>
      </w:r>
      <w:r>
        <w:rPr>
          <w:rFonts w:ascii="Times New Roman" w:cs="Times New Roman" w:eastAsia="Times New Roman" w:hAnsi="Times New Roman"/>
          <w:sz w:val="18"/>
          <w:szCs w:val="18"/>
          <w:color w:val="auto"/>
        </w:rPr>
        <w:t>while the polls are open. You will need your virtual control number,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assigned to you in your confirmation of registration email, in order to vote during the meeting.</w:t>
      </w:r>
    </w:p>
    <w:p>
      <w:pPr>
        <w:spacing w:after="0" w:line="383" w:lineRule="exact"/>
        <w:rPr>
          <w:sz w:val="20"/>
          <w:szCs w:val="20"/>
          <w:color w:val="auto"/>
        </w:rPr>
      </w:pPr>
    </w:p>
    <w:p>
      <w:pPr>
        <w:jc w:val="both"/>
        <w:ind w:left="1320" w:right="439" w:hanging="39"/>
        <w:spacing w:after="0" w:line="273" w:lineRule="auto"/>
        <w:rPr>
          <w:sz w:val="20"/>
          <w:szCs w:val="20"/>
          <w:color w:val="auto"/>
        </w:rPr>
      </w:pPr>
      <w:r>
        <w:rPr>
          <w:rFonts w:ascii="Times New Roman" w:cs="Times New Roman" w:eastAsia="Times New Roman" w:hAnsi="Times New Roman"/>
          <w:sz w:val="18"/>
          <w:szCs w:val="18"/>
          <w:b w:val="1"/>
          <w:bCs w:val="1"/>
          <w:color w:val="auto"/>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-591820</wp:posOffset>
            </wp:positionV>
            <wp:extent cx="5212080"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2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April 10, 2024.</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7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68"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five nominees for director;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approval of compensation of the Company’s named executive officers;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Marcum LLP as independent auditors for the year ending December 31, 2024.</w:t>
      </w:r>
    </w:p>
    <w:p>
      <w:pPr>
        <w:spacing w:after="0" w:line="3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72"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9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and 2 are considered to be “non-routine” under such rules, meaning that your broker may not vote your shares on those proposals in the absence of your voting instructions. However, Proposal 3 is considered to be “routine” under such rules, meaning that if you do not return voting instructions to your broker by its deadline, your shares may be voted by your broker in its discretion on Proposal 3.</w:t>
      </w:r>
    </w:p>
    <w:p>
      <w:pPr>
        <w:spacing w:after="0" w:line="3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4"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Marker Therapeutics, Inc., Attention: Secretary at 9350 Kirby Drive, Suite 300, Houston, TX 77054.</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virtually and vote online. Simply attending the meeting virtually will not, by itself, revoke your proxy.</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written proposal must be received by our Secretary by December 30, 2024. If you wish to submit a proposal (including a director nomination) at the meeting that is not to be included in next year’s proxy materials, you must do so not earlier than February 7, 2025 and not later than March 7, 2025. Stockholder proposals and director nominations should be addressed to Marker Therapeutics, Inc., Attention: Secretary, 9350 Kirby Drive, Suite 300, Houston, TX 77054. Your notice to the Secretary must set forth information specified in our bylaws.</w:t>
      </w:r>
    </w:p>
    <w:p>
      <w:pPr>
        <w:spacing w:after="0" w:line="12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 (3) any material interest you have in that proposal.</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0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3.6 to our Current Report on Form 8-K (File No. 001-37939), filed with the SEC on October 17, 2018.</w:t>
      </w:r>
    </w:p>
    <w:p>
      <w:pPr>
        <w:spacing w:after="0" w:line="8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and the additional information required by Rule 14a-19 under the Exchange Act.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48"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and with respect to Proposal 2 and 3, votes “For” and “Against,” abstentions and, if applicable, broker non- votes. Abstentions will be counted towards the vote total for each of Proposals 2 and 3 and, with respect to Proposals 2 and 3, will have the same effect as “Against” votes. Broker non-votes on Proposal 2 will have no effect and will not be counted towards the vote total for any of those proposals. Since brokers have authority to vote on your behalf with respect to Proposal 3, we do not expect broker non-votes on this proposal.</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are counted as “broker non-votes.” Proposals 1 and 2 are considered to be “non-routine” under stock exchange rules and we therefore expect broker non -votes on these proposals. However, as Proposal 3 is considered “routine” under stock exchange rules, we do not expect broker non-votes on this proposal.</w:t>
      </w:r>
    </w:p>
    <w:p>
      <w:pPr>
        <w:spacing w:after="0" w:line="379"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Proposal 1, the election of directors, the five nominees receiving the most “For” votes from the holders of shares present online at the meeting or represented by proxy and entitled to vote on the election of directors will be elected. Only votes “For” will affect the outcome.</w:t>
      </w:r>
    </w:p>
    <w:p>
      <w:pPr>
        <w:spacing w:after="0" w:line="10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Proposal 2, the advisory approval of the compensation of the Company’s named executive officers,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Proposal 3, the ratification of the selection of Marcum LLP as the Company’s independent registered public accounting firm for fiscal year 2024, will be approved if it receives “For” votes from the holders of a majority of shares present online at the meeting or represented by proxy and entitled to vote on the matter. If you “Abstain” from voting, it will have the same effect as an “Against” vote. Since brokers have authority to vote on your behalf with respect to Proposal 3, we do not expect broker non-votes on this proposal.</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online at the virtual meeting</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or represented by proxy. On the record date, there were 8,913,490 shares outstanding and entitled to vote. Thus, the holders of 2,971,163 shares must be present online at the virtual meeting or represented by proxy at the meeting to have a quorum.</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the holders of a majority of shares present online at the meeting at the virtual meeting or represented by proxy may adjourn the meeting to another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6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 xml:space="preserve">Only stockholders of record as of April 10, 2024 may submit questions or comments at the Annual Meeting. If you would like to submit a question, you must first register for the Annual Meeting at </w:t>
      </w:r>
      <w:r>
        <w:rPr>
          <w:rFonts w:ascii="Times New Roman" w:cs="Times New Roman" w:eastAsia="Times New Roman" w:hAnsi="Times New Roman"/>
          <w:sz w:val="18"/>
          <w:szCs w:val="18"/>
          <w:i w:val="1"/>
          <w:iCs w:val="1"/>
          <w:color w:val="auto"/>
        </w:rPr>
        <w:t>http://viewproxy.com/markertherapeutics/2024/htype.asp</w:t>
      </w:r>
      <w:r>
        <w:rPr>
          <w:rFonts w:ascii="Times New Roman" w:cs="Times New Roman" w:eastAsia="Times New Roman" w:hAnsi="Times New Roman"/>
          <w:sz w:val="18"/>
          <w:szCs w:val="18"/>
          <w:color w:val="auto"/>
        </w:rPr>
        <w:t xml:space="preserve"> by 11:59 p.m. Eastern Time on Wednesday, June 5, 2024 and, once you join the meeting, you can type your question in the questions/chat box in the meeting portal.</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annual meeting live audio webcast. Please be sure to check in by 8:45 a.m. Central Time on June 6, 2024, the day of the meeting, so that any technical difficulties may be addressed before the annual meeting live audio webcast begins. If you encounter any difficulties accessing the webcast during the check-in or meeting time, please email VirtualMeeting@viewproxy.com or call 1-866-612-8937.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list of our record stockholders as of the close of business on the record date will be made available to stockholders during the meeting. In addition, for the ten days prior to the date of the annual meeting, the list will be available for examination by any stockholder of record for a legally valid purpose at our corporate headquarters during regular business hours.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1</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five directors, all of whom are nominees for re- election as a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See “Information Regarding the Board of Directors and Corporate Governance – Nominating and Corporate Governance Committee.”</w:t>
      </w:r>
    </w:p>
    <w:p>
      <w:pPr>
        <w:spacing w:after="0" w:line="10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It is our policy to invite and encourage nominees for directors to attend the Annual Meeting. All of the directors then in office attended the 2023 Annual Meeting of Stockholders.</w:t>
      </w:r>
    </w:p>
    <w:p>
      <w:pPr>
        <w:spacing w:after="0" w:line="9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virtual meeting or represented by proxy and entitled to vote on the election of directors. Accordingly, the five nominees receiving the highest number of affirmative votes will be elected. Shares represented by executed proxies will be voted, if authority to do so is not withheld, for the election of the five nominees named below. If any nominee becomes unavailable for election as a result of an unexpected occurrence, shares that would have been voted for that nominee will instead be voted for the election of a substitute nominee that we propose. Each person nominated for election has agreed to serve if elected. We have no reason to believe that any nominee will be unable to serve.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OMINEES</w:t>
      </w:r>
    </w:p>
    <w:p>
      <w:pPr>
        <w:spacing w:after="0" w:line="17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following is a brief biography, as of the date of this proxy statement,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9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Committee also takes into account gender, age, and ethnic diversity.</w:t>
      </w:r>
    </w:p>
    <w:p>
      <w:pPr>
        <w:spacing w:after="0" w:line="34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brief biographies below include information, as of April 26, 2024,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or she believes a particular person would be an appropriate nominee for the Board, and these views may differ from the views of other members.</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Eansor, </w:t>
      </w:r>
      <w:r>
        <w:rPr>
          <w:rFonts w:ascii="Times New Roman" w:cs="Times New Roman" w:eastAsia="Times New Roman" w:hAnsi="Times New Roman"/>
          <w:sz w:val="18"/>
          <w:szCs w:val="18"/>
          <w:i w:val="1"/>
          <w:iCs w:val="1"/>
          <w:color w:val="auto"/>
        </w:rPr>
        <w:t>age 63</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Eansor joined the Board in October 2018 and became the chair of the Board following the Annual Meeting in 2022. Mr. Eansor served as the President of the Protein Sciences Segment of Bio-Techne Corporation from April 2018 until his retirement in March 2022. From 2014 to April 2018, Mr. Eansor served as Senior Vice President of Bio-Techne’s Biotechnology Division, which he joined as result of Bio-Techne’s acquisition of Novus Biologicals. Mr. Eansor earned a B.S. in Chemistry from University of Western Ontario, as well as a Bachelor of Commerce in General Business and Economics and an M.B.A. from the University of Windsor, Ontario, Canada. The Board believes that Mr. Eansor’s extensive experience in the life sciences manufacturing industry qualifies him to serve on the Board.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Elms, </w:t>
      </w:r>
      <w:r>
        <w:rPr>
          <w:rFonts w:ascii="Times New Roman" w:cs="Times New Roman" w:eastAsia="Times New Roman" w:hAnsi="Times New Roman"/>
          <w:sz w:val="18"/>
          <w:szCs w:val="18"/>
          <w:i w:val="1"/>
          <w:iCs w:val="1"/>
          <w:color w:val="auto"/>
        </w:rPr>
        <w:t>age 60</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Elms joined the Board in August 2019, and previously served as a non-voting board observer. Mr. Elms currently serves as Managing Partner at Aisling Capital, a life sciences investment firm, which he joined in 2000. Mr. Elms has served as chairman of the board of directors of ADMA Biologics, Inc. since 2007 and Elevation Oncology, Inc. since May 2019. He previously served as a member of the board of directors of Zosano Pharma Corp. from May 2018 to May 2022 and as a director of LOXO Oncology from 2013 to February 2019. Mr. Elms earned a B.A. in Human Biology from Stanford University and an M.B.A. from the Kellogg Graduate School of Management at Northwestern University. The Board believes that Mr. Elms’ background in financial services and extensive experience in the pharmaceutical and healthcare industries qualify him to serve on the Board.</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Katharine Knobil, </w:t>
      </w:r>
      <w:r>
        <w:rPr>
          <w:rFonts w:ascii="Times New Roman" w:cs="Times New Roman" w:eastAsia="Times New Roman" w:hAnsi="Times New Roman"/>
          <w:sz w:val="18"/>
          <w:szCs w:val="18"/>
          <w:i w:val="1"/>
          <w:iCs w:val="1"/>
          <w:color w:val="auto"/>
        </w:rPr>
        <w:t>age 60</w:t>
      </w:r>
    </w:p>
    <w:p>
      <w:pPr>
        <w:spacing w:after="0" w:line="14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Dr. Knobil joined the Board in December 2021. Dr. Knobil served as Chief Medical Officer of Agilent Technologies Inc., a position she held from April 2021 to January 2024. Dr. Knobil previously served as Chief Medical Officer and Head of Research &amp; Development at Kaleido Biosciences, Inc. from December 2018 to January 2021. Previously, Dr. Knobil spent more than 20 years in roles of increasing responsibility at GlaxoSmithKline plc, most recently serving as the corporate Chief Medical Officer from 2017 to December 2018, and as Chief Medical Officer for Pharmaceuticals at GSK from 2015 to 2017. She served as a member of the board of directors of Arena Pharmaceuticals, Inc. from June 2020 until its acquisition by Pfizer Inc. in March 2022. Dr. Knobil received her B.A. from Cornell University, her M.D. from University of Texas Southwestern Medical School, and completed a Fellowship in Pulmonary and Critical Care Medicine at the Johns Hopkins Medical School. The Board believes that Dr. Knobil’s years of leadership experience in the pharmaceutical and healthcare industry and her medical degree qualify her to serve on the Board.</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Juan Vera, M.D., </w:t>
      </w:r>
      <w:r>
        <w:rPr>
          <w:rFonts w:ascii="Times New Roman" w:cs="Times New Roman" w:eastAsia="Times New Roman" w:hAnsi="Times New Roman"/>
          <w:sz w:val="18"/>
          <w:szCs w:val="18"/>
          <w:i w:val="1"/>
          <w:iCs w:val="1"/>
          <w:color w:val="auto"/>
        </w:rPr>
        <w:t>age 44</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Dr. Vera began service as our President and Chief Executive Officer effective May 1, 2023. Dr. Vera also serves as our Principal Executive Officer and Principal Financial Officer. He joined the Board in October 2018 and previously served as our Chief Operating Officer from November 2021 to April 2023 and served as our Chief Scientific Officer from October 2018 to April 2023. Dr. Vera is a co-inventor of the multi-tumor associated antigen technology and co-founder of our predecessor, Marker Cell Therapy, Inc. Dr. Vera has held various positions at the Center for Cell and Gene Therapy at Baylor College of Medicine, most recently as an Associate Professor from 2015 to present. Dr. Vera is also a co-founder of AlloVir, Inc. where he has served as a member of the board of directors since 2014 and previously served as its Chief Product Development Officer from 2014 to June 2020. Dr. Vera received the Idea Development Award from the Department of Defense and Mentored Research Scholar Award from the American Cancer Society. Dr. Vera earned an M.D. from the University El Bosque in Bogota, Colombia. The Board believes that Dr. Vera’s extensive scientific and medical experience, including as the co-inventor of the multi-tumor associated antigen technology, qualifies him to serve on the Board.</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John Wilson, </w:t>
      </w:r>
      <w:r>
        <w:rPr>
          <w:rFonts w:ascii="Times New Roman" w:cs="Times New Roman" w:eastAsia="Times New Roman" w:hAnsi="Times New Roman"/>
          <w:sz w:val="18"/>
          <w:szCs w:val="18"/>
          <w:i w:val="1"/>
          <w:iCs w:val="1"/>
          <w:color w:val="auto"/>
        </w:rPr>
        <w:t>age 64</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Wilson joined the Board in October 2018. Mr. Wilson is a co-inventor of the multi-tumor associated antigen technology and co-founder of our predecessor, Marker Cell Therapy, Inc. Since 1996, he has been the Chief Executive Officer of Wilson Wolf Manufacturing Corporation. He is also a co-founder of AlloVir, Inc. and served as its Managing Director from 2013 to 2018. He previously served on the board of directors of AlloVir from 2018 to May 2022. Mr. Wilson also is the founder of Cell Ready, LLC, which he formed in 2023 to acquire the manufacturing operations of the Company. Mr. Wilson earned a B.A. in Business Administration and a B.A. in Economics from Hamline University and a B.S. in Mechanical Engineering from the University of Minnesota. The Board believes that Mr. Wilson’s extensive scientific and manufacturing experience qualifies him to serve on the Board.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ATRIX</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summarizes certain self-identified personal characteristics of our five directors serving on the Board as of April 26, 2024, in accordance with Nasdaq listing Rule 5605(f). Each term used in the table has the definition provided in the rule and related instructions.</w:t>
      </w:r>
    </w:p>
    <w:p>
      <w:pPr>
        <w:spacing w:after="0" w:line="134" w:lineRule="exact"/>
        <w:rPr>
          <w:sz w:val="20"/>
          <w:szCs w:val="20"/>
          <w:color w:val="auto"/>
        </w:rPr>
      </w:pPr>
    </w:p>
    <w:tbl>
      <w:tblPr>
        <w:tblLayout w:type="fixed"/>
        <w:tblInd w:w="1630" w:type="dxa"/>
        <w:tblCellMar>
          <w:top w:w="0" w:type="dxa"/>
          <w:left w:w="0" w:type="dxa"/>
          <w:bottom w:w="0" w:type="dxa"/>
          <w:right w:w="0" w:type="dxa"/>
        </w:tblCellMar>
      </w:tblPr>
      <w:tr>
        <w:trPr>
          <w:trHeight w:val="338"/>
        </w:trPr>
        <w:tc>
          <w:tcPr>
            <w:tcW w:w="20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0" w:type="dxa"/>
            <w:vAlign w:val="bottom"/>
            <w:tcBorders>
              <w:top w:val="single" w:sz="8" w:color="auto"/>
              <w:bottom w:val="single" w:sz="8" w:color="auto"/>
            </w:tcBorders>
            <w:gridSpan w:val="4"/>
          </w:tcPr>
          <w:p>
            <w:pPr>
              <w:ind w:left="190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26, 2024)</w:t>
            </w: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820" w:type="dxa"/>
            <w:vAlign w:val="bottom"/>
            <w:tcBorders>
              <w:left w:val="single" w:sz="8" w:color="auto"/>
              <w:bottom w:val="single" w:sz="8" w:color="auto"/>
            </w:tcBorders>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Total Number of Directors</w:t>
            </w:r>
          </w:p>
        </w:tc>
        <w:tc>
          <w:tcPr>
            <w:tcW w:w="112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200" w:type="dxa"/>
            <w:vAlign w:val="bottom"/>
            <w:tcBorders>
              <w:left w:val="single" w:sz="8" w:color="auto"/>
              <w:bottom w:val="single" w:sz="8" w:color="auto"/>
            </w:tcBorders>
            <w:gridSpan w:val="2"/>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spacing w:after="0"/>
              <w:rPr>
                <w:sz w:val="21"/>
                <w:szCs w:val="21"/>
                <w:color w:val="auto"/>
              </w:rPr>
            </w:pP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CCCCC"/>
          </w:tcPr>
          <w:p>
            <w:pPr>
              <w:spacing w:after="0"/>
              <w:rPr>
                <w:sz w:val="21"/>
                <w:szCs w:val="21"/>
                <w:color w:val="auto"/>
              </w:rPr>
            </w:pPr>
          </w:p>
        </w:tc>
        <w:tc>
          <w:tcPr>
            <w:tcW w:w="3620" w:type="dxa"/>
            <w:vAlign w:val="bottom"/>
            <w:tcBorders>
              <w:bottom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Hispanic or Latinx</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-1379220</wp:posOffset>
            </wp:positionV>
            <wp:extent cx="4318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342900"/>
                    </a:xfrm>
                    <a:prstGeom prst="rect">
                      <a:avLst/>
                    </a:prstGeom>
                    <a:noFill/>
                  </pic:spPr>
                </pic:pic>
              </a:graphicData>
            </a:graphic>
          </wp:anchor>
        </w:drawing>
      </w:r>
    </w:p>
    <w:p>
      <w:pPr>
        <w:spacing w:after="0" w:line="11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Our Board Diversity Matrix as of April 1, 2023 can be found in our proxy statement for the 2023 Annual Meeting filed with the SEC on April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EGARDING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OARD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OVERNANCE</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2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three directors who are standing for re-election at the Annual Meeting are independent directors within the meaning of the applicable Nasdaq listing standards: David Eansor, Steven Elms, and Katharine Knobil. In making this determination, the Board found that none of these directors or nominees for director had a material or other disqualifying relationship with the Company.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7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Board of Directors of the Company has an independent chair, currently Mr. Eansor. The Board Chair has authority, among other things, to call and preside over Board meetings and to set meeting agendas.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7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Typically, the Board committees meet at least annually with the employees responsible for risk management in the committees’ respective areas of oversight. Both the Board as a whole and the various standing committees receive periodic risk assessment reports from management, as well as incidental reports as matters may arise. It is the responsibility of the committee chairs to report findings regarding material risk exposures to the Board as quickly as possible.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Board of Directors met eight times during the last fiscal year. Each director attended 75% or more of the number of meetings of the Board and of the committees on which he served held during the portion of aggregate the last fiscal year for which he was a director or committee member.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fiscal 2023 for each of the Board committees: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Nominating and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2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 ​Audit ​ ​Compensation ​ ​Corporate Governance​</w:t>
            </w:r>
          </w:p>
        </w:tc>
      </w:tr>
      <w:tr>
        <w:trPr>
          <w:trHeight w:val="20"/>
        </w:trPr>
        <w:tc>
          <w:tcPr>
            <w:tcW w:w="4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Eansor</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​X* ​​ ​</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1"/>
              </w:rPr>
              <w:t>​X</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Steve Elms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​X</w:t>
            </w:r>
          </w:p>
        </w:tc>
        <w:tc>
          <w:tcPr>
            <w:tcW w:w="80" w:type="dxa"/>
            <w:vAlign w:val="bottom"/>
          </w:tcPr>
          <w:p>
            <w:pPr>
              <w:spacing w:after="0"/>
              <w:rPr>
                <w:sz w:val="22"/>
                <w:szCs w:val="22"/>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2"/>
                <w:szCs w:val="22"/>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1"/>
              </w:rPr>
              <w:t>​X</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Juan Vera</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Wilson</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meetings in fiscal 2023</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24"/>
                <w:szCs w:val="24"/>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   Committee Chairperson</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-1182370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-1182370</wp:posOffset>
            </wp:positionV>
            <wp:extent cx="137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-1182370</wp:posOffset>
            </wp:positionV>
            <wp:extent cx="137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2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 xml:space="preserve">The Audit Committee currently is composed of three directors: David Eansor, Katherine Knobil and Steven Elms, with Mr. Eansor serving as chairman. The Audit Committee met five times during fiscal 2023. The Board has adopted a written Audit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The Board of Directors has also determined that Mr. Eansor qualifies as an “audit committee financial expert,” as defined in applicable SEC rules.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2023 with management of the Company. The Audit Committee has discussed with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2023.</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Eansor, Chair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Elms</w:t>
      </w:r>
    </w:p>
    <w:p>
      <w:pPr>
        <w:ind w:left="1260"/>
        <w:spacing w:after="0"/>
        <w:rPr>
          <w:sz w:val="20"/>
          <w:szCs w:val="20"/>
          <w:color w:val="auto"/>
        </w:rPr>
      </w:pPr>
      <w:r>
        <w:rPr>
          <w:rFonts w:ascii="Times New Roman" w:cs="Times New Roman" w:eastAsia="Times New Roman" w:hAnsi="Times New Roman"/>
          <w:sz w:val="18"/>
          <w:szCs w:val="18"/>
          <w:color w:val="auto"/>
        </w:rPr>
        <w:t>Katherine Knobil</w:t>
      </w:r>
    </w:p>
    <w:p>
      <w:pPr>
        <w:spacing w:after="0" w:line="190" w:lineRule="exact"/>
        <w:rPr>
          <w:sz w:val="20"/>
          <w:szCs w:val="20"/>
          <w:color w:val="auto"/>
        </w:rPr>
      </w:pPr>
    </w:p>
    <w:p>
      <w:pPr>
        <w:jc w:val="both"/>
        <w:ind w:left="1620" w:right="419" w:hanging="360"/>
        <w:spacing w:after="0" w:line="261" w:lineRule="auto"/>
        <w:tabs>
          <w:tab w:leader="none" w:pos="16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material in this report is not “soliciting material,” and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“Compensation Committee”) acts on behalf of the Board to review and oversee the Company’s compensation strategy, policies, plans and programs, including:</w:t>
      </w:r>
    </w:p>
    <w:p>
      <w:pPr>
        <w:spacing w:after="0" w:line="274" w:lineRule="exact"/>
        <w:rPr>
          <w:sz w:val="20"/>
          <w:szCs w:val="20"/>
          <w:color w:val="auto"/>
        </w:rPr>
      </w:pPr>
    </w:p>
    <w:p>
      <w:pPr>
        <w:jc w:val="both"/>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and approval of the individual elements of total compensation and other terms of employment or service, including severance and change-in-control arrangements, of the Company’s executive officers, other than the Chief Executive Officer;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and recommendation to the Board for approval, the individual elements of total compensation and other terms of employment or service, including severance and change-in-control arrangements, of the Chief Executive Officer;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and other benefit plans.</w:t>
      </w:r>
    </w:p>
    <w:p>
      <w:pPr>
        <w:spacing w:after="0" w:line="14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 xml:space="preserve">The Compensation Committee currently is composed of three directors: David Eansor, Steven Elms and Katharine Knobil, with Mr. Eansor serving as chairman. All current members of the Company’s Compensation Committee are independent (as independence is currently defined in Rule 5605(d)(2) of the Nasdaq listing standards. The Compensation Committee met one time during fiscal 2023. The Board has adopted a written Compensation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p>
    <w:p>
      <w:pPr>
        <w:spacing w:after="0" w:line="120"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agenda for each meeting is usually developed by the chair of the Compensation Committee, in consultation with the Chief Executive Officer and Radford, the compensation consultant engaged by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399"/>
        <w:spacing w:after="0" w:line="243" w:lineRule="auto"/>
        <w:rPr>
          <w:sz w:val="20"/>
          <w:szCs w:val="20"/>
          <w:color w:val="auto"/>
        </w:rPr>
      </w:pPr>
      <w:r>
        <w:rPr>
          <w:rFonts w:ascii="Times New Roman" w:cs="Times New Roman" w:eastAsia="Times New Roman" w:hAnsi="Times New Roman"/>
          <w:sz w:val="18"/>
          <w:szCs w:val="18"/>
          <w:color w:val="auto"/>
        </w:rPr>
        <w:t>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In 2023, after taking into consideration the six factors prescribed by the SEC and Nasdaq described above, the Compensation Committee engaged Radford as its compensation consultant. See “Executive Compensation –  Summary Compensation Table – Narrative to Summary Compensation Table – Role of the Compensation Committee and Executive Officers in Setting Executive Compensation.”</w:t>
      </w:r>
    </w:p>
    <w:p>
      <w:pPr>
        <w:spacing w:after="0" w:line="11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The Compensation Committee has formed a Non-Officer Stock Option Subcommittee, composed of Peter Hoang, during his service as our President and Chief Executive Officer to which it has delegated authority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Typically, as part of its oversight function, the Compensation Committee will review on a quarterly basis the list of grants made by the subcommittee. During fiscal 2023, the subcommittee exercised its authority to grant options to purchase an aggregate of 94,677 shares to non-officer employees. The Compensation Committee will consider delegating such authority to Juan Vera as our new President and Chief Executive Officer in the future.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w:t>
      </w:r>
    </w:p>
    <w:p>
      <w:pPr>
        <w:spacing w:after="0" w:line="114"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currently is composed of two directors: Katharine Knobil and David Eansor, with Dr. Knobil serving as chairperson. All members of the Nominating and Corporate Governance Committee are independent (as independence is currently defined in Rule 5605(a)(2) of the Nasdaq listing standards). The Nominating and Corporate Governance Committee met three times during fiscal 2023. The Board has adopted a written Nominating and Corporate Governance Committee charter that is available to stockholders on the Company’s website and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w:t>
      </w:r>
    </w:p>
    <w:p>
      <w:pPr>
        <w:spacing w:after="0" w:line="32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However, the Nominating and Corporate Governance Committee retains the right to modify these qualifications from time to time. Board diversity and inclusion is critical to the Company’s success. Candidates for director nominees are reviewed in the context of the current composition of the Board, the operating requirements of the Company and the long- 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pertaining to our business. Our nomination process and our Board’s approach to assessment and evaluation of our nominees support our continued commitment to diversity and inclusion.</w:t>
      </w:r>
    </w:p>
    <w:p>
      <w:pPr>
        <w:spacing w:after="0" w:line="81"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33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Company previously granted board observer rights to Aisling Capital, pursuant to which Mr. Elms was designated as a board observer prior to being appointed as a director, and New Enterprise Associates 16, L.P. (“NEA”), pursuant to which NEA may designate either a board observer or a director until a change of control transaction occurs or NEA ceases to own at least 250,000 shares (as adjusted for the ten-for-one (10:1) reverse stock split we completed on January 26, 2023 (the “Reverse Stock Split”)) of the Company’s common stock. NEA has currently designated a non-voting board observer.</w:t>
      </w:r>
    </w:p>
    <w:p>
      <w:pPr>
        <w:spacing w:after="0" w:line="99"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Marker Therapeutics, Inc., Attention: Secretary, 9350 Kirby Drive, Suite 300, Houston, TX 77054, at least 90 days, but not more than 120 days prior to the anniversary date of the preceding year’s annual meeting of stockholders. Submissions must include (1) all information related to such nominee that would be required to be disclosed in solicitations of proxies for the election of such nominee as a director pursuant to Regulation 14A under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the nominating stockholder and his, her or its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may do so by sending written communications addressed to the Secretary of the Company Secretary, 9350 Kirby Drive, Suite 300, Houston, TX 77054. All communications will be compiled by the Secretary of the Company and submitted to the Board or the individual directors on a periodic basis.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7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all officers, directors and employees, including our principal executive officer, principal financial officer, principal accounting officer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 xml:space="preserve">persons performing similar functions. The Code of Business Conduct and Ethics is available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17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In 2020,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7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2</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DVISORY</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Board has adopted a policy of soliciting a non-binding advisory vote on the compensation of the named executive officers, commonly referred to as a “say-on-pay vote,” every year. In accordance with that policy, this year, the Company is again asking the stockholders to approve, on an advisory basis, the compensation of the Company’s named executive officers as disclosed in this proxy statement in accordance with SEC rules.</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strongly aligned with our stockholders’ interests and consistent with current market practices for similarly situated companies. Compensation of the Company’s named executive officers is designed to enable the Company to attract and retain talented and experienced executives to lead the Company successfully in a competitive environment.</w:t>
      </w:r>
    </w:p>
    <w:p>
      <w:pPr>
        <w:spacing w:after="0" w:line="34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108"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compensation tables and narrative discussion, is hereby APPROVED.”</w:t>
      </w:r>
    </w:p>
    <w:p>
      <w:pPr>
        <w:spacing w:after="0" w:line="9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1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shares online at the virtual meeting or represented by proxy and entitled to vote on the matter at the annual meeting. The next scheduled say-on-pay vote will be determined by our Board.</w:t>
      </w:r>
    </w:p>
    <w:p>
      <w:pPr>
        <w:spacing w:after="0" w:line="17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3</w:t>
      </w:r>
    </w:p>
    <w:p>
      <w:pPr>
        <w:spacing w:after="0" w:line="24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ATIFICATION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NDEPENDENT</w:t>
      </w:r>
    </w:p>
    <w:p>
      <w:pPr>
        <w:spacing w:after="0" w:line="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EGISTERED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UBLIC</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IRM</w:t>
      </w:r>
    </w:p>
    <w:p>
      <w:pPr>
        <w:spacing w:after="0" w:line="151"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Marcum LLP as the Company’s independent registered public accounting firm for the fiscal year ending December 31, 2024 and has further directed that management submit the selection of its independent registered public accounting firm for ratification by the stockholders at the Annual Meeting. Marcum LLP has audited the Company’s financial statements since 2014. Representatives of Marcum LLP are expected to be present online at the Annual Meeting. They will have an opportunity to make a statement if they so desire and will be available to respond to appropriate questions.</w:t>
      </w:r>
    </w:p>
    <w:p>
      <w:pPr>
        <w:spacing w:after="0" w:line="33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Marcum LLP as the Company’s independent registered public accounting firm. However, the Audit Committee of the Board is submitting the selection of Marcum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3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online at the virtual meeting or represented by proxy and entitled to vote on the matter at the Annual Meeting will be required to ratify the selection of Marcum LLP.</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RINCIPAL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CCOUNTANT</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EES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ERVICES</w:t>
      </w:r>
    </w:p>
    <w:p>
      <w:pPr>
        <w:spacing w:after="0" w:line="17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years ended December 31, 2023 and 2022 by Marcum LLP, the Company’s principal accountant.</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2023</w:t>
            </w:r>
          </w:p>
        </w:tc>
        <w:tc>
          <w:tcPr>
            <w:tcW w:w="92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D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20" w:type="dxa"/>
            <w:vAlign w:val="bottom"/>
            <w:tcBorders>
              <w:right w:val="single" w:sz="8" w:color="auto"/>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380" w:type="dxa"/>
            <w:vAlign w:val="bottom"/>
            <w:vMerge w:val="continue"/>
            <w:shd w:val="clear" w:color="auto" w:fill="CCEDFF"/>
          </w:tcPr>
          <w:p>
            <w:pPr>
              <w:spacing w:after="0"/>
              <w:rPr>
                <w:sz w:val="24"/>
                <w:szCs w:val="24"/>
                <w:color w:val="auto"/>
              </w:rPr>
            </w:pPr>
          </w:p>
        </w:tc>
        <w:tc>
          <w:tcPr>
            <w:tcW w:w="22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DFF"/>
          </w:tcPr>
          <w:p>
            <w:pP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316,000</w:t>
            </w: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322,000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shd w:val="clear" w:color="auto" w:fill="CCEDFF"/>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$316,000</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$322,000</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-506730</wp:posOffset>
            </wp:positionV>
            <wp:extent cx="4766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15875</wp:posOffset>
            </wp:positionV>
            <wp:extent cx="18256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35" w:lineRule="exact"/>
        <w:rPr>
          <w:sz w:val="20"/>
          <w:szCs w:val="20"/>
          <w:color w:val="auto"/>
        </w:rPr>
      </w:pPr>
    </w:p>
    <w:p>
      <w:pPr>
        <w:jc w:val="both"/>
        <w:ind w:left="1620" w:right="419" w:hanging="360"/>
        <w:spacing w:after="0" w:line="261"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the aggregate fees billed for professional services rendered by our independent auditors for the audit of our annual financial statements, the review of the financial statements, including internal control attestations, included in each of our quarterly reports and services provided in connection with statutory and regulatory filings or engagements.</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RE</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ROCEDURES</w:t>
      </w:r>
    </w:p>
    <w:p>
      <w:pPr>
        <w:spacing w:after="0" w:line="17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rendered by the Company’s independent registered public accounting firm, Marcum LLP.</w:t>
      </w:r>
    </w:p>
    <w:p>
      <w:pPr>
        <w:spacing w:after="0" w:line="9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Marcum LLP is compatible with maintaining the principal accountant’s independence.</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FFICERS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K</w:t>
      </w:r>
      <w:r>
        <w:rPr>
          <w:rFonts w:ascii="Times New Roman" w:cs="Times New Roman" w:eastAsia="Times New Roman" w:hAnsi="Times New Roman"/>
          <w:sz w:val="16"/>
          <w:szCs w:val="16"/>
          <w:b w:val="1"/>
          <w:bCs w:val="1"/>
          <w:color w:val="auto"/>
        </w:rPr>
        <w:t>EY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MPLOYEES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officers and key employees and their respective ages as of April 26, 2024 are as follows:</w:t>
      </w:r>
    </w:p>
    <w:p>
      <w:pPr>
        <w:spacing w:after="0" w:line="35" w:lineRule="exact"/>
        <w:rPr>
          <w:sz w:val="20"/>
          <w:szCs w:val="20"/>
          <w:color w:val="auto"/>
        </w:rPr>
      </w:pPr>
    </w:p>
    <w:tbl>
      <w:tblPr>
        <w:tblLayout w:type="fixed"/>
        <w:tblInd w:w="1260" w:type="dxa"/>
        <w:tblCellMar>
          <w:top w:w="0" w:type="dxa"/>
          <w:left w:w="0" w:type="dxa"/>
          <w:bottom w:w="0" w:type="dxa"/>
          <w:right w:w="0" w:type="dxa"/>
        </w:tblCellMar>
      </w:tblPr>
      <w:tr>
        <w:trPr>
          <w:trHeight w:val="452"/>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500" w:type="dxa"/>
            <w:vAlign w:val="bottom"/>
            <w:gridSpan w:val="4"/>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Age</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Position(s)</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Juan Vera, M.D.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Chief Executive Officer, Treasurer and Director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Maria Bernadette Madel, Ph.D.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Director, Corporate Operations and External Communications ​</w:t>
            </w:r>
          </w:p>
        </w:tc>
      </w:tr>
    </w:tbl>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biography of Juan Vera is set forth in “Proposal 1: Election of Directors” above.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Employees</w:t>
      </w:r>
    </w:p>
    <w:p>
      <w:pPr>
        <w:spacing w:after="0" w:line="15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Maria-Bernadette Madel, Ph.D. </w:t>
      </w:r>
      <w:r>
        <w:rPr>
          <w:rFonts w:ascii="Times New Roman" w:cs="Times New Roman" w:eastAsia="Times New Roman" w:hAnsi="Times New Roman"/>
          <w:sz w:val="18"/>
          <w:szCs w:val="18"/>
          <w:color w:val="auto"/>
        </w:rPr>
        <w:t>has served as our Director of Corporate Operations and External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since December 2023. Dr. Madel joined the Company in 2022 after accruing valuable experience in academic institutions, including Baylor College of Medicine. Dr. Madel earned a B.Sc. and M.Sc. in Molecular Medicine from the Medical University of Innsbruck, Austria, and a Ph.D. in Immunology and Microbiology from the University Côte d’Azur, Nice, France.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Management Transition</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On April 27, 2023, Peter Hoang resigned from our Board of Directors, effective immediately, and as our President and Chief Executive Officer, effective May 1, 2023. The Board appointed Juan Vera to serve as our President and Chief Executive Officer, effective May 1, 2023. In connection with his resignation, Mr. Hoang and the Company entered into the Separation Agreement (the “Separation Agreement”), dated as of April 27, 2023, providing for the terms of Mr. Hoang’s separation from employment with the Company effective May 1, 2023. Under the Separation Agreement, the Company has agreed, provided that Mr. Hoang does not revoke the Separation Agreement during the seven-day period following his signing of the agreement, to provide Mr. Hoang with the following separation payments and benefits: (i) a payment equal to 12 months of his annual base salary, as in effect at the date of his separation from the Company, less all applicable taxes and withholdings, to be paid in a lump sum; and (ii) subject to Mr. Hoang’s election of COBRA, payment of the premiums for group health and/or dental insurance coverage under COBRA until the earlier of (a) May 30, 2024, (b) the date on which Mr. Hoang becomes eligible to receive group health insurance coverage through another employer, or (c) the date Mr. Hoang ceases to be eligible for COBRA continuation coverage for any reason. The Separation Agreement contains releases, subject to customary exceptions, and covenants not to disparage.</w:t>
      </w:r>
    </w:p>
    <w:p>
      <w:pPr>
        <w:spacing w:after="0" w:line="33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On March 13, 2023, Mythili Koneru, Chief Medical Officer of Marker Therapeutics, Inc. (the “Company”), notified the Company of her intent to resign as Chief Medical Officer of the Company effective as of April 9, 2023.</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Effective June 30, 2023, Michael Loiacono, the Chief Accounting Officer of Marker Therapeutics, Inc. (the “Company”), was separated from the Company. In recognition of Mr. Loiacono’s service to the Company, the Company has agreed to provide Mr. Loiacono with severance benefits that are consistent with those contemplated by his Employment Agreement, as amended as of November 27, 2018, by and between the Company and Mr. Loiacono (the “Employment Agreement”) upon Mr. Loiacono’s execution of a release agreement, the form of which is included in the Employment Agreement.</w:t>
      </w:r>
    </w:p>
    <w:p>
      <w:pPr>
        <w:spacing w:after="0" w:line="12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Also effective June 30, 2023, the Company appointed Eliot M. Lurier as the Company’s Interim Chief Financial Officer. Mr. Lurier provided consulting services to the Company pursuant to a consulting agreement (the “Danforth Consulting Agreement”) between the Company and Danforth Advisors, LLC (“Danforth”) and receives no compensation directly from the Company. However, on November 17, 2023, Mr. Lurier ceased serving as the Company’s Interim Chief Financial Officer and Principal Financial and Accounting Officer and Juan Vera, the Company’s President and Chief Executive Officer, was appointed as the Company’s Principal Financial and Accounting Officer.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17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31, 2024 by: (i) each director and nominee for director; (ii) each named executive officer;</w:t>
      </w:r>
    </w:p>
    <w:p>
      <w:pPr>
        <w:jc w:val="both"/>
        <w:ind w:left="1260" w:right="419"/>
        <w:spacing w:after="0" w:line="253" w:lineRule="auto"/>
        <w:tabs>
          <w:tab w:leader="none" w:pos="1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March 31, 2024.</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67"/>
        </w:trPr>
        <w:tc>
          <w:tcPr>
            <w:tcW w:w="96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9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4080" w:type="dxa"/>
            <w:vAlign w:val="bottom"/>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80" w:type="dxa"/>
            <w:vAlign w:val="bottom"/>
            <w:vMerge w:val="continue"/>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Percent of Total</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5%​ or greater stockholders:</w:t>
      </w:r>
    </w:p>
    <w:p>
      <w:pPr>
        <w:ind w:left="1260"/>
        <w:spacing w:after="0" w:line="203" w:lineRule="auto"/>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New Enterprise Associates</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8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​1,071,428</w:t>
            </w:r>
          </w:p>
        </w:tc>
        <w:tc>
          <w:tcPr>
            <w:tcW w:w="18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12.03%</w:t>
            </w:r>
          </w:p>
        </w:tc>
      </w:tr>
      <w:tr>
        <w:trPr>
          <w:trHeight w:val="247"/>
        </w:trPr>
        <w:tc>
          <w:tcPr>
            <w:tcW w:w="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-173355</wp:posOffset>
            </wp:positionV>
            <wp:extent cx="521208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20" w:lineRule="exact"/>
        <w:rPr>
          <w:sz w:val="20"/>
          <w:szCs w:val="20"/>
          <w:color w:val="auto"/>
        </w:rPr>
      </w:pPr>
    </w:p>
    <w:p>
      <w:pPr>
        <w:sectPr>
          <w:pgSz w:w="11900" w:h="16838" w:orient="portrait"/>
          <w:cols w:equalWidth="0" w:num="3">
            <w:col w:w="5640" w:space="720"/>
            <w:col w:w="2780" w:space="320"/>
            <w:col w:w="419"/>
          </w:cols>
          <w:pgMar w:left="580" w:top="97" w:right="1440" w:bottom="1440" w:gutter="0" w:footer="0" w:header="0"/>
          <w:type w:val="continuous"/>
        </w:sectPr>
      </w:pPr>
    </w:p>
    <w:p>
      <w:pPr>
        <w:ind w:left="1440" w:hanging="180"/>
        <w:spacing w:after="0" w:line="180" w:lineRule="auto"/>
        <w:tabs>
          <w:tab w:leader="none" w:pos="1440" w:val="left"/>
        </w:tabs>
        <w:numPr>
          <w:ilvl w:val="0"/>
          <w:numId w:val="1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David Eansor</w:t>
      </w:r>
      <w:r>
        <w:rPr>
          <w:rFonts w:ascii="Times New Roman" w:cs="Times New Roman" w:eastAsia="Times New Roman" w:hAnsi="Times New Roman"/>
          <w:sz w:val="22"/>
          <w:szCs w:val="22"/>
          <w:color w:val="auto"/>
          <w:vertAlign w:val="superscript"/>
        </w:rPr>
        <w:t>(3)</w:t>
      </w:r>
    </w:p>
    <w:p>
      <w:pPr>
        <w:spacing w:after="0" w:line="1" w:lineRule="exact"/>
        <w:rPr>
          <w:rFonts w:ascii="Times New Roman" w:cs="Times New Roman" w:eastAsia="Times New Roman" w:hAnsi="Times New Roman"/>
          <w:sz w:val="34"/>
          <w:szCs w:val="34"/>
          <w:color w:val="auto"/>
          <w:vertAlign w:val="subscript"/>
        </w:rPr>
      </w:pPr>
    </w:p>
    <w:p>
      <w:pPr>
        <w:ind w:left="1440" w:hanging="180"/>
        <w:spacing w:after="0" w:line="183" w:lineRule="auto"/>
        <w:tabs>
          <w:tab w:leader="none" w:pos="1440" w:val="left"/>
        </w:tabs>
        <w:numPr>
          <w:ilvl w:val="0"/>
          <w:numId w:val="13"/>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Steven Elms</w:t>
      </w:r>
      <w:r>
        <w:rPr>
          <w:rFonts w:ascii="Times New Roman" w:cs="Times New Roman" w:eastAsia="Times New Roman" w:hAnsi="Times New Roman"/>
          <w:sz w:val="20"/>
          <w:szCs w:val="20"/>
          <w:color w:val="auto"/>
          <w:vertAlign w:val="superscript"/>
        </w:rPr>
        <w:t>(4)</w:t>
      </w:r>
    </w:p>
    <w:p>
      <w:pPr>
        <w:ind w:left="1440" w:hanging="180"/>
        <w:spacing w:after="0" w:line="180" w:lineRule="auto"/>
        <w:tabs>
          <w:tab w:leader="none" w:pos="1440" w:val="left"/>
        </w:tabs>
        <w:numPr>
          <w:ilvl w:val="0"/>
          <w:numId w:val="1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Juan Vera</w:t>
      </w:r>
      <w:r>
        <w:rPr>
          <w:rFonts w:ascii="Times New Roman" w:cs="Times New Roman" w:eastAsia="Times New Roman" w:hAnsi="Times New Roman"/>
          <w:sz w:val="22"/>
          <w:szCs w:val="22"/>
          <w:color w:val="auto"/>
          <w:vertAlign w:val="superscript"/>
        </w:rPr>
        <w:t>(5)</w:t>
      </w:r>
    </w:p>
    <w:p>
      <w:pPr>
        <w:spacing w:after="0" w:line="1" w:lineRule="exact"/>
        <w:rPr>
          <w:rFonts w:ascii="Times New Roman" w:cs="Times New Roman" w:eastAsia="Times New Roman" w:hAnsi="Times New Roman"/>
          <w:sz w:val="34"/>
          <w:szCs w:val="34"/>
          <w:color w:val="auto"/>
          <w:vertAlign w:val="subscript"/>
        </w:rPr>
      </w:pPr>
    </w:p>
    <w:p>
      <w:pPr>
        <w:ind w:left="1440" w:hanging="180"/>
        <w:spacing w:after="0" w:line="184" w:lineRule="auto"/>
        <w:tabs>
          <w:tab w:leader="none" w:pos="1440" w:val="left"/>
        </w:tabs>
        <w:numPr>
          <w:ilvl w:val="0"/>
          <w:numId w:val="13"/>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John Wilson</w:t>
      </w:r>
      <w:r>
        <w:rPr>
          <w:rFonts w:ascii="Times New Roman" w:cs="Times New Roman" w:eastAsia="Times New Roman" w:hAnsi="Times New Roman"/>
          <w:sz w:val="21"/>
          <w:szCs w:val="21"/>
          <w:color w:val="auto"/>
          <w:vertAlign w:val="superscript"/>
        </w:rPr>
        <w:t>(6)</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line="184" w:lineRule="auto"/>
        <w:tabs>
          <w:tab w:leader="none" w:pos="1440" w:val="left"/>
        </w:tabs>
        <w:numPr>
          <w:ilvl w:val="0"/>
          <w:numId w:val="13"/>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Katharine Knobil</w:t>
      </w:r>
      <w:r>
        <w:rPr>
          <w:rFonts w:ascii="Times New Roman" w:cs="Times New Roman" w:eastAsia="Times New Roman" w:hAnsi="Times New Roman"/>
          <w:sz w:val="21"/>
          <w:szCs w:val="21"/>
          <w:color w:val="auto"/>
          <w:vertAlign w:val="superscript"/>
        </w:rPr>
        <w:t>(7)</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w:t>
      </w:r>
    </w:p>
    <w:p>
      <w:pPr>
        <w:spacing w:after="0" w:line="48"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Mythili Koneru</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Loiacono</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-1356360</wp:posOffset>
            </wp:positionV>
            <wp:extent cx="521208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-996315</wp:posOffset>
            </wp:positionV>
            <wp:extent cx="52120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-636270</wp:posOffset>
            </wp:positionV>
            <wp:extent cx="52120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-310515</wp:posOffset>
            </wp:positionV>
            <wp:extent cx="521208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151765</wp:posOffset>
            </wp:positionV>
            <wp:extent cx="1234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9" w:lineRule="exact"/>
        <w:rPr>
          <w:sz w:val="20"/>
          <w:szCs w:val="20"/>
          <w:color w:val="auto"/>
        </w:rPr>
      </w:pPr>
    </w:p>
    <w:p>
      <w:pPr>
        <w:ind w:left="1620" w:hanging="360"/>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r>
      <w:tr>
        <w:trPr>
          <w:trHeight w:val="28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326,503</w:t>
            </w:r>
          </w:p>
        </w:tc>
      </w:tr>
      <w:tr>
        <w:trPr>
          <w:trHeight w:val="28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393,824</w:t>
            </w:r>
          </w:p>
        </w:tc>
      </w:tr>
      <w:tr>
        <w:trPr>
          <w:trHeight w:val="28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790,450</w:t>
            </w:r>
          </w:p>
        </w:tc>
      </w:tr>
      <w:tr>
        <w:trPr>
          <w:trHeight w:val="27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33,256</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6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​1,575,190</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3.66%</w:t>
            </w:r>
          </w:p>
        </w:tc>
      </w:tr>
      <w:tr>
        <w:trPr>
          <w:trHeight w:val="28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4.36%</w:t>
            </w:r>
          </w:p>
        </w:tc>
      </w:tr>
      <w:tr>
        <w:trPr>
          <w:trHeight w:val="28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8.87%</w:t>
            </w:r>
          </w:p>
        </w:tc>
      </w:tr>
      <w:tr>
        <w:trPr>
          <w:trHeight w:val="27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17.35%</w:t>
            </w:r>
          </w:p>
        </w:tc>
      </w:tr>
    </w:tbl>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0" w:lineRule="exact"/>
        <w:rPr>
          <w:sz w:val="20"/>
          <w:szCs w:val="20"/>
          <w:color w:val="auto"/>
        </w:rPr>
      </w:pPr>
    </w:p>
    <w:p>
      <w:pPr>
        <w:sectPr>
          <w:pgSz w:w="11900" w:h="16838" w:orient="portrait"/>
          <w:cols w:equalWidth="0" w:num="4">
            <w:col w:w="5760" w:space="600"/>
            <w:col w:w="1220" w:space="320"/>
            <w:col w:w="1240" w:space="320"/>
            <w:col w:w="419"/>
          </w:cols>
          <w:pgMar w:left="580" w:top="97" w:right="1440" w:bottom="1440" w:gutter="0" w:footer="0" w:header="0"/>
          <w:type w:val="continuous"/>
        </w:sectPr>
      </w:pPr>
    </w:p>
    <w:p>
      <w:pPr>
        <w:jc w:val="both"/>
        <w:ind w:left="1620" w:right="419" w:hanging="360"/>
        <w:spacing w:after="0" w:line="256"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 13D filed with the SEC and takes into account the impacts of the Reverse Stock Split.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8,902,897 shares outstanding on March 31, 2024, adjusted as required by rules promulgated by the SEC.</w:t>
      </w:r>
    </w:p>
    <w:p>
      <w:pPr>
        <w:spacing w:after="0" w:line="268" w:lineRule="exact"/>
        <w:rPr>
          <w:sz w:val="20"/>
          <w:szCs w:val="20"/>
          <w:color w:val="auto"/>
        </w:rPr>
      </w:pPr>
    </w:p>
    <w:p>
      <w:pPr>
        <w:jc w:val="both"/>
        <w:ind w:left="1620" w:right="419" w:hanging="360"/>
        <w:spacing w:after="0" w:line="253"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filed on March 26, 2021 with the SEC by New Enterprise Associates 16, L.P. (“NEA 16”) and its affiliates, except as has been adjusted to account for the Reverse Stock Split. Consists of 1,071,428 shares of common stock held directly by NEA 16 (“NEA Partners 16”) is the sole general partner of NEA 16, and NEA 16 GP, LLC (“NEA 16 LLC”) is the sole general partner of NEA Partner 16. The mangers of NEA 16 LLC are Peter J. Barris, Forest Baskett, Ali Behbahani, Carmen Chang, Anthony A. Florence, Jr., Mohamad H. Makhzoumi, Joshua Makower, David M. Mott, Scott D. Sandell, Peter W. Sonsini, Ravi Viswanathan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4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3,694 shares of common stock and (b) 9,250 shares of common stock issuable upon exercise of options within 60 days of March 31, 2024.</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2,968 shares of common stock held directly by Mr. Elms, (b) 314,285 shares of common stock held directly by Aisling Capital for which Mr. Elms shares voting and dispositive power, and</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9,250 shares of common stock issuable upon exercise of options within 60 days of March 31, 2024.</w:t>
      </w:r>
    </w:p>
    <w:p>
      <w:pPr>
        <w:spacing w:after="0" w:line="58"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267,184 shares of common stock, and (b) 126,640 shares of common stock issuable upon exercise of options within 60 days of March 31, 2024.</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781,200 shares of common stock, and (b) 9,250 shares of common stock issuable upon exercise of options within 60 days of March 31, 2024.</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 shares of common stock and (b) 18,063 shares of common stock issuable upon exercise of options within 60 days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ELINQUENT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16(A) R</w:t>
      </w:r>
      <w:r>
        <w:rPr>
          <w:rFonts w:ascii="Times New Roman" w:cs="Times New Roman" w:eastAsia="Times New Roman" w:hAnsi="Times New Roman"/>
          <w:sz w:val="16"/>
          <w:szCs w:val="16"/>
          <w:b w:val="1"/>
          <w:bCs w:val="1"/>
          <w:color w:val="auto"/>
        </w:rPr>
        <w:t>EPORTS</w:t>
      </w:r>
    </w:p>
    <w:p>
      <w:pPr>
        <w:spacing w:after="0" w:line="17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fiscal year ended December 31, 2023, all Section 16(a) filing requirements applicable to its officers, directors and greater than ten percent beneficial owners were complied with the applicable filing requirements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are currently a smaller reporting company and have elected to be subject to the scaled reporting rules applicable to smaller reporting companies. The following section describes, under the scaled reporting rules applicable to smaller reporting companies, the compensation we paid to our “named executive officers” for the fiscal years ended December 31, 2023 and 2022. Our named executive officers for the fiscal year ended December 31, 2023 are as follows:</w:t>
      </w:r>
    </w:p>
    <w:p>
      <w:pPr>
        <w:spacing w:after="0" w:line="89"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Vera, M.D., our President and Chief Executive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our former President and Chief Executive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Loiacono, our former Chief Accounting Officer*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Mythili Koneru, our former Chief Medical Officer**</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6"/>
          <w:szCs w:val="16"/>
          <w:b w:val="1"/>
          <w:bCs w:val="1"/>
          <w:color w:val="auto"/>
        </w:rPr>
        <w:t>UMMARY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6"/>
          <w:szCs w:val="16"/>
          <w:b w:val="1"/>
          <w:bCs w:val="1"/>
          <w:color w:val="auto"/>
        </w:rPr>
        <w:t>ABLE</w:t>
      </w:r>
    </w:p>
    <w:p>
      <w:pPr>
        <w:spacing w:after="0" w:line="165"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years ended December 31, 2023 and 2022, respectively.</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80" w:type="dxa"/>
            <w:vAlign w:val="bottom"/>
            <w:gridSpan w:val="3"/>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Year</w:t>
            </w:r>
          </w:p>
        </w:tc>
        <w:tc>
          <w:tcPr>
            <w:tcW w:w="780" w:type="dxa"/>
            <w:vAlign w:val="bottom"/>
            <w:gridSpan w:val="2"/>
          </w:tcPr>
          <w:p>
            <w:pPr>
              <w:jc w:val="right"/>
              <w:ind w:right="136"/>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c>
          <w:tcPr>
            <w:tcW w:w="1140" w:type="dxa"/>
            <w:vAlign w:val="bottom"/>
            <w:gridSpan w:val="4"/>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Compensation ($)</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Compensation ($)</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900" w:type="dxa"/>
            <w:vAlign w:val="bottom"/>
            <w:tcBorders>
              <w:top w:val="single" w:sz="8" w:color="auto"/>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200" w:type="dxa"/>
            <w:vAlign w:val="bottom"/>
            <w:tcBorders>
              <w:top w:val="single" w:sz="8" w:color="CCEDFF"/>
              <w:bottom w:val="single" w:sz="8" w:color="CCEDFF"/>
            </w:tcBorders>
            <w:gridSpan w:val="2"/>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auto"/>
              <w:bottom w:val="single" w:sz="8" w:color="CCEDFF"/>
            </w:tcBorders>
            <w:shd w:val="clear" w:color="auto" w:fill="CCED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DFF"/>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bottom w:val="single" w:sz="8" w:color="CCEDFF"/>
            </w:tcBorders>
            <w:shd w:val="clear" w:color="auto" w:fill="CCEDFF"/>
          </w:tcPr>
          <w:p>
            <w:pPr>
              <w:jc w:val="right"/>
              <w:ind w:right="456"/>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CCEDFF"/>
            </w:tcBorders>
            <w:shd w:val="clear" w:color="auto" w:fill="CCEDFF"/>
          </w:tcPr>
          <w:p>
            <w:pPr>
              <w:spacing w:after="0"/>
              <w:rPr>
                <w:sz w:val="20"/>
                <w:szCs w:val="20"/>
                <w:color w:val="auto"/>
              </w:rPr>
            </w:pPr>
          </w:p>
        </w:tc>
        <w:tc>
          <w:tcPr>
            <w:tcW w:w="18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CCEDFF"/>
            </w:tcBorders>
            <w:shd w:val="clear" w:color="auto" w:fill="CCEDFF"/>
          </w:tcPr>
          <w:p>
            <w:pPr>
              <w:spacing w:after="0"/>
              <w:rPr>
                <w:sz w:val="20"/>
                <w:szCs w:val="20"/>
                <w:color w:val="auto"/>
              </w:rPr>
            </w:pPr>
          </w:p>
        </w:tc>
        <w:tc>
          <w:tcPr>
            <w:tcW w:w="14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CCEDFF"/>
            </w:tcBorders>
            <w:shd w:val="clear" w:color="auto" w:fill="CCEDFF"/>
          </w:tcPr>
          <w:p>
            <w:pPr>
              <w:spacing w:after="0"/>
              <w:rPr>
                <w:sz w:val="20"/>
                <w:szCs w:val="20"/>
                <w:color w:val="auto"/>
              </w:rPr>
            </w:pPr>
          </w:p>
        </w:tc>
        <w:tc>
          <w:tcPr>
            <w:tcW w:w="220" w:type="dxa"/>
            <w:vAlign w:val="bottom"/>
            <w:tcBorders>
              <w:top w:val="single" w:sz="8" w:color="auto"/>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CCEDFF"/>
            </w:tcBorders>
            <w:shd w:val="clear" w:color="auto" w:fill="CCEDFF"/>
          </w:tcPr>
          <w:p>
            <w:pPr>
              <w:spacing w:after="0"/>
              <w:rPr>
                <w:sz w:val="20"/>
                <w:szCs w:val="20"/>
                <w:color w:val="auto"/>
              </w:rPr>
            </w:pPr>
          </w:p>
        </w:tc>
        <w:tc>
          <w:tcPr>
            <w:tcW w:w="14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CCEDFF"/>
            </w:tcBorders>
            <w:shd w:val="clear" w:color="auto" w:fill="CCED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CCEDFF"/>
            </w:tcBorders>
            <w:shd w:val="clear" w:color="auto" w:fill="CCEDFF"/>
          </w:tcPr>
          <w:p>
            <w:pPr>
              <w:spacing w:after="0"/>
              <w:rPr>
                <w:sz w:val="20"/>
                <w:szCs w:val="20"/>
                <w:color w:val="auto"/>
              </w:rPr>
            </w:pPr>
          </w:p>
        </w:tc>
        <w:tc>
          <w:tcPr>
            <w:tcW w:w="12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190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DFF"/>
            </w:tcBorders>
            <w:gridSpan w:val="9"/>
            <w:shd w:val="clear" w:color="auto" w:fill="CCED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​2023</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​399,251</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​186,000</w:t>
            </w:r>
            <w:r>
              <w:rPr>
                <w:rFonts w:ascii="Times New Roman" w:cs="Times New Roman" w:eastAsia="Times New Roman" w:hAnsi="Times New Roman"/>
                <w:sz w:val="28"/>
                <w:szCs w:val="28"/>
                <w:color w:val="auto"/>
                <w:vertAlign w:val="superscript"/>
              </w:rPr>
              <w:t>​​</w:t>
            </w:r>
          </w:p>
        </w:tc>
        <w:tc>
          <w:tcPr>
            <w:tcW w:w="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DFF"/>
            </w:tcBorders>
            <w:shd w:val="clear" w:color="auto" w:fill="CCEDFF"/>
          </w:tcPr>
          <w:p>
            <w:pPr>
              <w:ind w:left="2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36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DFF"/>
            </w:tcBorders>
            <w:shd w:val="clear" w:color="auto" w:fill="CCEDFF"/>
          </w:tcPr>
          <w:p>
            <w:pPr>
              <w:spacing w:after="0"/>
              <w:rPr>
                <w:sz w:val="24"/>
                <w:szCs w:val="24"/>
                <w:color w:val="auto"/>
              </w:rPr>
            </w:pPr>
          </w:p>
        </w:tc>
        <w:tc>
          <w:tcPr>
            <w:tcW w:w="160" w:type="dxa"/>
            <w:vAlign w:val="bottom"/>
            <w:tcBorders>
              <w:bottom w:val="single" w:sz="8" w:color="CCEDFF"/>
            </w:tcBorders>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DFF"/>
            </w:tcBorders>
            <w:shd w:val="clear" w:color="auto" w:fill="CCEDFF"/>
          </w:tcPr>
          <w:p>
            <w:pPr>
              <w:ind w:left="2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600" w:type="dxa"/>
            <w:vAlign w:val="bottom"/>
            <w:tcBorders>
              <w:bottom w:val="single" w:sz="8" w:color="CCEDFF"/>
            </w:tcBorders>
            <w:shd w:val="clear" w:color="auto" w:fill="CCED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DFF"/>
            </w:tcBorders>
            <w:gridSpan w:val="2"/>
            <w:shd w:val="clear" w:color="auto" w:fill="CCED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​585,251</w:t>
            </w:r>
          </w:p>
        </w:tc>
        <w:tc>
          <w:tcPr>
            <w:tcW w:w="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900" w:type="dxa"/>
            <w:vAlign w:val="bottom"/>
            <w:tcBorders>
              <w:bottom w:val="single" w:sz="8" w:color="CCEDFF"/>
            </w:tcBorders>
            <w:shd w:val="clear" w:color="auto" w:fill="CCEDFF"/>
          </w:tcPr>
          <w:p>
            <w:pPr>
              <w:ind w:left="360"/>
              <w:spacing w:after="0" w:line="189" w:lineRule="exact"/>
              <w:rPr>
                <w:sz w:val="20"/>
                <w:szCs w:val="20"/>
                <w:color w:val="auto"/>
              </w:rPr>
            </w:pPr>
            <w:r>
              <w:rPr>
                <w:rFonts w:ascii="Times New Roman" w:cs="Times New Roman" w:eastAsia="Times New Roman" w:hAnsi="Times New Roman"/>
                <w:sz w:val="18"/>
                <w:szCs w:val="18"/>
                <w:i w:val="1"/>
                <w:iCs w:val="1"/>
                <w:color w:val="auto"/>
              </w:rPr>
              <w:t>Executive Officer</w:t>
            </w:r>
          </w:p>
        </w:tc>
        <w:tc>
          <w:tcPr>
            <w:tcW w:w="100" w:type="dxa"/>
            <w:vAlign w:val="bottom"/>
          </w:tcPr>
          <w:p>
            <w:pPr>
              <w:spacing w:after="0"/>
              <w:rPr>
                <w:sz w:val="21"/>
                <w:szCs w:val="21"/>
                <w:color w:val="auto"/>
              </w:rPr>
            </w:pPr>
          </w:p>
        </w:tc>
        <w:tc>
          <w:tcPr>
            <w:tcW w:w="1520" w:type="dxa"/>
            <w:vAlign w:val="bottom"/>
            <w:gridSpan w:val="7"/>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​2022</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​379,981</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w:t>
            </w:r>
          </w:p>
        </w:tc>
        <w:tc>
          <w:tcPr>
            <w:tcW w:w="68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15"/>
                <w:szCs w:val="15"/>
                <w:color w:val="auto"/>
              </w:rPr>
              <w:t>52,800</w:t>
            </w:r>
            <w:r>
              <w:rPr>
                <w:rFonts w:ascii="Times New Roman" w:cs="Times New Roman" w:eastAsia="Times New Roman" w:hAnsi="Times New Roman"/>
                <w:sz w:val="27"/>
                <w:szCs w:val="27"/>
                <w:color w:val="auto"/>
                <w:vertAlign w:val="super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tcPr>
          <w:p>
            <w:pPr>
              <w:ind w:left="240"/>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​149,142</w:t>
            </w:r>
            <w:r>
              <w:rPr>
                <w:rFonts w:ascii="Times New Roman" w:cs="Times New Roman" w:eastAsia="Times New Roman" w:hAnsi="Times New Roman"/>
                <w:sz w:val="19"/>
                <w:szCs w:val="19"/>
                <w:color w:val="auto"/>
                <w:vertAlign w:val="superscript"/>
              </w:rPr>
              <w:t>(2)(3)</w:t>
            </w: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40"/>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​581,923</w:t>
            </w:r>
          </w:p>
        </w:tc>
        <w:tc>
          <w:tcPr>
            <w:tcW w:w="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Peter Hoang,</w:t>
            </w:r>
          </w:p>
        </w:tc>
        <w:tc>
          <w:tcPr>
            <w:tcW w:w="58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456"/>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President and</w:t>
            </w:r>
          </w:p>
        </w:tc>
        <w:tc>
          <w:tcPr>
            <w:tcW w:w="1620" w:type="dxa"/>
            <w:vAlign w:val="bottom"/>
            <w:gridSpan w:val="8"/>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​2023</w:t>
            </w: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​156,894</w:t>
            </w: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w:t>
            </w:r>
          </w:p>
        </w:tc>
        <w:tc>
          <w:tcPr>
            <w:tcW w:w="680" w:type="dxa"/>
            <w:vAlign w:val="bottom"/>
            <w:gridSpan w:val="2"/>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40"/>
              <w:spacing w:after="0" w:line="281"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40"/>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​425,500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​582,394</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36"/>
        </w:trPr>
        <w:tc>
          <w:tcPr>
            <w:tcW w:w="19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100" w:type="dxa"/>
            <w:vAlign w:val="bottom"/>
          </w:tcPr>
          <w:p>
            <w:pPr>
              <w:spacing w:after="0"/>
              <w:rPr>
                <w:sz w:val="20"/>
                <w:szCs w:val="20"/>
                <w:color w:val="auto"/>
              </w:rPr>
            </w:pPr>
          </w:p>
        </w:tc>
        <w:tc>
          <w:tcPr>
            <w:tcW w:w="228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​​2022​​ ​​424,270​​ ​​141,900​​ ​</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​​556,170​</w:t>
            </w:r>
          </w:p>
        </w:tc>
        <w:tc>
          <w:tcPr>
            <w:tcW w:w="0" w:type="dxa"/>
            <w:vAlign w:val="bottom"/>
          </w:tcPr>
          <w:p>
            <w:pPr>
              <w:spacing w:after="0"/>
              <w:rPr>
                <w:sz w:val="1"/>
                <w:szCs w:val="1"/>
                <w:color w:val="auto"/>
              </w:rPr>
            </w:pPr>
          </w:p>
        </w:tc>
      </w:tr>
      <w:tr>
        <w:trPr>
          <w:trHeight w:val="240"/>
        </w:trPr>
        <w:tc>
          <w:tcPr>
            <w:tcW w:w="19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190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Michael Loiacono,</w:t>
            </w:r>
          </w:p>
        </w:tc>
        <w:tc>
          <w:tcPr>
            <w:tcW w:w="580" w:type="dxa"/>
            <w:vAlign w:val="bottom"/>
            <w:tcBorders>
              <w:bottom w:val="single" w:sz="8" w:color="CCEDFF"/>
            </w:tcBorders>
            <w:gridSpan w:val="3"/>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bottom w:val="single" w:sz="8" w:color="CCEDFF"/>
            </w:tcBorders>
            <w:gridSpan w:val="2"/>
            <w:shd w:val="clear" w:color="auto" w:fill="CCEDFF"/>
          </w:tcPr>
          <w:p>
            <w:pPr>
              <w:jc w:val="right"/>
              <w:ind w:right="456"/>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DFF"/>
            </w:tcBorders>
            <w:shd w:val="clear" w:color="auto" w:fill="CCEDFF"/>
          </w:tcPr>
          <w:p>
            <w:pPr>
              <w:spacing w:after="0"/>
              <w:rPr>
                <w:sz w:val="20"/>
                <w:szCs w:val="20"/>
                <w:color w:val="auto"/>
              </w:rPr>
            </w:pPr>
          </w:p>
        </w:tc>
        <w:tc>
          <w:tcPr>
            <w:tcW w:w="22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DFF"/>
            </w:tcBorders>
            <w:shd w:val="clear" w:color="auto" w:fill="CCED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DFF"/>
            </w:tcBorders>
            <w:gridSpan w:val="4"/>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90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DFF"/>
            </w:tcBorders>
            <w:gridSpan w:val="7"/>
            <w:shd w:val="clear" w:color="auto" w:fill="CCED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​2023</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​175,915</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w:t>
            </w:r>
          </w:p>
        </w:tc>
        <w:tc>
          <w:tcPr>
            <w:tcW w:w="760" w:type="dxa"/>
            <w:vAlign w:val="bottom"/>
            <w:tcBorders>
              <w:bottom w:val="single" w:sz="8" w:color="CCEDFF"/>
            </w:tcBorders>
            <w:gridSpan w:val="3"/>
            <w:shd w:val="clear" w:color="auto" w:fill="CCEDFF"/>
          </w:tcPr>
          <w:p>
            <w:pPr>
              <w:jc w:val="right"/>
              <w:spacing w:after="0" w:line="250" w:lineRule="exact"/>
              <w:rPr>
                <w:sz w:val="20"/>
                <w:szCs w:val="20"/>
                <w:color w:val="auto"/>
              </w:rPr>
            </w:pPr>
            <w:r>
              <w:rPr>
                <w:rFonts w:ascii="Times New Roman" w:cs="Times New Roman" w:eastAsia="Times New Roman" w:hAnsi="Times New Roman"/>
                <w:sz w:val="15"/>
                <w:szCs w:val="15"/>
                <w:color w:val="auto"/>
              </w:rPr>
              <w:t>63,000</w:t>
            </w:r>
            <w:r>
              <w:rPr>
                <w:rFonts w:ascii="Times New Roman" w:cs="Times New Roman" w:eastAsia="Times New Roman" w:hAnsi="Times New Roman"/>
                <w:sz w:val="28"/>
                <w:szCs w:val="28"/>
                <w:color w:val="auto"/>
                <w:vertAlign w:val="superscript"/>
              </w:rPr>
              <w:t>​​ ​</w:t>
            </w:r>
          </w:p>
        </w:tc>
        <w:tc>
          <w:tcPr>
            <w:tcW w:w="480" w:type="dxa"/>
            <w:vAlign w:val="bottom"/>
            <w:tcBorders>
              <w:bottom w:val="single" w:sz="8" w:color="CCEDFF"/>
            </w:tcBorders>
            <w:shd w:val="clear" w:color="auto" w:fill="CCEDFF"/>
          </w:tcPr>
          <w:p>
            <w:pPr>
              <w:ind w:left="2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36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bottom w:val="single" w:sz="8" w:color="CCEDFF"/>
            </w:tcBorders>
            <w:gridSpan w:val="2"/>
            <w:shd w:val="clear" w:color="auto" w:fill="CCEDFF"/>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​327,600</w:t>
            </w:r>
          </w:p>
        </w:tc>
        <w:tc>
          <w:tcPr>
            <w:tcW w:w="840" w:type="dxa"/>
            <w:vAlign w:val="bottom"/>
            <w:tcBorders>
              <w:bottom w:val="single" w:sz="8" w:color="CCEDFF"/>
            </w:tcBorders>
            <w:gridSpan w:val="4"/>
            <w:shd w:val="clear" w:color="auto" w:fill="CCED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​566,515</w:t>
            </w:r>
          </w:p>
        </w:tc>
        <w:tc>
          <w:tcPr>
            <w:tcW w:w="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900" w:type="dxa"/>
            <w:vAlign w:val="bottom"/>
            <w:tcBorders>
              <w:bottom w:val="single" w:sz="8" w:color="CCEDFF"/>
            </w:tcBorders>
            <w:shd w:val="clear" w:color="auto" w:fill="CCEDFF"/>
          </w:tcPr>
          <w:p>
            <w:pPr>
              <w:ind w:left="360"/>
              <w:spacing w:after="0" w:line="189" w:lineRule="exact"/>
              <w:rPr>
                <w:sz w:val="20"/>
                <w:szCs w:val="20"/>
                <w:color w:val="auto"/>
              </w:rPr>
            </w:pPr>
            <w:r>
              <w:rPr>
                <w:rFonts w:ascii="Times New Roman" w:cs="Times New Roman" w:eastAsia="Times New Roman" w:hAnsi="Times New Roman"/>
                <w:sz w:val="18"/>
                <w:szCs w:val="18"/>
                <w:i w:val="1"/>
                <w:iCs w:val="1"/>
                <w:color w:val="auto"/>
              </w:rPr>
              <w:t>Accounting Officer</w:t>
            </w:r>
          </w:p>
        </w:tc>
        <w:tc>
          <w:tcPr>
            <w:tcW w:w="100" w:type="dxa"/>
            <w:vAlign w:val="bottom"/>
          </w:tcPr>
          <w:p>
            <w:pPr>
              <w:spacing w:after="0"/>
              <w:rPr>
                <w:sz w:val="21"/>
                <w:szCs w:val="21"/>
                <w:color w:val="auto"/>
              </w:rPr>
            </w:pPr>
          </w:p>
        </w:tc>
        <w:tc>
          <w:tcPr>
            <w:tcW w:w="1520" w:type="dxa"/>
            <w:vAlign w:val="bottom"/>
            <w:gridSpan w:val="7"/>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​2022</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​314,423</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w:t>
            </w:r>
          </w:p>
        </w:tc>
        <w:tc>
          <w:tcPr>
            <w:tcW w:w="76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15"/>
                <w:szCs w:val="15"/>
                <w:color w:val="auto"/>
              </w:rPr>
              <w:t>46,000</w:t>
            </w:r>
            <w:r>
              <w:rPr>
                <w:rFonts w:ascii="Times New Roman" w:cs="Times New Roman" w:eastAsia="Times New Roman" w:hAnsi="Times New Roman"/>
                <w:sz w:val="27"/>
                <w:szCs w:val="27"/>
                <w:color w:val="auto"/>
                <w:vertAlign w:val="superscript"/>
              </w:rPr>
              <w:t>​​ ​</w:t>
            </w:r>
          </w:p>
        </w:tc>
        <w:tc>
          <w:tcPr>
            <w:tcW w:w="840" w:type="dxa"/>
            <w:vAlign w:val="bottom"/>
            <w:gridSpan w:val="2"/>
          </w:tcPr>
          <w:p>
            <w:pPr>
              <w:ind w:left="2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​118,738</w:t>
            </w:r>
          </w:p>
        </w:tc>
        <w:tc>
          <w:tcPr>
            <w:tcW w:w="2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ind w:left="2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​479,161</w:t>
            </w:r>
          </w:p>
        </w:tc>
        <w:tc>
          <w:tcPr>
            <w:tcW w:w="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58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456"/>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our Former Chief</w:t>
            </w:r>
          </w:p>
        </w:tc>
        <w:tc>
          <w:tcPr>
            <w:tcW w:w="1620" w:type="dxa"/>
            <w:vAlign w:val="bottom"/>
            <w:gridSpan w:val="8"/>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​2023</w:t>
            </w: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​135,346</w:t>
            </w: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w:t>
            </w:r>
          </w:p>
        </w:tc>
        <w:tc>
          <w:tcPr>
            <w:tcW w:w="680" w:type="dxa"/>
            <w:vAlign w:val="bottom"/>
            <w:gridSpan w:val="2"/>
          </w:tcPr>
          <w:p>
            <w:pPr>
              <w:jc w:val="right"/>
              <w:spacing w:after="0" w:line="281" w:lineRule="exact"/>
              <w:rPr>
                <w:sz w:val="20"/>
                <w:szCs w:val="20"/>
                <w:color w:val="auto"/>
              </w:rPr>
            </w:pPr>
            <w:r>
              <w:rPr>
                <w:rFonts w:ascii="Times New Roman" w:cs="Times New Roman" w:eastAsia="Times New Roman" w:hAnsi="Times New Roman"/>
                <w:sz w:val="17"/>
                <w:szCs w:val="17"/>
                <w:color w:val="auto"/>
              </w:rPr>
              <w:t>84,800</w:t>
            </w:r>
            <w:r>
              <w:rPr>
                <w:rFonts w:ascii="Times New Roman" w:cs="Times New Roman" w:eastAsia="Times New Roman" w:hAnsi="Times New Roman"/>
                <w:sz w:val="32"/>
                <w:szCs w:val="32"/>
                <w:color w:val="auto"/>
                <w:vertAlign w:val="super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40"/>
              <w:spacing w:after="0" w:line="281"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40"/>
              <w:spacing w:after="0" w:line="281"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​220,146</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196"/>
        </w:trPr>
        <w:tc>
          <w:tcPr>
            <w:tcW w:w="190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i w:val="1"/>
                <w:iCs w:val="1"/>
                <w:color w:val="auto"/>
              </w:rPr>
              <w:t>Medical Officer</w:t>
            </w:r>
          </w:p>
        </w:tc>
        <w:tc>
          <w:tcPr>
            <w:tcW w:w="100" w:type="dxa"/>
            <w:vAlign w:val="bottom"/>
          </w:tcPr>
          <w:p>
            <w:pPr>
              <w:spacing w:after="0"/>
              <w:rPr>
                <w:sz w:val="17"/>
                <w:szCs w:val="17"/>
                <w:color w:val="auto"/>
              </w:rPr>
            </w:pPr>
          </w:p>
        </w:tc>
        <w:tc>
          <w:tcPr>
            <w:tcW w:w="480" w:type="dxa"/>
            <w:vAlign w:val="bottom"/>
            <w:gridSpan w:val="2"/>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56"/>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​424,269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​155,313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​632,382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-2102485</wp:posOffset>
            </wp:positionV>
            <wp:extent cx="3540125"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0125" cy="36004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-953770</wp:posOffset>
            </wp:positionV>
            <wp:extent cx="3540125" cy="360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40125" cy="36004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-2273935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-2273935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-2273935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-2273935</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-2273935</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-2273935</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116840</wp:posOffset>
            </wp:positionV>
            <wp:extent cx="18345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94" w:lineRule="exact"/>
        <w:rPr>
          <w:sz w:val="20"/>
          <w:szCs w:val="20"/>
          <w:color w:val="auto"/>
        </w:rPr>
      </w:pPr>
    </w:p>
    <w:p>
      <w:pPr>
        <w:jc w:val="both"/>
        <w:ind w:left="2340" w:right="419" w:hanging="360"/>
        <w:spacing w:after="0" w:line="254" w:lineRule="auto"/>
        <w:tabs>
          <w:tab w:leader="none" w:pos="2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2022, as computed in accordance with Financial Accounting Standard Board Accounting Standards Codification Topic 718 for stock-based compensation transactions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w:t>
      </w:r>
    </w:p>
    <w:p>
      <w:pPr>
        <w:spacing w:after="0" w:line="242" w:lineRule="exact"/>
        <w:rPr>
          <w:rFonts w:ascii="Times New Roman" w:cs="Times New Roman" w:eastAsia="Times New Roman" w:hAnsi="Times New Roman"/>
          <w:sz w:val="18"/>
          <w:szCs w:val="18"/>
          <w:color w:val="auto"/>
        </w:rPr>
      </w:pPr>
    </w:p>
    <w:p>
      <w:pPr>
        <w:ind w:left="1620" w:right="419" w:hanging="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Effective June 30, 2023, Michael Loiacono, the Company’s former Chief Accounting Officer was separated from the Company. In recognition of Mr. Loiacono’s service to the Company, the Company has agreed to provide Mr. Loiacono with severance benefits that are consistent with those contemplated by his Employment Agreement, as amended as of November 27, 2018, by and between the Company and Mr. Loiacono (the “Employment Agreement”) upon Mr. Loiacono’s execution of a release agreement, the form of which is included in the Employment Agreement.</w:t>
      </w:r>
    </w:p>
    <w:p>
      <w:pPr>
        <w:spacing w:after="0" w:line="5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Mythili Koneru resigned as Chief Medical Officer of the Company effective as of April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-1087755</wp:posOffset>
            </wp:positionV>
            <wp:extent cx="123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340" w:right="419"/>
        <w:spacing w:after="0" w:line="259" w:lineRule="auto"/>
        <w:rPr>
          <w:sz w:val="20"/>
          <w:szCs w:val="20"/>
          <w:color w:val="auto"/>
        </w:rPr>
      </w:pPr>
      <w:r>
        <w:rPr>
          <w:rFonts w:ascii="Times New Roman" w:cs="Times New Roman" w:eastAsia="Times New Roman" w:hAnsi="Times New Roman"/>
          <w:sz w:val="18"/>
          <w:szCs w:val="18"/>
          <w:color w:val="auto"/>
        </w:rPr>
        <w:t>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268" w:lineRule="exact"/>
        <w:rPr>
          <w:sz w:val="20"/>
          <w:szCs w:val="20"/>
          <w:color w:val="auto"/>
        </w:rPr>
      </w:pPr>
    </w:p>
    <w:p>
      <w:pPr>
        <w:jc w:val="both"/>
        <w:ind w:left="2340" w:right="419" w:hanging="360"/>
        <w:spacing w:after="0" w:line="259" w:lineRule="auto"/>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Vera and Dr. Koneru, the Board determined to pay 51% and 55% respectively, of the 2022 annual incentives in the form of equity awards under the Company’s 2020 Equity Incentive Plan (as amended, the “2020 Plan), as described below in “−Narrative to Summary Compensation Table – Executive Compensation Program – Annual Incentive Compensation”.</w:t>
      </w:r>
    </w:p>
    <w:p>
      <w:pPr>
        <w:spacing w:after="0" w:line="254"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Vera did not earn compensation during 2022 for his service on the Board. Dr. Vera was appointed President and Chief Executive officer effective May 1, 2023.</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compensation program is designed to achieve the following objectives:</w:t>
      </w:r>
    </w:p>
    <w:p>
      <w:pPr>
        <w:spacing w:after="0" w:line="117" w:lineRule="exact"/>
        <w:rPr>
          <w:sz w:val="20"/>
          <w:szCs w:val="20"/>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reward our named executive officers whose knowledge, skills, performance and business relationships are critical to our success;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named executive officers to manage our business to meet short-term and long-range goals designed to drive the responsible creation of stockholder value and reward accomplishment of these goals;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linking their long-term incentive compensation opportunities to stockholder value creation;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within the context of responsible cost management.</w:t>
      </w:r>
    </w:p>
    <w:p>
      <w:pPr>
        <w:spacing w:after="0" w:line="15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named executive officers. In setting executive base salaries and granting equity and non-equity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the Company. We do not target a specific mix of compensation among base salary, bonus or long-term incentives, but we structure a significant portion of our executives’ compensation to be variable, at risk and tied directly to the measurable performance of our Company and each executive officer.</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Executive Officers in Setting Executive Compensation</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Compensation Committee of our Board (“Compensation Committee”) is responsible for determining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 The Chief Executive Officer may not participate in, or be present during, any deliberations or determinations of the Compensation Committee regarding his compensation. The Compensation Committee makes recommendations to the Board regarding the Chief Executive Officer’s compensation for approval by the full Board.</w:t>
      </w:r>
    </w:p>
    <w:p>
      <w:pPr>
        <w:spacing w:after="0" w:line="340"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factors prescribed by the SEC and Nasdaq described above, the Compensation Committee engaged Radford, which is part of the Rewards Solutions practice at Aon plc, as its compensation consultant (“Radford”). Our Compensation Committee identified Radford based on Radford’s general reputation in the industry. The Compensation Committee requested that Radford:</w:t>
      </w:r>
    </w:p>
    <w:p>
      <w:pPr>
        <w:spacing w:after="0" w:line="295" w:lineRule="exact"/>
        <w:rPr>
          <w:sz w:val="20"/>
          <w:szCs w:val="20"/>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As part of its engagement, Radford was also requested by the Compensation Committee to develop a comparative group of companies and to perform analyses of competitive performance and compensation levels for that group and ultimately developed recommendations that were presented to the Compensation Committee for its consideration. Following an active dialogue with Radford, the Compensation Committee approved the recommendations.</w:t>
      </w:r>
    </w:p>
    <w:p>
      <w:pPr>
        <w:spacing w:after="0" w:line="105"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for approval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Radford, including analyses of executive and director compensation paid at other companies identified by Radford.</w:t>
      </w:r>
    </w:p>
    <w:p>
      <w:pPr>
        <w:spacing w:after="0" w:line="121"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The Compensation Committee also evaluates our executive compensation program in light of our stockholders’ views and our transforming business needs and expects to continue to consider the outcome of our “say on pay” votes and our stockholders’ views when making future executive compensation decisions.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annual compensation arrangements for our named executive officers consist of an annual base salary and long-term incentive compensation in the form of equity awards. Our named executive officers are also eligible to receive short-term incentive compensation in the form of annual incentive awards, which may be paid in cash or equity-based awards. We have historically emphasized the use of equity to provide incentives for our named executive officers to focus on the growth of our overall enterprise value and, correspondingly, to create sustainable value for our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individual executive’s performance, the recommendations made by the Chief Executive Officer to the Compensation Committee and the competitive market in which the Company operates for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annual base salaries for each of our named executive officers for 2023 and 2022, as determined by the Board or Compensation Committee, as applicable:</w:t>
      </w:r>
    </w:p>
    <w:p>
      <w:pPr>
        <w:spacing w:after="0" w:line="128"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2023 Annual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2022 Annual</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7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​156,884</w:t>
            </w:r>
          </w:p>
        </w:tc>
        <w:tc>
          <w:tcPr>
            <w:tcW w:w="3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​424,270</w:t>
            </w:r>
          </w:p>
        </w:tc>
        <w:tc>
          <w:tcPr>
            <w:tcW w:w="160" w:type="dxa"/>
            <w:vAlign w:val="bottom"/>
            <w:shd w:val="clear" w:color="auto" w:fill="CCED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Juan Vera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​399,251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​380,544</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7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​135,346</w:t>
            </w:r>
          </w:p>
        </w:tc>
        <w:tc>
          <w:tcPr>
            <w:tcW w:w="3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​425,000</w:t>
            </w:r>
          </w:p>
        </w:tc>
        <w:tc>
          <w:tcPr>
            <w:tcW w:w="160" w:type="dxa"/>
            <w:vAlign w:val="bottom"/>
            <w:shd w:val="clear" w:color="auto" w:fill="CCED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Michael Loiacono</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​175,915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​314,423</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-676910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-676910</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incentive compensation based on the satisfaction of individual and corporate performance objectives established by the Board. Each named executive officer has a target annual incentive opportunity, calculated as a percentage of annual base salary, and may earn more or less than the target amount based on our company’s and his or her individual performance. For 2023 and 2022, the target annual incentive opportunities as a percentage of base salary for our named executive officers were 50% for Mr. Hoang, 40% for Dr. Vera, 35% for Dr. Koneru and 35% Loiacono. The amounts of any annual incentives earned are determined after the end of the year, based on the achievement of the designated corporate and individual performance objectives, and may be paid in cash or equity-based awards.</w:t>
      </w:r>
    </w:p>
    <w:p>
      <w:pPr>
        <w:spacing w:after="0" w:line="34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For 2023 and 2022, annual incentives were earned based on the Compensation Committee’s assessment of each executive’s performance. The amounts of such annual incentives, which are set forth in the “Summary Compensation Table” above, were recommended by the Compensation Committee and approved by the Board in February 2023 and March 2022 based on each executive’s and our corporate performance in 2023 and 2022, respectively. The annual incentives paid to the named executive officers for 2023 performance are included in the “Non-Equity Incentive Plan Compensation” column of the Summary Compensation Table above.</w:t>
      </w:r>
    </w:p>
    <w:p>
      <w:pPr>
        <w:spacing w:after="0" w:line="33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For 2023, the Board determined not to pay Mr. Hoang an award and to pay 51% and 55% of these awards for Dr. Vera and Dr. Koneru, respectively, in the form of stock options. Such stock options were granted under the Company’s 2020 Plan and are set forth in the table below. These stock options vest in equal monthly installments over a four-year period commencing on March 27, 2023, subject to each officer’s continuous service with us at each vesting date.</w:t>
      </w:r>
    </w:p>
    <w:p>
      <w:pPr>
        <w:spacing w:after="0" w:line="137"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 In Lieu</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Earned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Annual Incentive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2023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4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w w:val="98"/>
              </w:rPr>
              <w:t>Underlying Options)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380" w:type="dxa"/>
            <w:vAlign w:val="bottom"/>
            <w:tcBorders>
              <w:bottom w:val="single" w:sz="8" w:color="auto"/>
            </w:tcBorders>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2"/>
              </w:rPr>
              <w:t>Fair Value ($)</w:t>
            </w:r>
            <w:r>
              <w:rPr>
                <w:rFonts w:ascii="Times New Roman" w:cs="Times New Roman" w:eastAsia="Times New Roman" w:hAnsi="Times New Roman"/>
                <w:sz w:val="17"/>
                <w:szCs w:val="17"/>
                <w:b w:val="1"/>
                <w:bCs w:val="1"/>
                <w:color w:val="auto"/>
                <w:w w:val="92"/>
                <w:vertAlign w:val="superscript"/>
              </w:rPr>
              <w:t>(1)</w:t>
            </w: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3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DFF"/>
          </w:tcPr>
          <w:p>
            <w:pPr>
              <w:jc w:val="center"/>
              <w:ind w:left="3"/>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46,487</w:t>
            </w:r>
          </w:p>
        </w:tc>
        <w:tc>
          <w:tcPr>
            <w:tcW w:w="30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DFF"/>
          </w:tcPr>
          <w:p>
            <w:pPr>
              <w:jc w:val="center"/>
              <w:ind w:left="57"/>
              <w:spacing w:after="0"/>
              <w:rPr>
                <w:sz w:val="20"/>
                <w:szCs w:val="20"/>
                <w:color w:val="auto"/>
              </w:rPr>
            </w:pPr>
            <w:r>
              <w:rPr>
                <w:rFonts w:ascii="Times New Roman" w:cs="Times New Roman" w:eastAsia="Times New Roman" w:hAnsi="Times New Roman"/>
                <w:sz w:val="18"/>
                <w:szCs w:val="18"/>
                <w:color w:val="auto"/>
              </w:rPr>
              <w:t>​$75,894</w:t>
            </w:r>
          </w:p>
        </w:tc>
        <w:tc>
          <w:tcPr>
            <w:tcW w:w="160" w:type="dxa"/>
            <w:vAlign w:val="bottom"/>
            <w:shd w:val="clear" w:color="auto" w:fill="CCED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center"/>
              <w:ind w:left="3"/>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51,918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rPr>
              <w:t>​$84,757</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4"/>
        </w:trPr>
        <w:tc>
          <w:tcPr>
            <w:tcW w:w="23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Michael Loiacono</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DFF"/>
          </w:tcPr>
          <w:p>
            <w:pPr>
              <w:jc w:val="center"/>
              <w:ind w:left="3"/>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​38,480</w:t>
            </w:r>
          </w:p>
        </w:tc>
        <w:tc>
          <w:tcPr>
            <w:tcW w:w="30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DFF"/>
          </w:tcPr>
          <w:p>
            <w:pPr>
              <w:jc w:val="center"/>
              <w:ind w:left="57"/>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$62,819</w:t>
            </w:r>
          </w:p>
        </w:tc>
        <w:tc>
          <w:tcPr>
            <w:tcW w:w="160" w:type="dxa"/>
            <w:vAlign w:val="bottom"/>
            <w:shd w:val="clear" w:color="auto" w:fill="CCED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-548005</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-548005</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146050</wp:posOffset>
            </wp:positionV>
            <wp:extent cx="18345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53" w:lineRule="exact"/>
        <w:rPr>
          <w:sz w:val="20"/>
          <w:szCs w:val="20"/>
          <w:color w:val="auto"/>
        </w:rPr>
      </w:pPr>
    </w:p>
    <w:p>
      <w:pPr>
        <w:jc w:val="both"/>
        <w:ind w:left="2340" w:right="419" w:hanging="360"/>
        <w:spacing w:after="0" w:line="254" w:lineRule="auto"/>
        <w:tabs>
          <w:tab w:leader="none" w:pos="2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2023,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11 to our audited financial statements included in our Annual Report on Form 10-K.</w:t>
      </w:r>
    </w:p>
    <w:p>
      <w:pPr>
        <w:spacing w:after="0" w:line="111"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For 2022, the Board determined not to pay Mr. Hoang an award and to pay 51% and 55% of these awards for Dr. Vera and Dr. Koneru, respectively, in the form of stock options. Such stock options were granted 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Company’s 2020 Plan and are set forth in the table below. Mr. Kim was not eligible to receive an award for 2022 performance. These stock options vest in equal monthly installments over a four-year period commencing on March 27, 2023, subject to each officer’s continuous service with us at each vesting date.</w:t>
      </w:r>
    </w:p>
    <w:p>
      <w:pPr>
        <w:spacing w:after="0" w:line="136"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 Stock</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Grant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Lieu of 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Earned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Annual Incentive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Compensation 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27"/>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2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8"/>
              </w:rPr>
              <w:t>(Number of Shares)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3"/>
              </w:rPr>
              <w:t>Value ($)</w:t>
            </w:r>
            <w:r>
              <w:rPr>
                <w:rFonts w:ascii="Times New Roman" w:cs="Times New Roman" w:eastAsia="Times New Roman" w:hAnsi="Times New Roman"/>
                <w:sz w:val="17"/>
                <w:szCs w:val="17"/>
                <w:b w:val="1"/>
                <w:bCs w:val="1"/>
                <w:color w:val="auto"/>
                <w:w w:val="93"/>
                <w:vertAlign w:val="superscript"/>
              </w:rPr>
              <w:t>(1)</w:t>
            </w:r>
          </w:p>
        </w:tc>
        <w:tc>
          <w:tcPr>
            <w:tcW w:w="16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3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DFF"/>
          </w:tcPr>
          <w:p>
            <w:pPr>
              <w:jc w:val="center"/>
              <w:ind w:lef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46,487</w:t>
            </w:r>
          </w:p>
        </w:tc>
        <w:tc>
          <w:tcPr>
            <w:tcW w:w="32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DFF"/>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75,918</w:t>
            </w:r>
          </w:p>
        </w:tc>
        <w:tc>
          <w:tcPr>
            <w:tcW w:w="160" w:type="dxa"/>
            <w:vAlign w:val="bottom"/>
            <w:shd w:val="clear" w:color="auto" w:fill="CCED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Anthony Kim</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center"/>
              <w:ind w:lef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51,918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84,788</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-350520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-350520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120015</wp:posOffset>
            </wp:positionV>
            <wp:extent cx="18345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13" w:lineRule="exact"/>
        <w:rPr>
          <w:sz w:val="20"/>
          <w:szCs w:val="20"/>
          <w:color w:val="auto"/>
        </w:rPr>
      </w:pPr>
    </w:p>
    <w:p>
      <w:pPr>
        <w:jc w:val="both"/>
        <w:ind w:left="2340" w:right="419" w:hanging="360"/>
        <w:spacing w:after="0" w:line="254" w:lineRule="auto"/>
        <w:tabs>
          <w:tab w:leader="none" w:pos="2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2022,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w:t>
      </w:r>
    </w:p>
    <w:p>
      <w:pPr>
        <w:spacing w:after="0" w:line="12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annual incentives paid to the named executive officers For 2023 and 2022 performance are included in the “Non-Equity Incentive Plan Compensation” column of the Summary Compensation Table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equity- 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Awards are granted pursuant to our 2020 Plan. Our executives generally are awarded an initial new hire grant upon commencement of employment and thereafter on an annual basis, subject to the discretion of the Board or Compensation Committee, as applicable. The equity awards described in this section are included in the “Option Awards” column of the Summary Compensation Table above.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75"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2023. Our named executive officers are eligible to participate in our benefit programs on the same basis as all employees of our company. We generally do not provide perquisites or personal benefits to our named executive officers except in limited circumstances, and we did not provide any perquisites or personal benefits to our named executive officers in 2023.</w:t>
      </w:r>
    </w:p>
    <w:p>
      <w:pPr>
        <w:spacing w:after="0" w:line="400" w:lineRule="exact"/>
        <w:rPr>
          <w:sz w:val="20"/>
          <w:szCs w:val="20"/>
          <w:color w:val="auto"/>
        </w:rPr>
      </w:pPr>
    </w:p>
    <w:p>
      <w:pPr>
        <w:jc w:val="both"/>
        <w:ind w:left="1260" w:right="419"/>
        <w:spacing w:after="0" w:line="30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9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provide for the basic terms of their employment, including base salary, annual incentive opportunity and equity grants, as well as certain severance and change of control benefits. Each of our named executive officers is employed at will and may be terminated at any time for any reason.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Peter Hoang</w:t>
      </w:r>
    </w:p>
    <w:p>
      <w:pPr>
        <w:spacing w:after="0" w:line="14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We entered into an employment agreement with Mr. Hoang in September 2017 and an amendment thereto in March 2019. The term of the agreement was for three years and automatically extended for successive additional 12 months terms unless terminated by Mr. Hoang or us. Under the terms of his employment agreement, Mr. Hoang was eligible to receive a base salary of $362,500, which was subsequently increased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the Board to $380,000 by the March 2019 amendment, and an annual target incentive opportunity of up to 50% of his annual base salary based upon the assessment by the Board of Mr. Hoang’s performance and other conditions as the Board shall have determined in its sole discretion on an annual basis. Pursuant his employment agreement, Mr. Hoang was subject to a covenant not to disclose our confidential information during his employment term and an assignment of intellectual property rights. Also, during his employment term and for a period of 12 months thereafter, Mr. Hoang covenanted not to compete with us and not to solicit any of our customers, vendors or employees.</w:t>
      </w:r>
    </w:p>
    <w:p>
      <w:pPr>
        <w:spacing w:after="0" w:line="1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Under Mr. Hoang’s employment agreement, if his employment had been terminated by us for cause or by Mr. Hoang without good reason (each, as defined in his employment agreement) during the term of the agreement, he would have been entitled to received (i) his then-current annual base salary through the date of termination; (ii) any reimbursable expenses for which he had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 If Mr. Hoang’s employment was terminated by us without cause or by Mr. Hoang for good reason, subject to Mr. Hoang’s execution of a release of claims against us, and in addition to the payment of the Accrued Compensation, Mr. Hoang would have been entitled to (i) a payment equal to 12 months of his annual base salary, as in effect at the termination date; (ii) any earned but unpaid bonus for the prior calendar year; and (iii) a pro-rated bonus payment equal to his target annual performance bonus for the calendar year in which his employment was terminated provided that, Mr. Hoang had served a minimum of six months during the calendar year in which his termination occurred (the “Hoang Additional Severance Payments”). Mr. Hoang is eligible for continued health insurance coverage for 12 months after the date of Mr. Hoang’s termination. Further, if we did not renew Mr. Hoang’s employment agreement at the end of the term, Mr. Hoang would have been entitled to be paid 12 months of his annual base salary over a 12-month period.</w:t>
      </w:r>
    </w:p>
    <w:p>
      <w:pPr>
        <w:spacing w:after="0" w:line="19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If Mr. Hoang’s employment had been terminated by us without cause or by him for good reason during the period of six months following a change in control (as defined in his employment agreement), in lieu of the Hoang Additional Severance Payments and health insurance coverage described above, Mr. Hoang would have been entitled to receive a severance payment equal to the sum of (i) 18 months of his annual base salary, at the higher of the base salary rate in effect on the date of termination or the base salary rate in effect immediately before the effective date of the change in control, and (ii) his performance bonus for the year, which includes the effective date of the change in control, payable at the limit of performance amount. In addition, he would have also received in the same payment the amount of any performance bonus that, as of the date of termination, he had earned but had not yet been paid by us, and he would have been entitled to the vesting of all of outstanding equity awards, such that all such equity awards would have been fully vested as of the date of Mr. Hoang’s termination. Mr. Hoang would also have been eligible for continued health insurance coverage for 18 months after the date of his termination.</w:t>
      </w:r>
    </w:p>
    <w:p>
      <w:pPr>
        <w:spacing w:after="0" w:line="11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Mr. Hoang resigned as our President and Chief Executive Officer effective May 1, 2023. In connection with his resignation, Mr. Hoang and the Company entered into the Separation Agreement (the “Separation Agreement”), dated as of April 27, 2023, providing for the terms of Mr. Hoang’s separation from employment with the Company effective May 1, 2023. Under the Separation Agreement, the Company has agreed, provided that Mr. Hoang does not revoke the Separation Agreement during the seven-day period following his signing of the agreement, to provide Mr. Hoang with the following separation payments and benefits: (i) a payment equal to 12 months of his annual base salary, as in effect at the date of his separation from the Company, less all applicable taxes and withholdings, to be paid in a lump sum; and (ii) subject to Mr. Hoang’s election of COBRA, payment of the premiums for group health and/or dental insurance coverage under COBRA until the earlier of (a) May 30, 2024, (b) the date on which Mr. Hoang becomes eligible to receive group health insurance coverage through another employer, or (c) the date Mr. Hoang ceases to be eligible for COBRA continuation coverage for any reason. The Separation Agreement contains releases, subject to customary exceptions, and covenants not to disparage.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Juan Vera</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We entered into an employment agreement with Dr. Vera in July 2019. Under the terms of his employment agreement, Dr. Vera is eligible to receive a base salary of $350,000 and an annual target incentive opportunity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of 35% of his annual base salary based upon the assessment by the Compensation Committee of Dr. Vera’s performance and other conditions as the Board shall have determined in its sole discretion on an annual basis. Pursuant to his employment agreement, Dr. Vera is subject to a covenant not to disclose our confidential information during his employment term and an assignment of intellectual property rights. Also, during his employment term and for a period of 12 months thereafter, Dr. Vera has covenanted not to compete with us and not to solicit any of our customers, vendors or employees.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Under Dr. Vera’s employment agreement, if his employment is terminated by us for cause or by Dr. Vera without good reason (each as defined in his employment agreement) during the term of the agreement, he will be entitled to receive his Accrued Compensation. If Dr. Vera’s employment is terminated by us without cause or by Dr. Vera for good reason, subject to Dr. Vera’s execution of a release of claims against us, and in addition to the payment of the Accrued Compensation, Dr. Vera will be entitled to (i) a payment equal to 12 months of his annual base salary as in effect at the termination date and (ii) a pro-rated bonus payment equal to his target annual performance bonus for the calendar year in which his employment was terminated (the “Vera Additional Severance Payments”). Dr. Vera will also be eligible for continued health insurance coverage until the earliest of (i) 12 months after the date of Dr. Vera’s termination, (ii) the expiration of Dr. Vera’s eligibility for COBRA coverage and (iii) the date Dr. Vera becomes eligible for substantially equivalent health insurance coverage.</w:t>
      </w:r>
    </w:p>
    <w:p>
      <w:pPr>
        <w:spacing w:after="0" w:line="32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If Dr. Vera’s employment is terminated by us without cause or by him for good reason during the period of 12 months following a change in control of us (as defined in his employment agreement), in lieu of the Additional Severance Payments and health insurance coverage described above and subject to Dr. Vera’s execution of a release of claims, Dr. Vera will be entitled to (i) a payment equal to 12 months of his annual base salary as in effect at the termination date, (ii) a bonus payment equal to his target annual performance bonus for the year of termination and (iii) vesting of all of Dr. Vera’s outstanding equity awards subject to time-based vesting requirements, such that all such equity awards will be fully vested as of the date of Dr. Vera’s termination.</w:t>
      </w:r>
    </w:p>
    <w:p>
      <w:pPr>
        <w:spacing w:after="0" w:line="31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Dr. Vera was appointed President and Chief Executive Officer in April 2023. As of the date of this proxy statement, the Compensation Committee has not determined the terms of Dr. Vera’s compensation as President and Chief Executive Officer.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Mythili Koneru</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entered into an employment agreement with Dr. Koneru in February 2019. Under the terms of her employment agreement, Dr. Koneru was eligible to receive a base salary of $350,000 and an annual target incentive opportunity of 35% of her annual base salary based upon the assessment by the Compensation Committee of Dr. Koneru’s performance and other conditions as the Board shall have determined in its sole discretion on an annual basis. Pursuant to her employment agreement, Dr. Koneru was subject to a covenant not to disclose our confidential information during her employment term and an assignment of intellectual property rights. Also, during her employment term and for a period of 12 months thereafter, Dr. Koneru covenanted not to compete with us and not to solicit any of our customers, vendors or employees.</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Under Dr. Koneru’s employment agreement, if her employment had been terminated by us for cause or by Dr. Koneru without good reason (each as defined in her employment agreement) during the term of the agreement, she would have been entitled to receive her Accrued Compensation. If Dr. Koneru’s employment was terminated by us without cause or by Dr. Koneru for good reason, subject to Dr. Koneru’s execution of a release of claims against us, and in addition to the payment of the Accrued Compensation, Dr. Koneru would have been entitled to (i) a payment equal to 12 months of her annual base salary as in effect at the termination date and (ii) a pro-rated bonus payment equal to her target annual performance bonus for the calendar year in which her employment was terminated (the “Koneru Additional Severance Payments”). Dr. Koneru would have also been eligible for continued health insurance coverage until the earliest of 12 months after the date of Dr. Koneru’s termination, (ii) the expiration of Dr. Koneru’s eligibility for COBRA coverage and (iii) the date Dr. Koneru becomes eligible for substantially equivalent health insurance coverage.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If Dr. Koneru’s employment had been terminated by us without cause or by her for good reason during the period of 12 months following a change in control of us (as defined in her employment agreement), in lieu of the Additional Severance Payments and health insurance coverage described above and subject to Dr. Koneru’s execution of a release of claims, Dr. Koneru would have been entitled to (i) a payment equal to 12 months of her annual base salary as in effect at the termination date, (ii) a bonus payment equal to her target annual performance bonus for the year of termination and (iii) vesting of all of Dr. Koneru’s outstanding equity awards subject to time-based vesting requirements, such that all such equity awards would have been fully vested as of the date of Dr. Koneru’s termination.</w:t>
      </w:r>
    </w:p>
    <w:p>
      <w:pPr>
        <w:spacing w:after="0" w:line="11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Dr. Koneru resigned as our Chief Medical Officer in April 2023 and pursuant to the terms of her employment agreement was not eligible for any of the severance benefits described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Michael Loiacono</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entered into an employment agreement with Mr. Loiacono in August 2016, which was later amended on November 27, 2018. Under the terms of his employment agreement, Mr. Loiacono was eligible to receive a base salary of $275,000 and an annual performance bonus of up to thirty -five percent (35%) of the his annual base salary, based on goals and other conditions as the Board (or duly authorized committee thereof), shall determine in its sole discretion on an annual basis. Pursuant to his employment agreement, Mr. Loiacono was subject to a covenant not to disclose our confidential information during his employment term and an assignment of intellectual property rights. Also, during his employment term and for a period of 12 months thereafter, Mr. Loiacono covenanted not to compete with us and not to solicit any of our customers, vendors or employees.</w:t>
      </w:r>
    </w:p>
    <w:p>
      <w:pPr>
        <w:spacing w:after="0" w:line="3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Under Mr. Loiacono’s employment agreement, if his employment had been terminated by us for cause or by Mr. Loiacono without good reason (each as defined in his employment agreement) during the term of the agreement, he would have been entitled to receive his Accrued Compensation. If Mr. Loiacono’s employment was terminated by us without cause or by Mr. Loiacono for good reason, subject to Mr. Loiacono’s execution of a release of claims against us, and in addition to the payment of the Accrued Compensation, Mr. Loiacono would have been entitled to a payment equal to 12 months of his annual base salary as in effect at the termination date. In addition, he also was entitled to receive upon termination any annual performance bonus that, as of the date of termination, has been earned by Mr. Loiacono but has not yet been paid by the Company to Mr. Loiacono for the calendar year prior to the calendar year in which termination occurs. For the calendar year in which termination occurs, he also was entitled to receive an Annual Performance Bonus payable at the highest performance amount for the pro rata portion of the calendar year he served the Company, provided that, he had has served a minimum of six months during the calendar year of any termination under this subsection. In addition, the Company shall pay the cost for Mr. Loiacono to continue his health insurance benefits under COBRA for a period of twelve (12) months after termination of employment, or the Company will fund an alternative health care insurance plan for the same dollar amount as would be payable under COBRA for such period (collectively, the “Loiacono Additional Severance Payments”).</w:t>
      </w:r>
    </w:p>
    <w:p>
      <w:pPr>
        <w:spacing w:after="0" w:line="33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If Mr. Loiacono’s employment had been terminated by us without cause or by him for good reason during the period of 12 months following a change in control of us (as defined in his employment agreement), in lieu of the Loiacono Additional Severance Payments described above and subject to Mr. Loiacono’s execution of a release of claims, Mr. Loiacono would have been entitled to (i) a payment equal to eight months of his annual base salary as in effect at the termination date and (ii) a bonus payment equal to his target annual performance bonus for the year of termination. Mr. Loiacono would have also been eligible for continued health insurance coverage until the earliest of (i) eight months after the date of Mr. Loiacono’s termination, (ii) the expiration of Mr. Loiacono’s eligibility for COBRA coverage and (iii) the date Mr. Loiacono becomes eligible for substantially equivalent health insurance coverage.</w:t>
      </w:r>
    </w:p>
    <w:p>
      <w:pPr>
        <w:spacing w:after="0" w:line="12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Effective June 30, 2023, Mr. Loiacono was separated from the Company. In recognition of Mr. Loiacono’s service to the Company, the Company has agreed to provide Mr. Loiacono with severance benefits that are consistent with those contemplated by his Employment Agreement, as amended as of November 27, 2018, by and between the Company and Mr. Loiacono (the “Employment Agreement”) upon Mr. Loiacono’s execution of a release agreement, the form of which is included in his Employment Agreement.</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31, 2023</w:t>
      </w:r>
    </w:p>
    <w:p>
      <w:pPr>
        <w:spacing w:after="0" w:line="175"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2023, as adjusted for Reverse Stock Split.</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Grant Date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 Exercisable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Unexercisable</w:t>
            </w:r>
            <w:r>
              <w:rPr>
                <w:rFonts w:ascii="Times New Roman" w:cs="Times New Roman" w:eastAsia="Times New Roman" w:hAnsi="Times New Roman"/>
                <w:sz w:val="17"/>
                <w:szCs w:val="17"/>
                <w:b w:val="1"/>
                <w:bCs w:val="1"/>
                <w:color w:val="auto"/>
                <w:w w:val="95"/>
                <w:vertAlign w:val="superscript"/>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120" w:type="dxa"/>
            <w:vAlign w:val="bottom"/>
            <w:gridSpan w:val="5"/>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Expiration Date </w:t>
            </w:r>
            <w:r>
              <w:rPr>
                <w:rFonts w:ascii="Times New Roman" w:cs="Times New Roman" w:eastAsia="Times New Roman" w:hAnsi="Times New Roman"/>
                <w:sz w:val="24"/>
                <w:szCs w:val="24"/>
                <w:b w:val="1"/>
                <w:bCs w:val="1"/>
                <w:color w:val="auto"/>
                <w:vertAlign w:val="subscript"/>
              </w:rPr>
              <w:t>​</w:t>
            </w:r>
          </w:p>
        </w:tc>
      </w:tr>
      <w:tr>
        <w:trPr>
          <w:trHeight w:val="20"/>
        </w:trPr>
        <w:tc>
          <w:tcPr>
            <w:tcW w:w="2620" w:type="dxa"/>
            <w:vAlign w:val="bottom"/>
            <w:shd w:val="clear" w:color="auto" w:fill="000000"/>
          </w:tcPr>
          <w:p>
            <w:pPr>
              <w:spacing w:after="0" w:line="20" w:lineRule="exact"/>
              <w:rPr>
                <w:sz w:val="1"/>
                <w:szCs w:val="1"/>
                <w:color w:val="auto"/>
              </w:rPr>
            </w:pPr>
          </w:p>
        </w:tc>
        <w:tc>
          <w:tcPr>
            <w:tcW w:w="100" w:type="dxa"/>
            <w:vAlign w:val="bottom"/>
            <w:shd w:val="clear" w:color="auto" w:fill="CCEDFF"/>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2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5/10/2023​​</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DFF"/>
            </w:tcBorders>
            <w:gridSpan w:val="2"/>
            <w:shd w:val="clear" w:color="auto" w:fill="CCEDFF"/>
          </w:tcPr>
          <w:p>
            <w:pPr>
              <w:jc w:val="right"/>
              <w:ind w:right="232"/>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DFF"/>
          </w:tcPr>
          <w:p>
            <w:pPr>
              <w:ind w:left="160"/>
              <w:spacing w:after="0"/>
              <w:rPr>
                <w:sz w:val="20"/>
                <w:szCs w:val="20"/>
                <w:color w:val="auto"/>
              </w:rPr>
            </w:pPr>
            <w:r>
              <w:rPr>
                <w:rFonts w:ascii="Times New Roman" w:cs="Times New Roman" w:eastAsia="Times New Roman" w:hAnsi="Times New Roman"/>
                <w:sz w:val="18"/>
                <w:szCs w:val="18"/>
                <w:color w:val="auto"/>
              </w:rPr>
              <w:t>5/10/33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2/27/2023​​</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DFF"/>
            </w:tcBorders>
            <w:gridSpan w:val="2"/>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9,680</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DFF"/>
            </w:tcBorders>
            <w:gridSpan w:val="2"/>
            <w:shd w:val="clear" w:color="auto" w:fill="CCEDFF"/>
          </w:tcPr>
          <w:p>
            <w:pPr>
              <w:jc w:val="right"/>
              <w:ind w:right="232"/>
              <w:spacing w:after="0"/>
              <w:rPr>
                <w:sz w:val="20"/>
                <w:szCs w:val="20"/>
                <w:color w:val="auto"/>
              </w:rPr>
            </w:pPr>
            <w:r>
              <w:rPr>
                <w:rFonts w:ascii="Times New Roman" w:cs="Times New Roman" w:eastAsia="Times New Roman" w:hAnsi="Times New Roman"/>
                <w:sz w:val="18"/>
                <w:szCs w:val="18"/>
                <w:color w:val="auto"/>
              </w:rPr>
              <w:t>​ 36,807</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DFF"/>
          </w:tcPr>
          <w:p>
            <w:pPr>
              <w:ind w:left="160"/>
              <w:spacing w:after="0"/>
              <w:rPr>
                <w:sz w:val="20"/>
                <w:szCs w:val="20"/>
                <w:color w:val="auto"/>
              </w:rPr>
            </w:pPr>
            <w:r>
              <w:rPr>
                <w:rFonts w:ascii="Times New Roman" w:cs="Times New Roman" w:eastAsia="Times New Roman" w:hAnsi="Times New Roman"/>
                <w:sz w:val="18"/>
                <w:szCs w:val="18"/>
                <w:color w:val="auto"/>
                <w:w w:val="94"/>
              </w:rPr>
              <w:t>2/27/32</w:t>
            </w:r>
          </w:p>
        </w:tc>
        <w:tc>
          <w:tcPr>
            <w:tcW w:w="80" w:type="dxa"/>
            <w:vAlign w:val="bottom"/>
            <w:shd w:val="clear" w:color="auto" w:fill="CCED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2/17/2022​​</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DFF"/>
            </w:tcBorders>
            <w:gridSpan w:val="2"/>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7,336</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DFF"/>
            </w:tcBorders>
            <w:shd w:val="clear" w:color="auto" w:fill="CCEDFF"/>
          </w:tcPr>
          <w:p>
            <w:pPr>
              <w:jc w:val="right"/>
              <w:ind w:right="232"/>
              <w:spacing w:after="0"/>
              <w:rPr>
                <w:sz w:val="20"/>
                <w:szCs w:val="20"/>
                <w:color w:val="auto"/>
              </w:rPr>
            </w:pPr>
            <w:r>
              <w:rPr>
                <w:rFonts w:ascii="Times New Roman" w:cs="Times New Roman" w:eastAsia="Times New Roman" w:hAnsi="Times New Roman"/>
                <w:sz w:val="18"/>
                <w:szCs w:val="18"/>
                <w:color w:val="auto"/>
              </w:rPr>
              <w:t>8,665</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4.60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2/17/2032</w:t>
            </w:r>
          </w:p>
        </w:tc>
        <w:tc>
          <w:tcPr>
            <w:tcW w:w="80" w:type="dxa"/>
            <w:vAlign w:val="bottom"/>
            <w:shd w:val="clear" w:color="auto" w:fill="CCED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2/10/2021​​</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DFF"/>
            </w:tcBorders>
            <w:gridSpan w:val="2"/>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9,923</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DFF"/>
            </w:tcBorders>
            <w:shd w:val="clear" w:color="auto" w:fill="CCEDFF"/>
          </w:tcPr>
          <w:p>
            <w:pPr>
              <w:jc w:val="right"/>
              <w:ind w:right="232"/>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32.90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2/10/2031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 3/10/2020</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DFF"/>
            </w:tcBorders>
            <w:gridSpan w:val="2"/>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13,127</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DFF"/>
            </w:tcBorders>
            <w:shd w:val="clear" w:color="auto" w:fill="CCEDFF"/>
          </w:tcPr>
          <w:p>
            <w:pPr>
              <w:jc w:val="right"/>
              <w:ind w:right="232"/>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3/10/2030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w w:val="99"/>
              </w:rPr>
              <w:t>​10/19/2018</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DFF"/>
            </w:tcBorders>
            <w:gridSpan w:val="2"/>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50,000</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DFF"/>
            </w:tcBorders>
            <w:shd w:val="clear" w:color="auto" w:fill="CCED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91.80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10/19/2028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Peter Hoang</w:t>
            </w:r>
            <w:r>
              <w:rPr>
                <w:rFonts w:ascii="Times New Roman" w:cs="Times New Roman" w:eastAsia="Times New Roman" w:hAnsi="Times New Roman"/>
                <w:sz w:val="23"/>
                <w:szCs w:val="23"/>
                <w:color w:val="auto"/>
                <w:vertAlign w:val="superscript"/>
              </w:rPr>
              <w:t>(5)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83"/>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DFF"/>
            </w:tcBorders>
            <w:shd w:val="clear" w:color="auto" w:fill="CCED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DFF"/>
          </w:tcPr>
          <w:p>
            <w:pPr>
              <w:spacing w:after="0"/>
              <w:rPr>
                <w:sz w:val="24"/>
                <w:szCs w:val="24"/>
                <w:color w:val="auto"/>
              </w:rPr>
            </w:pPr>
          </w:p>
        </w:tc>
        <w:tc>
          <w:tcPr>
            <w:tcW w:w="8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Michael Loiacono</w:t>
            </w:r>
            <w:r>
              <w:rPr>
                <w:rFonts w:ascii="Times New Roman" w:cs="Times New Roman" w:eastAsia="Times New Roman" w:hAnsi="Times New Roman"/>
                <w:sz w:val="23"/>
                <w:szCs w:val="23"/>
                <w:color w:val="auto"/>
                <w:vertAlign w:val="superscript"/>
              </w:rPr>
              <w:t>(5)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-1543050</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-1543050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-1543050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-1543050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-1543050</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8256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11" w:lineRule="exact"/>
        <w:rPr>
          <w:sz w:val="20"/>
          <w:szCs w:val="20"/>
          <w:color w:val="auto"/>
        </w:rPr>
      </w:pPr>
    </w:p>
    <w:p>
      <w:pPr>
        <w:jc w:val="both"/>
        <w:ind w:left="1620" w:right="419" w:hanging="360"/>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awards listed in the table granted prior to June 2020 were granted under our 2014 Omnibus Stock Ownership Plan. The option awards listed in the table granted after June 2020 were granted under our 2020 Plan.</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75"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award vest in substantially equal monthly installments over 48 months from the date of grant, subject to the named executive officer’s continued service as of each such vesting date.</w:t>
      </w:r>
    </w:p>
    <w:p>
      <w:pPr>
        <w:spacing w:after="0" w:line="241"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of the shares subject to this award vested upon the first anniversary of the date of grant, with the remainder of the shares vesting in substantially equal monthly installments over 48 months from the date of grant, subject to the named executive officer’s continued service as of each such vesting date.</w:t>
      </w:r>
    </w:p>
    <w:p>
      <w:pPr>
        <w:spacing w:after="0" w:line="251"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 awards may be subject to accelerated vesting upon a qualifying termination of employment following a “change in control”, see “Agreements with Our Named Executive Officers and Potential Payments Upon Termination or Change in Control.”</w:t>
      </w:r>
    </w:p>
    <w:p>
      <w:pPr>
        <w:spacing w:after="0" w:line="27"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were canceled after separation and Vested Options were canceled 90 days after separation.</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TEM 402(V)</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ERFORMANCE</w:t>
      </w:r>
    </w:p>
    <w:p>
      <w:pPr>
        <w:spacing w:after="0" w:line="175"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 for the fiscal years listed below. In calculating the compensation actually paid amounts reflected in these columns, the fair value or change in fair value, as applicable, of the equity award adjustments included in such calculations were computed in accordance with FASB ASC Topic 718.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368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shd w:val="clear" w:color="auto" w:fill="CCEDFF"/>
        </w:rPr>
        <w:t>2023</w:t>
      </w: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4"/>
                <w:szCs w:val="14"/>
                <w:color w:val="auto"/>
              </w:rPr>
            </w:pPr>
          </w:p>
        </w:tc>
        <w:tc>
          <w:tcPr>
            <w:tcW w:w="6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Fixed $100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Investment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4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Actually Paid to</w:t>
            </w: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Actually Paid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140" w:type="dxa"/>
            <w:vAlign w:val="bottom"/>
          </w:tcPr>
          <w:p>
            <w:pPr>
              <w:spacing w:after="0"/>
              <w:rPr>
                <w:sz w:val="14"/>
                <w:szCs w:val="14"/>
                <w:color w:val="auto"/>
              </w:rPr>
            </w:pPr>
          </w:p>
        </w:tc>
        <w:tc>
          <w:tcPr>
            <w:tcW w:w="6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based 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102"/>
              <w:spacing w:after="0" w:line="162" w:lineRule="exact"/>
              <w:rPr>
                <w:sz w:val="20"/>
                <w:szCs w:val="20"/>
                <w:color w:val="auto"/>
              </w:rPr>
            </w:pPr>
            <w:r>
              <w:rPr>
                <w:rFonts w:ascii="Times New Roman" w:cs="Times New Roman" w:eastAsia="Times New Roman" w:hAnsi="Times New Roman"/>
                <w:sz w:val="14"/>
                <w:szCs w:val="14"/>
                <w:b w:val="1"/>
                <w:bCs w:val="1"/>
                <w:color w:val="auto"/>
                <w:w w:val="91"/>
              </w:rPr>
              <w:t>PEO 1</w:t>
            </w:r>
            <w:r>
              <w:rPr>
                <w:rFonts w:ascii="Times New Roman" w:cs="Times New Roman" w:eastAsia="Times New Roman" w:hAnsi="Times New Roman"/>
                <w:sz w:val="17"/>
                <w:szCs w:val="17"/>
                <w:b w:val="1"/>
                <w:bCs w:val="1"/>
                <w:color w:val="auto"/>
                <w:w w:val="91"/>
                <w:vertAlign w:val="superscript"/>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5"/>
              </w:rPr>
              <w:t>PEO 2</w:t>
            </w:r>
            <w:r>
              <w:rPr>
                <w:rFonts w:ascii="Times New Roman" w:cs="Times New Roman" w:eastAsia="Times New Roman" w:hAnsi="Times New Roman"/>
                <w:sz w:val="17"/>
                <w:szCs w:val="17"/>
                <w:b w:val="1"/>
                <w:bCs w:val="1"/>
                <w:color w:val="auto"/>
                <w:w w:val="95"/>
                <w:vertAlign w:val="superscript"/>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PEO 1</w:t>
            </w:r>
            <w:r>
              <w:rPr>
                <w:rFonts w:ascii="Times New Roman" w:cs="Times New Roman" w:eastAsia="Times New Roman" w:hAnsi="Times New Roman"/>
                <w:sz w:val="7"/>
                <w:szCs w:val="7"/>
                <w:b w:val="1"/>
                <w:bCs w:val="1"/>
                <w:color w:val="auto"/>
              </w:rPr>
              <w:t>(1)(2)(3)</w:t>
            </w:r>
          </w:p>
        </w:tc>
        <w:tc>
          <w:tcPr>
            <w:tcW w:w="12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PEO 2</w:t>
            </w:r>
            <w:r>
              <w:rPr>
                <w:rFonts w:ascii="Times New Roman" w:cs="Times New Roman" w:eastAsia="Times New Roman" w:hAnsi="Times New Roman"/>
                <w:sz w:val="7"/>
                <w:szCs w:val="7"/>
                <w:b w:val="1"/>
                <w:bCs w:val="1"/>
                <w:color w:val="auto"/>
              </w:rPr>
              <w:t>(1)(2)(3)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42"/>
              <w:spacing w:after="0" w:line="162" w:lineRule="exact"/>
              <w:rPr>
                <w:sz w:val="20"/>
                <w:szCs w:val="20"/>
                <w:color w:val="auto"/>
              </w:rPr>
            </w:pPr>
            <w:r>
              <w:rPr>
                <w:rFonts w:ascii="Times New Roman" w:cs="Times New Roman" w:eastAsia="Times New Roman" w:hAnsi="Times New Roman"/>
                <w:sz w:val="14"/>
                <w:szCs w:val="14"/>
                <w:b w:val="1"/>
                <w:bCs w:val="1"/>
                <w:color w:val="auto"/>
                <w:w w:val="89"/>
              </w:rPr>
              <w:t>NEOs</w:t>
            </w:r>
            <w:r>
              <w:rPr>
                <w:rFonts w:ascii="Times New Roman" w:cs="Times New Roman" w:eastAsia="Times New Roman" w:hAnsi="Times New Roman"/>
                <w:sz w:val="17"/>
                <w:szCs w:val="17"/>
                <w:b w:val="1"/>
                <w:bCs w:val="1"/>
                <w:color w:val="auto"/>
                <w:w w:val="89"/>
                <w:vertAlign w:val="superscript"/>
              </w:rPr>
              <w:t>(1)</w:t>
            </w:r>
          </w:p>
        </w:tc>
        <w:tc>
          <w:tcPr>
            <w:tcW w:w="10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NEOs</w:t>
            </w:r>
            <w:r>
              <w:rPr>
                <w:rFonts w:ascii="Times New Roman" w:cs="Times New Roman" w:eastAsia="Times New Roman" w:hAnsi="Times New Roman"/>
                <w:sz w:val="7"/>
                <w:szCs w:val="7"/>
                <w:b w:val="1"/>
                <w:bCs w:val="1"/>
                <w:color w:val="auto"/>
              </w:rPr>
              <w:t>(1)(2)(3)</w:t>
            </w:r>
          </w:p>
        </w:tc>
        <w:tc>
          <w:tcPr>
            <w:tcW w:w="140" w:type="dxa"/>
            <w:vAlign w:val="bottom"/>
          </w:tcPr>
          <w:p>
            <w:pPr>
              <w:spacing w:after="0"/>
              <w:rPr>
                <w:sz w:val="14"/>
                <w:szCs w:val="14"/>
                <w:color w:val="auto"/>
              </w:rPr>
            </w:pPr>
          </w:p>
        </w:tc>
        <w:tc>
          <w:tcPr>
            <w:tcW w:w="660" w:type="dxa"/>
            <w:vAlign w:val="bottom"/>
          </w:tcPr>
          <w:p>
            <w:pPr>
              <w:jc w:val="center"/>
              <w:ind w:right="23"/>
              <w:spacing w:after="0" w:line="162" w:lineRule="exact"/>
              <w:rPr>
                <w:sz w:val="20"/>
                <w:szCs w:val="20"/>
                <w:color w:val="auto"/>
              </w:rPr>
            </w:pPr>
            <w:r>
              <w:rPr>
                <w:rFonts w:ascii="Times New Roman" w:cs="Times New Roman" w:eastAsia="Times New Roman" w:hAnsi="Times New Roman"/>
                <w:sz w:val="14"/>
                <w:szCs w:val="14"/>
                <w:b w:val="1"/>
                <w:bCs w:val="1"/>
                <w:color w:val="auto"/>
                <w:w w:val="88"/>
              </w:rPr>
              <w:t>TSR</w:t>
            </w:r>
            <w:r>
              <w:rPr>
                <w:rFonts w:ascii="Times New Roman" w:cs="Times New Roman" w:eastAsia="Times New Roman" w:hAnsi="Times New Roman"/>
                <w:sz w:val="17"/>
                <w:szCs w:val="17"/>
                <w:b w:val="1"/>
                <w:bCs w:val="1"/>
                <w:color w:val="auto"/>
                <w:w w:val="88"/>
                <w:vertAlign w:val="superscript"/>
              </w:rPr>
              <w:t>(4)</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 Income</w:t>
            </w:r>
          </w:p>
        </w:tc>
        <w:tc>
          <w:tcPr>
            <w:tcW w:w="60" w:type="dxa"/>
            <w:vAlign w:val="bottom"/>
          </w:tcPr>
          <w:p>
            <w:pPr>
              <w:spacing w:after="0"/>
              <w:rPr>
                <w:sz w:val="14"/>
                <w:szCs w:val="14"/>
                <w:color w:val="auto"/>
              </w:rPr>
            </w:pPr>
          </w:p>
        </w:tc>
      </w:tr>
      <w:tr>
        <w:trPr>
          <w:trHeight w:val="214"/>
        </w:trPr>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Millions) </w:t>
            </w:r>
            <w:r>
              <w:rPr>
                <w:rFonts w:ascii="Times New Roman" w:cs="Times New Roman" w:eastAsia="Times New Roman" w:hAnsi="Times New Roman"/>
                <w:sz w:val="24"/>
                <w:szCs w:val="24"/>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1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85"/>
              </w:rPr>
              <w:t>(f)</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0"/>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shd w:val="clear" w:color="auto" w:fill="CCEDFF"/>
              </w:rPr>
              <w:t>​​ ​</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shd w:val="clear" w:color="auto" w:fill="CCEDFF"/>
              </w:rPr>
              <w:t>581,895</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shd w:val="clear" w:color="auto" w:fill="CCEDFF"/>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shd w:val="clear" w:color="auto" w:fill="CCEDFF"/>
              </w:rPr>
              <w:t>​585,675</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shd w:val="clear" w:color="auto" w:fill="CCEDFF"/>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DFF"/>
              </w:rPr>
              <w:t>​505,413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DFF"/>
              </w:rPr>
              <w:t>​​​</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shd w:val="clear" w:color="auto" w:fill="CCEDFF"/>
              </w:rPr>
              <w:t>​1,144,350</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shd w:val="clear" w:color="auto" w:fill="CCEDFF"/>
              </w:rPr>
              <w:t>​​​</w:t>
            </w:r>
          </w:p>
        </w:tc>
        <w:tc>
          <w:tcPr>
            <w:tcW w:w="840" w:type="dxa"/>
            <w:vAlign w:val="bottom"/>
          </w:tcPr>
          <w:p>
            <w:pPr>
              <w:jc w:val="center"/>
              <w:ind w:right="2"/>
              <w:spacing w:after="0"/>
              <w:rPr>
                <w:sz w:val="20"/>
                <w:szCs w:val="20"/>
                <w:color w:val="auto"/>
              </w:rPr>
            </w:pPr>
            <w:r>
              <w:rPr>
                <w:rFonts w:ascii="Times New Roman" w:cs="Times New Roman" w:eastAsia="Times New Roman" w:hAnsi="Times New Roman"/>
                <w:sz w:val="18"/>
                <w:szCs w:val="18"/>
                <w:color w:val="auto"/>
                <w:shd w:val="clear" w:color="auto" w:fill="CCEDFF"/>
              </w:rPr>
              <w:t>​220,103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DFF"/>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shd w:val="clear" w:color="auto" w:fill="CCEDFF"/>
              </w:rPr>
              <w:t>​</w:t>
            </w:r>
            <w:r>
              <w:rPr>
                <w:rFonts w:ascii="Times New Roman" w:cs="Times New Roman" w:eastAsia="Times New Roman" w:hAnsi="Times New Roman"/>
                <w:sz w:val="18"/>
                <w:szCs w:val="18"/>
                <w:color w:val="auto"/>
                <w:shd w:val="clear" w:color="auto" w:fill="CCEDFF"/>
              </w:rPr>
              <w:t>108,382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DFF"/>
              </w:rPr>
              <w:t>​​​</w:t>
            </w: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18"/>
                <w:szCs w:val="18"/>
                <w:color w:val="auto"/>
                <w:shd w:val="clear" w:color="auto" w:fill="CCEDFF"/>
              </w:rPr>
              <w:t>​37.93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DFF"/>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DFF"/>
              </w:rPr>
              <w:t xml:space="preserve">​ </w:t>
            </w:r>
            <w:r>
              <w:rPr>
                <w:rFonts w:ascii="Times New Roman" w:cs="Times New Roman" w:eastAsia="Times New Roman" w:hAnsi="Times New Roman"/>
                <w:sz w:val="18"/>
                <w:szCs w:val="18"/>
                <w:color w:val="auto"/>
                <w:shd w:val="clear" w:color="auto" w:fill="CCEDFF"/>
              </w:rPr>
              <w:t>(8.24)</w:t>
            </w:r>
            <w:r>
              <w:rPr>
                <w:rFonts w:ascii="Times New Roman" w:cs="Times New Roman" w:eastAsia="Times New Roman" w:hAnsi="Times New Roman"/>
                <w:sz w:val="18"/>
                <w:szCs w:val="18"/>
                <w:b w:val="1"/>
                <w:bCs w:val="1"/>
                <w:color w:val="auto"/>
                <w:shd w:val="clear" w:color="auto" w:fill="CCEDFF"/>
              </w:rPr>
              <w:t xml:space="preserve"> </w:t>
            </w:r>
            <w:r>
              <w:rPr>
                <w:rFonts w:ascii="Times New Roman" w:cs="Times New Roman" w:eastAsia="Times New Roman" w:hAnsi="Times New Roman"/>
                <w:sz w:val="18"/>
                <w:szCs w:val="18"/>
                <w:b w:val="1"/>
                <w:bCs w:val="1"/>
                <w:color w:val="auto"/>
              </w:rPr>
              <w:t>​</w:t>
            </w:r>
          </w:p>
        </w:tc>
      </w:tr>
      <w:tr>
        <w:trPr>
          <w:trHeight w:val="270"/>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566,170</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​278,141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right="2"/>
              <w:spacing w:after="0"/>
              <w:rPr>
                <w:sz w:val="20"/>
                <w:szCs w:val="20"/>
                <w:color w:val="auto"/>
              </w:rPr>
            </w:pPr>
            <w:r>
              <w:rPr>
                <w:rFonts w:ascii="Times New Roman" w:cs="Times New Roman" w:eastAsia="Times New Roman" w:hAnsi="Times New Roman"/>
                <w:sz w:val="18"/>
                <w:szCs w:val="18"/>
                <w:color w:val="auto"/>
              </w:rPr>
              <w:t>​613,007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497,603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(29.93)</w:t>
            </w:r>
            <w:r>
              <w:rPr>
                <w:rFonts w:ascii="Times New Roman" w:cs="Times New Roman" w:eastAsia="Times New Roman" w:hAnsi="Times New Roman"/>
                <w:sz w:val="18"/>
                <w:szCs w:val="18"/>
                <w:b w:val="1"/>
                <w:bCs w:val="1"/>
                <w:color w:val="auto"/>
              </w:rPr>
              <w:t xml:space="preserve"> ​</w:t>
            </w:r>
          </w:p>
        </w:tc>
      </w:tr>
      <w:tr>
        <w:trPr>
          <w:trHeight w:val="475"/>
        </w:trPr>
        <w:tc>
          <w:tcPr>
            <w:tcW w:w="96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​1,619,032</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​914,489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right="2"/>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​924,915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​640,117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​65.53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​(41.88) </w:t>
            </w:r>
            <w:r>
              <w:rPr>
                <w:rFonts w:ascii="Times New Roman" w:cs="Times New Roman" w:eastAsia="Times New Roman" w:hAnsi="Times New Roman"/>
                <w:sz w:val="35"/>
                <w:szCs w:val="35"/>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-318135</wp:posOffset>
            </wp:positionV>
            <wp:extent cx="521208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33020</wp:posOffset>
            </wp:positionV>
            <wp:extent cx="12344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1600" w:space="260"/>
            <w:col w:w="8019"/>
          </w:cols>
          <w:pgMar w:left="580" w:top="97" w:right="1440" w:bottom="1440" w:gutter="0" w:footer="0" w:header="0"/>
          <w:type w:val="continuous"/>
        </w:sectPr>
      </w:pPr>
    </w:p>
    <w:p>
      <w:pPr>
        <w:jc w:val="both"/>
        <w:ind w:left="1620" w:right="419" w:hanging="360"/>
        <w:spacing w:after="0" w:line="26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was our PEO (PEO 1) for each year through April 30, 2023. Juan Vera became our PEO (PEO 2) effectively May 1, 2023, and was a Non-PEO NEO in 2022. The individuals comprising the Non-PEO NEOs for each year presented are listed below.</w:t>
      </w:r>
    </w:p>
    <w:p>
      <w:pPr>
        <w:spacing w:after="0" w:line="115" w:lineRule="exact"/>
        <w:rPr>
          <w:sz w:val="20"/>
          <w:szCs w:val="20"/>
          <w:color w:val="auto"/>
        </w:rPr>
      </w:pPr>
    </w:p>
    <w:tbl>
      <w:tblPr>
        <w:tblLayout w:type="fixed"/>
        <w:tblInd w:w="2340" w:type="dxa"/>
        <w:tblCellMar>
          <w:top w:w="0" w:type="dxa"/>
          <w:left w:w="0" w:type="dxa"/>
          <w:bottom w:w="0" w:type="dxa"/>
          <w:right w:w="0" w:type="dxa"/>
        </w:tblCellMar>
      </w:tblPr>
      <w:tr>
        <w:trPr>
          <w:trHeight w:val="227"/>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ind w:right="175"/>
              <w:spacing w:after="0"/>
              <w:rPr>
                <w:sz w:val="20"/>
                <w:szCs w:val="20"/>
                <w:color w:val="auto"/>
              </w:rPr>
            </w:pPr>
            <w:r>
              <w:rPr>
                <w:rFonts w:ascii="Times New Roman" w:cs="Times New Roman" w:eastAsia="Times New Roman" w:hAnsi="Times New Roman"/>
                <w:sz w:val="18"/>
                <w:szCs w:val="18"/>
                <w:color w:val="auto"/>
              </w:rPr>
              <w:t>Anthony Kim</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Anthony Kim</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Mythili Koneru</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ind w:right="175"/>
              <w:spacing w:after="0"/>
              <w:rPr>
                <w:sz w:val="20"/>
                <w:szCs w:val="20"/>
                <w:color w:val="auto"/>
              </w:rPr>
            </w:pPr>
            <w:r>
              <w:rPr>
                <w:rFonts w:ascii="Times New Roman" w:cs="Times New Roman" w:eastAsia="Times New Roman" w:hAnsi="Times New Roman"/>
                <w:sz w:val="18"/>
                <w:szCs w:val="18"/>
                <w:color w:val="auto"/>
              </w:rPr>
              <w:t>Mythili Koneru</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Mythili Koneru</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Juan Vera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jc w:val="both"/>
        <w:ind w:left="1620" w:right="41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PEOs and the Non-PEO NEOs as set forth below. Equity values are calculated in accordance with FASB ASC Topic 718. Amounts in the Exclusion of Option Awards column are the amounts from the Option Awards column set forth in the Summary Compensation Table.</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Exclusion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Inclusion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PEO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8"/>
              </w:rPr>
              <w:t>for PEO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PEO 1</w:t>
            </w:r>
          </w:p>
        </w:tc>
        <w:tc>
          <w:tcPr>
            <w:tcW w:w="40" w:type="dxa"/>
            <w:vAlign w:val="bottom"/>
          </w:tcPr>
          <w:p>
            <w:pPr>
              <w:spacing w:after="0"/>
              <w:rPr>
                <w:sz w:val="14"/>
                <w:szCs w:val="14"/>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8"/>
                <w:szCs w:val="18"/>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7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CCED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DFF"/>
            </w:tcBorders>
            <w:shd w:val="clear" w:color="auto" w:fill="CCEDFF"/>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DFF"/>
            </w:tcBorders>
            <w:shd w:val="clear" w:color="auto" w:fill="CCEDFF"/>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CCEDFF"/>
            </w:tcBorders>
            <w:shd w:val="clear" w:color="auto" w:fill="CCEDFF"/>
          </w:tcPr>
          <w:p>
            <w:pPr>
              <w:spacing w:after="0" w:line="20" w:lineRule="exact"/>
              <w:rPr>
                <w:sz w:val="1"/>
                <w:szCs w:val="1"/>
                <w:color w:val="auto"/>
              </w:rPr>
            </w:pPr>
          </w:p>
        </w:tc>
        <w:tc>
          <w:tcPr>
            <w:tcW w:w="140" w:type="dxa"/>
            <w:vAlign w:val="bottom"/>
            <w:tcBorders>
              <w:right w:val="single" w:sz="8" w:color="CCEDFF"/>
            </w:tcBorders>
            <w:shd w:val="clear" w:color="auto" w:fill="CCED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7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right w:val="single" w:sz="8" w:color="CCEDFF"/>
            </w:tcBorders>
            <w:shd w:val="clear" w:color="auto" w:fill="CCEDFF"/>
          </w:tcPr>
          <w:p>
            <w:pPr>
              <w:spacing w:after="0"/>
              <w:rPr>
                <w:sz w:val="24"/>
                <w:szCs w:val="24"/>
                <w:color w:val="auto"/>
              </w:rPr>
            </w:pPr>
          </w:p>
        </w:tc>
        <w:tc>
          <w:tcPr>
            <w:tcW w:w="220" w:type="dxa"/>
            <w:vAlign w:val="bottom"/>
            <w:gridSpan w:val="2"/>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DFF"/>
          </w:tcPr>
          <w:p>
            <w:pPr>
              <w:ind w:left="160"/>
              <w:spacing w:after="0" w:line="30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​581,895</w:t>
            </w:r>
          </w:p>
        </w:tc>
        <w:tc>
          <w:tcPr>
            <w:tcW w:w="160" w:type="dxa"/>
            <w:vAlign w:val="bottom"/>
            <w:tcBorders>
              <w:right w:val="single" w:sz="8" w:color="CCEDFF"/>
            </w:tcBorders>
            <w:shd w:val="clear" w:color="auto" w:fill="CCEDFF"/>
          </w:tcPr>
          <w:p>
            <w:pPr>
              <w:spacing w:after="0"/>
              <w:rPr>
                <w:sz w:val="24"/>
                <w:szCs w:val="24"/>
                <w:color w:val="auto"/>
              </w:rPr>
            </w:pPr>
          </w:p>
        </w:tc>
        <w:tc>
          <w:tcPr>
            <w:tcW w:w="22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CCEDFF"/>
            </w:tcBorders>
            <w:shd w:val="clear" w:color="auto" w:fill="CCEDFF"/>
          </w:tcPr>
          <w:p>
            <w:pPr>
              <w:jc w:val="center"/>
              <w:ind w:left="44"/>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​0</w:t>
            </w:r>
          </w:p>
        </w:tc>
        <w:tc>
          <w:tcPr>
            <w:tcW w:w="160" w:type="dxa"/>
            <w:vAlign w:val="bottom"/>
            <w:tcBorders>
              <w:right w:val="single" w:sz="8" w:color="CCEDFF"/>
            </w:tcBorders>
            <w:shd w:val="clear" w:color="auto" w:fill="CCEDFF"/>
          </w:tcPr>
          <w:p>
            <w:pPr>
              <w:spacing w:after="0"/>
              <w:rPr>
                <w:sz w:val="24"/>
                <w:szCs w:val="24"/>
                <w:color w:val="auto"/>
              </w:rPr>
            </w:pPr>
          </w:p>
        </w:tc>
        <w:tc>
          <w:tcPr>
            <w:tcW w:w="22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tcBorders>
              <w:right w:val="single" w:sz="8" w:color="CCEDFF"/>
            </w:tcBorders>
            <w:gridSpan w:val="2"/>
            <w:shd w:val="clear" w:color="auto" w:fill="CCEDFF"/>
          </w:tcPr>
          <w:p>
            <w:pPr>
              <w:jc w:val="right"/>
              <w:ind w:right="19"/>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​(76,484)</w:t>
            </w:r>
          </w:p>
        </w:tc>
        <w:tc>
          <w:tcPr>
            <w:tcW w:w="220" w:type="dxa"/>
            <w:vAlign w:val="bottom"/>
            <w:tcBorders>
              <w:right w:val="single" w:sz="8" w:color="CCEDFF"/>
            </w:tcBorders>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​505,413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2"/>
        </w:trPr>
        <w:tc>
          <w:tcPr>
            <w:tcW w:w="2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Exclusion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Inclusion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PEO 2</w:t>
            </w:r>
          </w:p>
        </w:tc>
        <w:tc>
          <w:tcPr>
            <w:tcW w:w="40" w:type="dxa"/>
            <w:vAlign w:val="bottom"/>
          </w:tcPr>
          <w:p>
            <w:pPr>
              <w:spacing w:after="0"/>
              <w:rPr>
                <w:sz w:val="14"/>
                <w:szCs w:val="14"/>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8"/>
                <w:szCs w:val="18"/>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7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4"/>
                <w:szCs w:val="24"/>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160"/>
              <w:spacing w:after="0" w:line="30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​585,675</w:t>
            </w: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120"/>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​(186,423)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​745,098</w:t>
            </w:r>
          </w:p>
        </w:tc>
        <w:tc>
          <w:tcPr>
            <w:tcW w:w="1140" w:type="dxa"/>
            <w:vAlign w:val="bottom"/>
            <w:gridSpan w:val="4"/>
          </w:tcPr>
          <w:p>
            <w:pPr>
              <w:jc w:val="right"/>
              <w:spacing w:after="0" w:line="304" w:lineRule="exact"/>
              <w:rPr>
                <w:sz w:val="20"/>
                <w:szCs w:val="20"/>
                <w:color w:val="auto"/>
              </w:rPr>
            </w:pPr>
            <w:r>
              <w:rPr>
                <w:rFonts w:ascii="Times New Roman" w:cs="Times New Roman" w:eastAsia="Times New Roman" w:hAnsi="Times New Roman"/>
                <w:sz w:val="35"/>
                <w:szCs w:val="35"/>
                <w:color w:val="auto"/>
                <w:vertAlign w:val="subscript"/>
              </w:rPr>
              <w:t>​​ ​ ​</w:t>
            </w:r>
            <w:r>
              <w:rPr>
                <w:rFonts w:ascii="Times New Roman" w:cs="Times New Roman" w:eastAsia="Times New Roman" w:hAnsi="Times New Roman"/>
                <w:sz w:val="18"/>
                <w:szCs w:val="18"/>
                <w:color w:val="auto"/>
              </w:rPr>
              <w:t xml:space="preserve">​1,144,350 </w:t>
            </w:r>
            <w:r>
              <w:rPr>
                <w:rFonts w:ascii="Times New Roman" w:cs="Times New Roman" w:eastAsia="Times New Roman" w:hAnsi="Times New Roman"/>
                <w:sz w:val="35"/>
                <w:szCs w:val="35"/>
                <w:b w:val="1"/>
                <w:bCs w:val="1"/>
                <w:color w:val="auto"/>
                <w:vertAlign w:val="subscript"/>
              </w:rPr>
              <w:t>​</w:t>
            </w:r>
          </w:p>
        </w:tc>
      </w:tr>
      <w:tr>
        <w:trPr>
          <w:trHeight w:val="286"/>
        </w:trPr>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Exclusion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Option Awards</w:t>
            </w:r>
          </w:p>
        </w:tc>
        <w:tc>
          <w:tcPr>
            <w:tcW w:w="1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 Non-PEO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Non-PEO NEOs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NEOs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NEOs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Non-PEO NEOs</w:t>
            </w:r>
          </w:p>
        </w:tc>
        <w:tc>
          <w:tcPr>
            <w:tcW w:w="40" w:type="dxa"/>
            <w:vAlign w:val="bottom"/>
          </w:tcPr>
          <w:p>
            <w:pPr>
              <w:spacing w:after="0"/>
              <w:rPr>
                <w:sz w:val="14"/>
                <w:szCs w:val="14"/>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ind w:right="2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Pr>
          <w:p>
            <w:pPr>
              <w:spacing w:after="0"/>
              <w:rPr>
                <w:sz w:val="18"/>
                <w:szCs w:val="18"/>
                <w:color w:val="auto"/>
              </w:rPr>
            </w:pPr>
          </w:p>
        </w:tc>
        <w:tc>
          <w:tcPr>
            <w:tcW w:w="8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7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D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D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DFF"/>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D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7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DFF"/>
          </w:tcPr>
          <w:p>
            <w:pPr>
              <w:spacing w:after="0"/>
              <w:rPr>
                <w:sz w:val="24"/>
                <w:szCs w:val="24"/>
                <w:color w:val="auto"/>
              </w:rPr>
            </w:pPr>
          </w:p>
        </w:tc>
        <w:tc>
          <w:tcPr>
            <w:tcW w:w="860" w:type="dxa"/>
            <w:vAlign w:val="bottom"/>
            <w:gridSpan w:val="2"/>
            <w:shd w:val="clear" w:color="auto" w:fill="CCEDFF"/>
          </w:tcPr>
          <w:p>
            <w:pPr>
              <w:jc w:val="right"/>
              <w:ind w:right="145"/>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​220,103</w:t>
            </w:r>
          </w:p>
        </w:tc>
        <w:tc>
          <w:tcPr>
            <w:tcW w:w="260" w:type="dxa"/>
            <w:vAlign w:val="bottom"/>
            <w:tcBorders>
              <w:right w:val="single" w:sz="8" w:color="CCEDFF"/>
            </w:tcBorders>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DFF"/>
          </w:tcPr>
          <w:p>
            <w:pPr>
              <w:spacing w:after="0"/>
              <w:rPr>
                <w:sz w:val="24"/>
                <w:szCs w:val="24"/>
                <w:color w:val="auto"/>
              </w:rPr>
            </w:pPr>
          </w:p>
        </w:tc>
        <w:tc>
          <w:tcPr>
            <w:tcW w:w="780" w:type="dxa"/>
            <w:vAlign w:val="bottom"/>
            <w:tcBorders>
              <w:right w:val="single" w:sz="8" w:color="CCEDFF"/>
            </w:tcBorders>
            <w:shd w:val="clear" w:color="auto" w:fill="CCEDFF"/>
          </w:tcPr>
          <w:p>
            <w:pPr>
              <w:ind w:left="20"/>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​(84,757)</w:t>
            </w:r>
          </w:p>
        </w:tc>
        <w:tc>
          <w:tcPr>
            <w:tcW w:w="260" w:type="dxa"/>
            <w:vAlign w:val="bottom"/>
            <w:tcBorders>
              <w:right w:val="single" w:sz="8" w:color="CCEDFF"/>
            </w:tcBorders>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DFF"/>
            </w:tcBorders>
            <w:gridSpan w:val="2"/>
            <w:shd w:val="clear" w:color="auto" w:fill="CCEDFF"/>
          </w:tcPr>
          <w:p>
            <w:pPr>
              <w:ind w:left="100"/>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​(26,964)</w:t>
            </w:r>
          </w:p>
        </w:tc>
        <w:tc>
          <w:tcPr>
            <w:tcW w:w="240" w:type="dxa"/>
            <w:vAlign w:val="bottom"/>
            <w:tcBorders>
              <w:right w:val="single" w:sz="8" w:color="CCEDFF"/>
            </w:tcBorders>
            <w:gridSpan w:val="2"/>
            <w:shd w:val="clear" w:color="auto" w:fill="CCEDFF"/>
          </w:tcPr>
          <w:p>
            <w:pPr>
              <w:jc w:val="right"/>
              <w:ind w:right="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DFF"/>
            </w:tcBorders>
            <w:shd w:val="clear" w:color="auto" w:fill="CCEDFF"/>
          </w:tcPr>
          <w:p>
            <w:pPr>
              <w:spacing w:after="0"/>
              <w:rPr>
                <w:sz w:val="24"/>
                <w:szCs w:val="24"/>
                <w:color w:val="auto"/>
              </w:rPr>
            </w:pPr>
          </w:p>
        </w:tc>
        <w:tc>
          <w:tcPr>
            <w:tcW w:w="880" w:type="dxa"/>
            <w:vAlign w:val="bottom"/>
            <w:tcBorders>
              <w:right w:val="single" w:sz="8" w:color="CCEDFF"/>
            </w:tcBorders>
            <w:shd w:val="clear" w:color="auto" w:fill="CCEDFF"/>
          </w:tcPr>
          <w:p>
            <w:pPr>
              <w:jc w:val="center"/>
              <w:ind w:right="105"/>
              <w:spacing w:after="0" w:line="30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​108,382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-1962150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-1962150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-1962150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-1962150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-1139190</wp:posOffset>
            </wp:positionV>
            <wp:extent cx="474916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-205105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-205105</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-205105</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-205105</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97"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Vesting-Date</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Last</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to</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 Last Day</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 Prior</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Vesting Date</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Prior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to Last</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Unvested</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Remained</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 Year</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w:t>
            </w: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Unvested as</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Unvested</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Inclusion of</w:t>
            </w: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Last Day</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that Vested</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Forfeited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Year for</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During Year for</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Values for</w:t>
            </w:r>
          </w:p>
        </w:tc>
        <w:tc>
          <w:tcPr>
            <w:tcW w:w="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1</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1</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PEO 1</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1</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1</w:t>
            </w:r>
          </w:p>
        </w:tc>
        <w:tc>
          <w:tcPr>
            <w:tcW w:w="40" w:type="dxa"/>
            <w:vAlign w:val="bottom"/>
          </w:tcPr>
          <w:p>
            <w:pPr>
              <w:spacing w:after="0"/>
              <w:rPr>
                <w:sz w:val="14"/>
                <w:szCs w:val="14"/>
                <w:color w:val="auto"/>
              </w:rPr>
            </w:pPr>
          </w:p>
        </w:tc>
      </w:tr>
      <w:tr>
        <w:trPr>
          <w:trHeight w:val="214"/>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-8255</wp:posOffset>
            </wp:positionV>
            <wp:extent cx="474916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tbl>
      <w:tblPr>
        <w:tblLayout w:type="fixed"/>
        <w:tblInd w:w="1620" w:type="dxa"/>
        <w:tblCellMar>
          <w:top w:w="0" w:type="dxa"/>
          <w:left w:w="0" w:type="dxa"/>
          <w:bottom w:w="0" w:type="dxa"/>
          <w:right w:w="0" w:type="dxa"/>
        </w:tblCellMar>
      </w:tblPr>
      <w:tr>
        <w:trPr>
          <w:trHeight w:val="203"/>
        </w:trPr>
        <w:tc>
          <w:tcPr>
            <w:tcW w:w="9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5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7"/>
                <w:szCs w:val="17"/>
                <w:color w:val="auto"/>
              </w:rPr>
            </w:pPr>
          </w:p>
        </w:tc>
        <w:tc>
          <w:tcPr>
            <w:tcW w:w="28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7"/>
                <w:szCs w:val="17"/>
                <w:color w:val="auto"/>
              </w:rPr>
            </w:pPr>
          </w:p>
        </w:tc>
        <w:tc>
          <w:tcPr>
            <w:tcW w:w="7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​(2,550)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​(73,934)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97"/>
              </w:rPr>
              <w:t>​(76,484)</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9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continue"/>
          </w:tcPr>
          <w:p>
            <w:pPr>
              <w:spacing w:after="0"/>
              <w:rPr>
                <w:sz w:val="20"/>
                <w:szCs w:val="20"/>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1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Last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Vesting-Date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 Prior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8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to</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 Last Day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18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Vesting Date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Prior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Year to Last</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Unvested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Remained</w:t>
            </w:r>
          </w:p>
        </w:tc>
        <w:tc>
          <w:tcPr>
            <w:tcW w:w="18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Day of Year</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Unvested as</w:t>
            </w:r>
          </w:p>
        </w:tc>
        <w:tc>
          <w:tcPr>
            <w:tcW w:w="18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of Unvested</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Inclusion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 Last Day</w:t>
            </w:r>
          </w:p>
        </w:tc>
        <w:tc>
          <w:tcPr>
            <w:tcW w:w="1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that Vested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Forfeited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of Year for</w:t>
            </w:r>
          </w:p>
        </w:tc>
        <w:tc>
          <w:tcPr>
            <w:tcW w:w="18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Values for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PEO 2</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PEO 2</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tcBorders>
              <w:bottom w:val="single" w:sz="8" w:color="auto"/>
            </w:tcBorders>
          </w:tcPr>
          <w:p>
            <w:pPr>
              <w:spacing w:after="0"/>
              <w:rPr>
                <w:sz w:val="18"/>
                <w:szCs w:val="18"/>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56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auto"/>
            </w:tcBorders>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900" w:type="dxa"/>
            <w:vAlign w:val="bottom"/>
            <w:gridSpan w:val="2"/>
          </w:tcPr>
          <w:p>
            <w:pPr>
              <w:ind w:left="260"/>
              <w:spacing w:after="0" w:line="202" w:lineRule="exact"/>
              <w:rPr>
                <w:sz w:val="20"/>
                <w:szCs w:val="20"/>
                <w:color w:val="auto"/>
              </w:rPr>
            </w:pPr>
            <w:r>
              <w:rPr>
                <w:rFonts w:ascii="Times New Roman" w:cs="Times New Roman" w:eastAsia="Times New Roman" w:hAnsi="Times New Roman"/>
                <w:sz w:val="18"/>
                <w:szCs w:val="18"/>
                <w:color w:val="auto"/>
              </w:rPr>
              <w:t>​679,856</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​30,517</w:t>
            </w: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​28,970</w:t>
            </w: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​5,755</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​745,098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8"/>
                <w:szCs w:val="18"/>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8"/>
                <w:szCs w:val="18"/>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continue"/>
          </w:tcPr>
          <w:p>
            <w:pPr>
              <w:spacing w:after="0"/>
              <w:rPr>
                <w:sz w:val="18"/>
                <w:szCs w:val="18"/>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4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4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rPr>
              <w:t>from Last</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4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7"/>
              </w:rPr>
              <w:t>Vesting-Date</w:t>
            </w:r>
          </w:p>
        </w:tc>
        <w:tc>
          <w:tcPr>
            <w:tcW w:w="104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w w:val="96"/>
              </w:rPr>
              <w:t>Day of Prior</w:t>
            </w:r>
          </w:p>
        </w:tc>
        <w:tc>
          <w:tcPr>
            <w:tcW w:w="102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6"/>
              </w:rPr>
              <w:t>Average Fair</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1040" w:type="dxa"/>
            <w:vAlign w:val="bottom"/>
            <w:gridSpan w:val="2"/>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40" w:type="dxa"/>
            <w:vAlign w:val="bottom"/>
          </w:tcPr>
          <w:p>
            <w:pPr>
              <w:spacing w:after="0"/>
              <w:rPr>
                <w:sz w:val="14"/>
                <w:szCs w:val="14"/>
                <w:color w:val="auto"/>
              </w:rPr>
            </w:pPr>
          </w:p>
        </w:tc>
        <w:tc>
          <w:tcPr>
            <w:tcW w:w="7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Year to</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at</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104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104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w w:val="99"/>
              </w:rPr>
              <w:t>Vesting Date</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Last Day of</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to Last</w:t>
            </w:r>
          </w:p>
        </w:tc>
        <w:tc>
          <w:tcPr>
            <w:tcW w:w="340" w:type="dxa"/>
            <w:vAlign w:val="bottom"/>
          </w:tcPr>
          <w:p>
            <w:pPr>
              <w:spacing w:after="0"/>
              <w:rPr>
                <w:sz w:val="14"/>
                <w:szCs w:val="14"/>
                <w:color w:val="auto"/>
              </w:rPr>
            </w:pPr>
          </w:p>
        </w:tc>
        <w:tc>
          <w:tcPr>
            <w:tcW w:w="7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04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w w:val="96"/>
              </w:rPr>
              <w:t>of Unvested</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Year</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Remained</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 Year</w:t>
            </w:r>
          </w:p>
        </w:tc>
        <w:tc>
          <w:tcPr>
            <w:tcW w:w="104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340" w:type="dxa"/>
            <w:vAlign w:val="bottom"/>
          </w:tcPr>
          <w:p>
            <w:pPr>
              <w:spacing w:after="0"/>
              <w:rPr>
                <w:sz w:val="14"/>
                <w:szCs w:val="14"/>
                <w:color w:val="auto"/>
              </w:rPr>
            </w:pPr>
          </w:p>
        </w:tc>
        <w:tc>
          <w:tcPr>
            <w:tcW w:w="7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Unvested as</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Unvested</w:t>
            </w:r>
          </w:p>
        </w:tc>
        <w:tc>
          <w:tcPr>
            <w:tcW w:w="104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104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Inclusion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Last Day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4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3"/>
              </w:rPr>
              <w:t>that Vested</w:t>
            </w:r>
          </w:p>
        </w:tc>
        <w:tc>
          <w:tcPr>
            <w:tcW w:w="340" w:type="dxa"/>
            <w:vAlign w:val="bottom"/>
          </w:tcPr>
          <w:p>
            <w:pPr>
              <w:spacing w:after="0"/>
              <w:rPr>
                <w:sz w:val="14"/>
                <w:szCs w:val="14"/>
                <w:color w:val="auto"/>
              </w:rPr>
            </w:pPr>
          </w:p>
        </w:tc>
        <w:tc>
          <w:tcPr>
            <w:tcW w:w="7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 Year for</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104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104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102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Values for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04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104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102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NEOs</w:t>
            </w:r>
          </w:p>
        </w:tc>
        <w:tc>
          <w:tcPr>
            <w:tcW w:w="340" w:type="dxa"/>
            <w:vAlign w:val="bottom"/>
          </w:tcPr>
          <w:p>
            <w:pPr>
              <w:spacing w:after="0"/>
              <w:rPr>
                <w:sz w:val="14"/>
                <w:szCs w:val="14"/>
                <w:color w:val="auto"/>
              </w:rPr>
            </w:pPr>
          </w:p>
        </w:tc>
        <w:tc>
          <w:tcPr>
            <w:tcW w:w="7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NEOs</w:t>
            </w:r>
          </w:p>
        </w:tc>
        <w:tc>
          <w:tcPr>
            <w:tcW w:w="340" w:type="dxa"/>
            <w:vAlign w:val="bottom"/>
          </w:tcPr>
          <w:p>
            <w:pPr>
              <w:spacing w:after="0"/>
              <w:rPr>
                <w:sz w:val="14"/>
                <w:szCs w:val="14"/>
                <w:color w:val="auto"/>
              </w:rPr>
            </w:pPr>
          </w:p>
        </w:tc>
        <w:tc>
          <w:tcPr>
            <w:tcW w:w="7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NEOs</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1270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1270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1270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1235710</wp:posOffset>
            </wp:positionH>
            <wp:positionV relativeFrom="paragraph">
              <wp:posOffset>1270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1270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1270</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20" w:space="720"/>
            <w:col w:w="683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0"/>
        </w:trPr>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360" w:type="dxa"/>
            <w:vAlign w:val="bottom"/>
            <w:shd w:val="clear" w:color="auto" w:fill="CCEDFF"/>
          </w:tcPr>
          <w:p>
            <w:pPr>
              <w:jc w:val="right"/>
              <w:ind w:right="890"/>
              <w:spacing w:after="0" w:line="178" w:lineRule="exact"/>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vMerge w:val="restart"/>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DFF"/>
          </w:tcPr>
          <w:p>
            <w:pPr>
              <w:ind w:left="320"/>
              <w:spacing w:after="0" w:line="178"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vMerge w:val="restart"/>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DFF"/>
          </w:tcPr>
          <w:p>
            <w:pPr>
              <w:ind w:left="360"/>
              <w:spacing w:after="0" w:line="178"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vMerge w:val="restart"/>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DFF"/>
          </w:tcPr>
          <w:p>
            <w:pPr>
              <w:ind w:left="280"/>
              <w:spacing w:after="0" w:line="178" w:lineRule="exact"/>
              <w:rPr>
                <w:sz w:val="20"/>
                <w:szCs w:val="20"/>
                <w:color w:val="auto"/>
              </w:rPr>
            </w:pPr>
            <w:r>
              <w:rPr>
                <w:rFonts w:ascii="Times New Roman" w:cs="Times New Roman" w:eastAsia="Times New Roman" w:hAnsi="Times New Roman"/>
                <w:sz w:val="18"/>
                <w:szCs w:val="18"/>
                <w:color w:val="auto"/>
              </w:rPr>
              <w:t>​553</w:t>
            </w:r>
          </w:p>
        </w:tc>
        <w:tc>
          <w:tcPr>
            <w:tcW w:w="360" w:type="dxa"/>
            <w:vAlign w:val="bottom"/>
            <w:gridSpan w:val="2"/>
            <w:vMerge w:val="restart"/>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DFF"/>
          </w:tcPr>
          <w:p>
            <w:pPr>
              <w:ind w:left="240"/>
              <w:spacing w:after="0" w:line="178" w:lineRule="exact"/>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DFF"/>
          </w:tcPr>
          <w:p>
            <w:pPr>
              <w:spacing w:after="0"/>
              <w:rPr>
                <w:sz w:val="15"/>
                <w:szCs w:val="15"/>
                <w:color w:val="auto"/>
              </w:rPr>
            </w:pPr>
          </w:p>
        </w:tc>
        <w:tc>
          <w:tcPr>
            <w:tcW w:w="220" w:type="dxa"/>
            <w:vAlign w:val="bottom"/>
            <w:shd w:val="clear" w:color="auto" w:fill="CCEDFF"/>
          </w:tcPr>
          <w:p>
            <w:pPr>
              <w:spacing w:after="0"/>
              <w:rPr>
                <w:sz w:val="15"/>
                <w:szCs w:val="15"/>
                <w:color w:val="auto"/>
              </w:rPr>
            </w:pPr>
          </w:p>
        </w:tc>
        <w:tc>
          <w:tcPr>
            <w:tcW w:w="840" w:type="dxa"/>
            <w:vAlign w:val="bottom"/>
            <w:tcBorders>
              <w:right w:val="single" w:sz="8" w:color="CCEDFF"/>
            </w:tcBorders>
            <w:shd w:val="clear" w:color="auto" w:fill="CCEDFF"/>
          </w:tcPr>
          <w:p>
            <w:pPr>
              <w:ind w:left="140"/>
              <w:spacing w:after="0" w:line="178" w:lineRule="exact"/>
              <w:rPr>
                <w:sz w:val="20"/>
                <w:szCs w:val="20"/>
                <w:color w:val="auto"/>
              </w:rPr>
            </w:pPr>
            <w:r>
              <w:rPr>
                <w:rFonts w:ascii="Times New Roman" w:cs="Times New Roman" w:eastAsia="Times New Roman" w:hAnsi="Times New Roman"/>
                <w:sz w:val="18"/>
                <w:szCs w:val="18"/>
                <w:color w:val="auto"/>
              </w:rPr>
              <w:t>​(27,322)</w:t>
            </w:r>
          </w:p>
        </w:tc>
        <w:tc>
          <w:tcPr>
            <w:tcW w:w="220" w:type="dxa"/>
            <w:vAlign w:val="bottom"/>
            <w:shd w:val="clear" w:color="auto" w:fill="CCEDFF"/>
          </w:tcPr>
          <w:p>
            <w:pPr>
              <w:spacing w:after="0"/>
              <w:rPr>
                <w:sz w:val="15"/>
                <w:szCs w:val="15"/>
                <w:color w:val="auto"/>
              </w:rPr>
            </w:pPr>
          </w:p>
        </w:tc>
        <w:tc>
          <w:tcPr>
            <w:tcW w:w="720" w:type="dxa"/>
            <w:vAlign w:val="bottom"/>
            <w:shd w:val="clear" w:color="auto" w:fill="CCEDFF"/>
          </w:tcPr>
          <w:p>
            <w:pPr>
              <w:ind w:left="80"/>
              <w:spacing w:after="0" w:line="178" w:lineRule="exact"/>
              <w:rPr>
                <w:sz w:val="20"/>
                <w:szCs w:val="20"/>
                <w:color w:val="auto"/>
              </w:rPr>
            </w:pPr>
            <w:r>
              <w:rPr>
                <w:rFonts w:ascii="Times New Roman" w:cs="Times New Roman" w:eastAsia="Times New Roman" w:hAnsi="Times New Roman"/>
                <w:sz w:val="18"/>
                <w:szCs w:val="18"/>
                <w:color w:val="auto"/>
              </w:rPr>
              <w:t>​(26,964)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8"/>
        </w:trPr>
        <w:tc>
          <w:tcPr>
            <w:tcW w:w="1360" w:type="dxa"/>
            <w:vAlign w:val="bottom"/>
            <w:shd w:val="clear" w:color="auto" w:fill="CCEDFF"/>
          </w:tcPr>
          <w:p>
            <w:pPr>
              <w:spacing w:after="0"/>
              <w:rPr>
                <w:sz w:val="9"/>
                <w:szCs w:val="9"/>
                <w:color w:val="auto"/>
              </w:rPr>
            </w:pPr>
          </w:p>
        </w:tc>
        <w:tc>
          <w:tcPr>
            <w:tcW w:w="220" w:type="dxa"/>
            <w:vAlign w:val="bottom"/>
            <w:vMerge w:val="continue"/>
            <w:shd w:val="clear" w:color="auto" w:fill="CCEDFF"/>
          </w:tcPr>
          <w:p>
            <w:pPr>
              <w:spacing w:after="0"/>
              <w:rPr>
                <w:sz w:val="9"/>
                <w:szCs w:val="9"/>
                <w:color w:val="auto"/>
              </w:rPr>
            </w:pPr>
          </w:p>
        </w:tc>
        <w:tc>
          <w:tcPr>
            <w:tcW w:w="580" w:type="dxa"/>
            <w:vAlign w:val="bottom"/>
            <w:shd w:val="clear" w:color="auto" w:fill="CCEDFF"/>
          </w:tcPr>
          <w:p>
            <w:pPr>
              <w:ind w:left="3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vMerge w:val="continue"/>
            <w:shd w:val="clear" w:color="auto" w:fill="CCEDFF"/>
          </w:tcPr>
          <w:p>
            <w:pPr>
              <w:spacing w:after="0"/>
              <w:rPr>
                <w:sz w:val="9"/>
                <w:szCs w:val="9"/>
                <w:color w:val="auto"/>
              </w:rPr>
            </w:pPr>
          </w:p>
        </w:tc>
        <w:tc>
          <w:tcPr>
            <w:tcW w:w="620" w:type="dxa"/>
            <w:vAlign w:val="bottom"/>
            <w:shd w:val="clear" w:color="auto" w:fill="CCEDFF"/>
          </w:tcPr>
          <w:p>
            <w:pPr>
              <w:ind w:left="3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vMerge w:val="continue"/>
            <w:shd w:val="clear" w:color="auto" w:fill="CCEDFF"/>
          </w:tcPr>
          <w:p>
            <w:pPr>
              <w:spacing w:after="0"/>
              <w:rPr>
                <w:sz w:val="9"/>
                <w:szCs w:val="9"/>
                <w:color w:val="auto"/>
              </w:rPr>
            </w:pPr>
          </w:p>
        </w:tc>
        <w:tc>
          <w:tcPr>
            <w:tcW w:w="700" w:type="dxa"/>
            <w:vAlign w:val="bottom"/>
            <w:shd w:val="clear" w:color="auto" w:fill="CCEDFF"/>
          </w:tcPr>
          <w:p>
            <w:pPr>
              <w:ind w:left="2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vMerge w:val="continue"/>
            <w:shd w:val="clear" w:color="auto" w:fill="CCEDFF"/>
          </w:tcPr>
          <w:p>
            <w:pPr>
              <w:spacing w:after="0"/>
              <w:rPr>
                <w:sz w:val="9"/>
                <w:szCs w:val="9"/>
                <w:color w:val="auto"/>
              </w:rPr>
            </w:pPr>
          </w:p>
        </w:tc>
        <w:tc>
          <w:tcPr>
            <w:tcW w:w="740" w:type="dxa"/>
            <w:vAlign w:val="bottom"/>
            <w:shd w:val="clear" w:color="auto" w:fill="CCEDFF"/>
          </w:tcPr>
          <w:p>
            <w:pPr>
              <w:ind w:left="2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right w:val="single" w:sz="8" w:color="CCEDFF"/>
            </w:tcBorders>
            <w:gridSpan w:val="3"/>
            <w:shd w:val="clear" w:color="auto" w:fill="CCEDFF"/>
          </w:tcPr>
          <w:p>
            <w:pPr>
              <w:ind w:left="100"/>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940" w:type="dxa"/>
            <w:vAlign w:val="bottom"/>
            <w:gridSpan w:val="2"/>
            <w:shd w:val="clear" w:color="auto" w:fill="CCEDFF"/>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1620" w:right="419" w:hanging="360"/>
        <w:spacing w:after="0" w:line="275"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Company for the period starting December 31, 2020, through the end of the listed year. Historical stock performance is not necessarily indicative of future stock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Company Total Shareholder Return (“TSR”)</w:t>
      </w:r>
    </w:p>
    <w:p>
      <w:pPr>
        <w:spacing w:after="0" w:line="7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114935</wp:posOffset>
            </wp:positionV>
            <wp:extent cx="5126355" cy="2828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2635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Net Income</w:t>
      </w:r>
    </w:p>
    <w:p>
      <w:pPr>
        <w:spacing w:after="0" w:line="162"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118745</wp:posOffset>
            </wp:positionV>
            <wp:extent cx="5126355" cy="2820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26355" cy="28200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“Item 402(v) Pay Versus Performance” heading will not be deemed to be incorporated by reference into any filing of the Company under the Securities Act of 1933, as amended, or the Exchange Act, whether made before or after the date hereof and 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with respect to the compensation of our non-employee directors: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Fees Earned or</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5"/>
        </w:trPr>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Paid in Cash</w:t>
            </w:r>
          </w:p>
        </w:tc>
        <w:tc>
          <w:tcPr>
            <w:tcW w:w="220" w:type="dxa"/>
            <w:vAlign w:val="bottom"/>
          </w:tcPr>
          <w:p>
            <w:pPr>
              <w:spacing w:after="0"/>
              <w:rPr>
                <w:sz w:val="15"/>
                <w:szCs w:val="15"/>
                <w:color w:val="auto"/>
              </w:rPr>
            </w:pPr>
          </w:p>
        </w:tc>
        <w:tc>
          <w:tcPr>
            <w:tcW w:w="10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4"/>
              </w:rPr>
              <w:t>Option Awards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59"/>
        </w:trPr>
        <w:tc>
          <w:tcPr>
            <w:tcW w:w="4180" w:type="dxa"/>
            <w:vAlign w:val="bottom"/>
          </w:tcPr>
          <w:p>
            <w:pPr>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Name</w:t>
            </w:r>
            <w:r>
              <w:rPr>
                <w:rFonts w:ascii="Times New Roman" w:cs="Times New Roman" w:eastAsia="Times New Roman" w:hAnsi="Times New Roman"/>
                <w:sz w:val="10"/>
                <w:szCs w:val="10"/>
                <w:b w:val="1"/>
                <w:bCs w:val="1"/>
                <w:color w:val="auto"/>
              </w:rPr>
              <w:t>(1)(2)</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300" w:type="dxa"/>
            <w:vAlign w:val="bottom"/>
          </w:tcPr>
          <w:p>
            <w:pPr>
              <w:spacing w:after="0"/>
              <w:rPr>
                <w:sz w:val="22"/>
                <w:szCs w:val="22"/>
                <w:color w:val="auto"/>
              </w:rPr>
            </w:pPr>
          </w:p>
        </w:tc>
        <w:tc>
          <w:tcPr>
            <w:tcW w:w="7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83"/>
              </w:rPr>
              <w:t>($)</w:t>
            </w:r>
            <w:r>
              <w:rPr>
                <w:rFonts w:ascii="Times New Roman" w:cs="Times New Roman" w:eastAsia="Times New Roman" w:hAnsi="Times New Roman"/>
                <w:sz w:val="19"/>
                <w:szCs w:val="19"/>
                <w:b w:val="1"/>
                <w:bCs w:val="1"/>
                <w:color w:val="auto"/>
                <w:w w:val="83"/>
                <w:vertAlign w:val="superscript"/>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380" w:type="dxa"/>
            <w:vAlign w:val="bottom"/>
          </w:tcPr>
          <w:p>
            <w:pPr>
              <w:spacing w:after="0"/>
              <w:rPr>
                <w:sz w:val="22"/>
                <w:szCs w:val="22"/>
                <w:color w:val="auto"/>
              </w:rPr>
            </w:pPr>
          </w:p>
        </w:tc>
        <w:tc>
          <w:tcPr>
            <w:tcW w:w="6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3"/>
          </w:tcPr>
          <w:p>
            <w:pPr>
              <w:jc w:val="right"/>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30"/>
                <w:szCs w:val="30"/>
                <w:b w:val="1"/>
                <w:bCs w:val="1"/>
                <w:color w:val="auto"/>
                <w:vertAlign w:val="subscript"/>
              </w:rPr>
              <w:t>​</w:t>
            </w:r>
          </w:p>
        </w:tc>
      </w:tr>
      <w:tr>
        <w:trPr>
          <w:trHeight w:val="20"/>
        </w:trPr>
        <w:tc>
          <w:tcPr>
            <w:tcW w:w="4180" w:type="dxa"/>
            <w:vAlign w:val="bottom"/>
            <w:shd w:val="clear" w:color="auto" w:fill="000000"/>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10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10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1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David Eansor</w:t>
            </w:r>
          </w:p>
        </w:tc>
        <w:tc>
          <w:tcPr>
            <w:tcW w:w="22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Borders>
              <w:right w:val="single" w:sz="8" w:color="CCEDFF"/>
            </w:tcBorders>
            <w:gridSpan w:val="2"/>
            <w:shd w:val="clear" w:color="auto" w:fill="CCED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113,424</w:t>
            </w:r>
          </w:p>
        </w:tc>
        <w:tc>
          <w:tcPr>
            <w:tcW w:w="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tcBorders>
              <w:right w:val="single" w:sz="8" w:color="CCEDFF"/>
            </w:tcBorders>
            <w:gridSpan w:val="2"/>
            <w:shd w:val="clear" w:color="auto" w:fill="CCEDFF"/>
          </w:tcPr>
          <w:p>
            <w:pPr>
              <w:jc w:val="right"/>
              <w:ind w:right="219"/>
              <w:spacing w:after="0"/>
              <w:rPr>
                <w:sz w:val="20"/>
                <w:szCs w:val="20"/>
                <w:color w:val="auto"/>
              </w:rPr>
            </w:pPr>
            <w:r>
              <w:rPr>
                <w:rFonts w:ascii="Times New Roman" w:cs="Times New Roman" w:eastAsia="Times New Roman" w:hAnsi="Times New Roman"/>
                <w:sz w:val="16"/>
                <w:szCs w:val="16"/>
                <w:color w:val="auto"/>
              </w:rPr>
              <w:t>​10,612</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 ​124,036</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Steven Elms</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65,525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​10,612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 76,137​</w:t>
            </w:r>
          </w:p>
        </w:tc>
      </w:tr>
      <w:tr>
        <w:trPr>
          <w:trHeight w:val="243"/>
        </w:trPr>
        <w:tc>
          <w:tcPr>
            <w:tcW w:w="41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Katharine Knobil</w:t>
            </w:r>
          </w:p>
        </w:tc>
        <w:tc>
          <w:tcPr>
            <w:tcW w:w="22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right w:val="single" w:sz="8" w:color="CCEDFF"/>
            </w:tcBorders>
            <w:shd w:val="clear" w:color="auto" w:fill="CCEDFF"/>
          </w:tcPr>
          <w:p>
            <w:pPr>
              <w:jc w:val="right"/>
              <w:ind w:right="179"/>
              <w:spacing w:after="0"/>
              <w:rPr>
                <w:sz w:val="20"/>
                <w:szCs w:val="20"/>
                <w:color w:val="auto"/>
              </w:rPr>
            </w:pPr>
            <w:r>
              <w:rPr>
                <w:rFonts w:ascii="Times New Roman" w:cs="Times New Roman" w:eastAsia="Times New Roman" w:hAnsi="Times New Roman"/>
                <w:sz w:val="16"/>
                <w:szCs w:val="16"/>
                <w:color w:val="auto"/>
              </w:rPr>
              <w:t>69,062</w:t>
            </w:r>
          </w:p>
        </w:tc>
        <w:tc>
          <w:tcPr>
            <w:tcW w:w="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tcBorders>
              <w:right w:val="single" w:sz="8" w:color="CCEDFF"/>
            </w:tcBorders>
            <w:gridSpan w:val="2"/>
            <w:shd w:val="clear" w:color="auto" w:fill="CCEDFF"/>
          </w:tcPr>
          <w:p>
            <w:pPr>
              <w:jc w:val="right"/>
              <w:ind w:right="219"/>
              <w:spacing w:after="0"/>
              <w:rPr>
                <w:sz w:val="20"/>
                <w:szCs w:val="20"/>
                <w:color w:val="auto"/>
              </w:rPr>
            </w:pPr>
            <w:r>
              <w:rPr>
                <w:rFonts w:ascii="Times New Roman" w:cs="Times New Roman" w:eastAsia="Times New Roman" w:hAnsi="Times New Roman"/>
                <w:sz w:val="16"/>
                <w:szCs w:val="16"/>
                <w:color w:val="auto"/>
              </w:rPr>
              <w:t>​10,612</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 ​ 79,674</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David Laskow-Pooley</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8"/>
              </w:rPr>
              <w:t>28,167</w:t>
            </w:r>
            <w:r>
              <w:rPr>
                <w:rFonts w:ascii="Times New Roman" w:cs="Times New Roman" w:eastAsia="Times New Roman" w:hAnsi="Times New Roman"/>
                <w:sz w:val="19"/>
                <w:szCs w:val="19"/>
                <w:color w:val="auto"/>
                <w:w w:val="98"/>
                <w:vertAlign w:val="superscript"/>
              </w:rPr>
              <w:t>(4)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 28,167​</w:t>
            </w:r>
          </w:p>
        </w:tc>
      </w:tr>
      <w:tr>
        <w:trPr>
          <w:trHeight w:val="324"/>
        </w:trPr>
        <w:tc>
          <w:tcPr>
            <w:tcW w:w="41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John Wilson</w:t>
            </w:r>
          </w:p>
        </w:tc>
        <w:tc>
          <w:tcPr>
            <w:tcW w:w="22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Borders>
              <w:right w:val="single" w:sz="8" w:color="CCEDFF"/>
            </w:tcBorders>
            <w:gridSpan w:val="2"/>
            <w:shd w:val="clear" w:color="auto" w:fill="CCEDFF"/>
          </w:tcPr>
          <w:p>
            <w:pPr>
              <w:jc w:val="right"/>
              <w:ind w:right="179"/>
              <w:spacing w:after="0" w:line="324"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 52,831</w:t>
            </w:r>
          </w:p>
        </w:tc>
        <w:tc>
          <w:tcPr>
            <w:tcW w:w="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tcBorders>
              <w:right w:val="single" w:sz="8" w:color="CCEDFF"/>
            </w:tcBorders>
            <w:gridSpan w:val="2"/>
            <w:shd w:val="clear" w:color="auto" w:fill="CCEDFF"/>
          </w:tcPr>
          <w:p>
            <w:pPr>
              <w:jc w:val="right"/>
              <w:ind w:right="219"/>
              <w:spacing w:after="0"/>
              <w:rPr>
                <w:sz w:val="20"/>
                <w:szCs w:val="20"/>
                <w:color w:val="auto"/>
              </w:rPr>
            </w:pPr>
            <w:r>
              <w:rPr>
                <w:rFonts w:ascii="Times New Roman" w:cs="Times New Roman" w:eastAsia="Times New Roman" w:hAnsi="Times New Roman"/>
                <w:sz w:val="16"/>
                <w:szCs w:val="16"/>
                <w:color w:val="auto"/>
              </w:rPr>
              <w:t>​10,612</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DFF"/>
          </w:tcPr>
          <w:p>
            <w:pPr>
              <w:jc w:val="center"/>
              <w:spacing w:after="0" w:line="324"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 63,443</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-839470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-839470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-839470</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146050</wp:posOffset>
            </wp:positionV>
            <wp:extent cx="18345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53" w:lineRule="exact"/>
        <w:rPr>
          <w:sz w:val="20"/>
          <w:szCs w:val="20"/>
          <w:color w:val="auto"/>
        </w:rPr>
      </w:pPr>
    </w:p>
    <w:p>
      <w:pPr>
        <w:jc w:val="both"/>
        <w:ind w:left="2340" w:right="1139" w:hanging="360"/>
        <w:spacing w:after="0" w:line="263" w:lineRule="auto"/>
        <w:tabs>
          <w:tab w:leader="none" w:pos="2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and Juan Vera did not earn compensation during 2023 for their service on the Board of Directors. As named executive officers, each of Mr. Hoang’s and Dr. Vera’s compensation is fully reflected in the “Summary Compensation Table” above.</w:t>
      </w:r>
    </w:p>
    <w:p>
      <w:pPr>
        <w:spacing w:after="0" w:line="264" w:lineRule="exact"/>
        <w:rPr>
          <w:rFonts w:ascii="Times New Roman" w:cs="Times New Roman" w:eastAsia="Times New Roman" w:hAnsi="Times New Roman"/>
          <w:sz w:val="18"/>
          <w:szCs w:val="18"/>
          <w:color w:val="auto"/>
        </w:rPr>
      </w:pPr>
    </w:p>
    <w:p>
      <w:pPr>
        <w:jc w:val="both"/>
        <w:ind w:left="2340" w:right="1139" w:hanging="360"/>
        <w:spacing w:after="0" w:line="259" w:lineRule="auto"/>
        <w:tabs>
          <w:tab w:leader="none" w:pos="2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Messrs. Eansor, Elms and Wilson each held options to purchase 17,250 shares of our common stock, as adjusted for the Reverse Stock Split. Dr. Knobil, and Dr. Vera held options to purchase 28,500 shares and 240,487 shares, respectively, as of the same date, each as adjusted for the Reverse Stock Split.</w:t>
      </w:r>
    </w:p>
    <w:p>
      <w:pPr>
        <w:spacing w:after="0" w:line="254" w:lineRule="exact"/>
        <w:rPr>
          <w:rFonts w:ascii="Times New Roman" w:cs="Times New Roman" w:eastAsia="Times New Roman" w:hAnsi="Times New Roman"/>
          <w:sz w:val="18"/>
          <w:szCs w:val="18"/>
          <w:color w:val="auto"/>
        </w:rPr>
      </w:pPr>
    </w:p>
    <w:p>
      <w:pPr>
        <w:jc w:val="both"/>
        <w:ind w:left="2340" w:right="1139" w:hanging="360"/>
        <w:spacing w:after="0" w:line="255" w:lineRule="auto"/>
        <w:tabs>
          <w:tab w:leader="none" w:pos="2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grant date fair value of stock options awarded to the directors during the fiscal year ended December 31, 2023 for his or her service on the Board of Directors,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11 to our audited financial statements included in our Annual Report on Form 10-K.</w:t>
      </w:r>
    </w:p>
    <w:p>
      <w:pPr>
        <w:spacing w:after="0" w:line="269" w:lineRule="exact"/>
        <w:rPr>
          <w:rFonts w:ascii="Times New Roman" w:cs="Times New Roman" w:eastAsia="Times New Roman" w:hAnsi="Times New Roman"/>
          <w:sz w:val="18"/>
          <w:szCs w:val="18"/>
          <w:color w:val="auto"/>
        </w:rPr>
      </w:pPr>
    </w:p>
    <w:p>
      <w:pPr>
        <w:jc w:val="both"/>
        <w:ind w:left="2340" w:right="1139" w:hanging="360"/>
        <w:spacing w:after="0" w:line="261" w:lineRule="auto"/>
        <w:tabs>
          <w:tab w:leader="none" w:pos="2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2023, Mr. David Laskow-Pooley, a member of the Board, notified the Board that he would not stand for reelection as a director of the Company upon expiration of his current term. Mr. Laskow-Pooley’s term expired at the Company’s 2023 Annual Meeting of Stockholders.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Director Compensation Program is assessed periodically relative to our comparators by Radford, the Compensation Committee’s independent compensation consultant. The program was most recently amended in February 2022. Pursuant to this program, each of our directors who is not an employee of the Company is eligible to receive compensation for service on our Board of Directors and committees thereof.</w:t>
      </w:r>
    </w:p>
    <w:p>
      <w:pPr>
        <w:spacing w:after="0" w:line="9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Under our current compensation policy, each eligible director receives an annual cash retainer in the amount of $40,000 for serving on our Board of Directors. In addition, the Chair of our Board of Directors receives an annual cash retainer in the amount of $30,000 (in addition to the annual cash retainer given to all eligible directors). The chairperson of the Audit Committee of our Board of Directors is entitled to receive an additional annual cash retainer in the amount of $15,000, the chairperson of the Compensation Committee of our Board of Directors is entitled to receive an additional annual cash retainer in the amount of $10,000 and the chairperson of the Nominating and Corporate Governance Committee of our Board of Directors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$5,000 and the other members of the Nominating and Corporate Governance Committee are entitled to receive an additional annual cash retainer in the amount of $4,000.</w:t>
      </w:r>
    </w:p>
    <w:p>
      <w:pPr>
        <w:spacing w:after="0" w:line="9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of Directors is entitled to receive a non-statutory stock option to purchase shares of our common stock having a value of $120,000 under our 2020 Plan, with the shares vesting in 36 equal monthly installments, subject to continued service as a director through the vesting dates.</w:t>
      </w:r>
    </w:p>
    <w:p>
      <w:pPr>
        <w:spacing w:after="0" w:line="11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having a value of $100,000 under our 2020 Plan (the “Annual Grant”), provided that no Annual Grant shall total more than 8,000 shares (as adjusted for the Reverse Stock Split) shares, with the Annual Grant shares vesting on the first anniversary of the date of grant, subject to continued service as a director though the vesting date.</w:t>
      </w:r>
    </w:p>
    <w:p>
      <w:pPr>
        <w:spacing w:after="0" w:line="10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RANSACTIONS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ELATED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ERSONS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NDEMNIFICATION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Company has adopted a written Related Party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is reasonably expected to exceed $120,000 in any calendar year.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32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the terms of the transaction, (d) the availability of other sources for comparable services or products and 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Committee consider, in light of known circumstances, whether the transaction is in, or is not inconsistent with, the best interests of the Company and its stockholders, as the Committee determines in the good faith exercise of its discretion.</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75"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2022 to which we have been a party, in which the amount involved in the transaction exceeded the lesser of one percent of our average total assets at year-end for the last two completed fiscal years or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Bio-Techne Corporation</w:t>
      </w:r>
    </w:p>
    <w:p>
      <w:pPr>
        <w:spacing w:after="0" w:line="14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We contract with Bio-Techne Corporation and two of its brands for the purchases of reagents, primarily cytokines. Mr. David Eansor, a member of our board of directors, served as the President of the Protein Sciences Segment of Bio- Techne Corporation until his retirement in March 2022. In 2022, we purchased $101,000 of reagents from Bio-Techne Corporation. In 2023, we purchased $0 of reagents from Bio-Techne Corporation.</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Wilson Wolf Manufacturing Corporation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contract with Wilson Wolf Manufacturing Corporation for the purchases of cell culture devices called G-Rexes. Mr. John Wilson, a member of our board of directors, is the CEO of Wilson Wolf Manufacturing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Corporation. In 2022, we purchased $265,000 of cell culture devices from Wilson Wolf Manufacturing Corporation. In 2023, we purchased $277,000 of cell culture devices from Wilson Wolf Manufacturing Corporation.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Wilson Wolf</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On April 21, 2022, we entered into a binding Services Agreement, dated April 12, 2022, with Wilson Wolf (the “Services Agreement”) pursuant to which we agreed to provide Wilson Wolf with certain training and research services. Pursuant to the Services Agreement, Wilson Wolf made cash payments to us in the amount of $9.0 million.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of Assets to Cell Ready LLC</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On June 26, 2023, we completed the transaction with Cell Ready, LLC, or Cell Ready, pursuant to a Purchase Agreement, or the Cell Ready Purchase Agreement, dated May 1, 2023, by and between the Company and Cell Ready. Cell Ready is owned by one of our directors and shareholders, Mr. John Wilson. Pursuant to the Cell Ready Purchase Agreement, effective as of the closing date, we (i) assigned to Cell Ready the leases for our two manufacturing facilities in Houston, Texas, or the Manufacturing Facilities,</w:t>
      </w:r>
    </w:p>
    <w:p>
      <w:pPr>
        <w:ind w:left="1540" w:hanging="280"/>
        <w:spacing w:after="0" w:line="238"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to Cell Ready all of the equipment and leasehold improvements at the Manufacturing Facilities and</w:t>
      </w:r>
    </w:p>
    <w:p>
      <w:pPr>
        <w:jc w:val="both"/>
        <w:ind w:left="1260" w:right="419"/>
        <w:spacing w:after="0" w:line="246" w:lineRule="auto"/>
        <w:tabs>
          <w:tab w:leader="none" w:pos="16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to Cell Ready our rights, title and interest in any contracts related to the equipment and Manufacturing Facilities (collectively referred to as the “Purchased Assets”). Cell Ready acquired the Purchased Assets for total consideration of $19.0 million.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 with Cell Ready LLC</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On February 22, 2024, we entered into a Master Services Agreement for Product Supply, or MSA, with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w:t>
      </w:r>
    </w:p>
    <w:p>
      <w:pPr>
        <w:spacing w:after="0" w:line="327"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The MSA contains customary representations, warranties and indemnification provision. The initial term of the MSA is three years and may be extended upon the mutual written agreement of the parties. Either party may terminate the MSA (a) for material breach by the other party if such breach has not been cured within 30 days following notice of termination or (b) if the other party is the subject of an insolvency event.</w:t>
      </w:r>
    </w:p>
    <w:p>
      <w:pPr>
        <w:spacing w:after="0" w:line="11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With regard to intellectual property, the MSA provides that each party will solely and exclusively own all right, title and interest in and to their Background IP and all inventions derived from such background IP (such invention being referred to as Foreground IP). Background IP means all intellectual property either</w:t>
      </w:r>
    </w:p>
    <w:p>
      <w:pPr>
        <w:jc w:val="both"/>
        <w:ind w:left="1260" w:right="419"/>
        <w:spacing w:after="0"/>
        <w:tabs>
          <w:tab w:leader="none" w:pos="15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or controlled by a party prior to the effective date of the MSA or (b) developed or acquired by a party independently from performance under the MSA without the use of, reliance on, or access to the other party’s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grants to Cell Ready until the termination or expiry of any applicable Work Order and for a period not exceeding the term of the MSA, a non-exclusive, fully paid-up, non-transferable, non-sublicensable limited license under and to the Company’s Background IP made available to Cell Ready pursuant to a Work Order solely to the extent required for Cell Ready to provide the services under such Work Order.</w:t>
      </w:r>
    </w:p>
    <w:p>
      <w:pPr>
        <w:spacing w:after="0" w:line="11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On February 22, 2024, the Company entered into Work Order #1 under the MSA, pursuant to which Cell Ready will provide the Company with GMP drug product for Marker MT-401 and/or MT-601. The services include the delivery of final drug product and quality control testing. The Company also requested Cell Ready to provide general support services in connection therewith. The total projected sum (inclusive of taxes) for the services under Work Order #1 are not anticipated to exceed $750,000. The services will cover the anticipated manufacturing costs for the first quarter of 2024. Additional Work Orders are expected to be generated for the remainder of 2024.</w:t>
      </w:r>
    </w:p>
    <w:p>
      <w:pPr>
        <w:spacing w:after="0" w:line="12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During 2023, we paid approximately $1.3M to Cell Ready for outsourced product development and manufacturing services.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AlloVir, Inc.</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are party to a services agreement with AlloVir, Inc. (“AlloVir”), pursuant to which we provide AlloVir with development services. Juan Vera, our Chief Executive Officer, Principal Executive Officer, Principal Accounting Officer, President and director, serves on the board of directors of AlloVir.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6"/>
          <w:szCs w:val="16"/>
          <w:b w:val="1"/>
          <w:bCs w:val="1"/>
          <w:color w:val="auto"/>
        </w:rPr>
        <w:t>OUSEHOLDING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ATERIALS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9350 Kirby Drive, Suite 300, Houston, TX 77054.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ATTERS</w:t>
      </w:r>
    </w:p>
    <w:p>
      <w:pPr>
        <w:spacing w:after="0" w:line="17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13716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April 26, 2024</w:t>
      </w:r>
    </w:p>
    <w:p>
      <w:pPr>
        <w:spacing w:after="0" w:line="140" w:lineRule="exact"/>
        <w:rPr>
          <w:sz w:val="20"/>
          <w:szCs w:val="20"/>
          <w:color w:val="auto"/>
        </w:rPr>
      </w:pPr>
    </w:p>
    <w:p>
      <w:pPr>
        <w:jc w:val="both"/>
        <w:ind w:left="1260" w:right="399"/>
        <w:spacing w:after="0" w:line="291" w:lineRule="auto"/>
        <w:rPr>
          <w:sz w:val="20"/>
          <w:szCs w:val="20"/>
          <w:color w:val="auto"/>
        </w:rPr>
      </w:pPr>
      <w:r>
        <w:rPr>
          <w:rFonts w:ascii="Times New Roman" w:cs="Times New Roman" w:eastAsia="Times New Roman" w:hAnsi="Times New Roman"/>
          <w:sz w:val="17"/>
          <w:szCs w:val="17"/>
          <w:b w:val="1"/>
          <w:bCs w:val="1"/>
          <w:color w:val="auto"/>
        </w:rPr>
        <w:t>A copy of the Company’s Annual Report to the Securities and Exchange Commission on Form 10-K for the fiscal year ended December 31, 2023 is available without charge upon written request to Marker Therapeutics, Inc., Attention: Secretary, Marker Therapeutics, Inc., 9350 Kirby Drive, Suite 300, Houston, TX 77054.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938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4740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847407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lowerRoman"/>
      <w:start w:val="3"/>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2"/>
    </w:lvl>
  </w:abstractNum>
  <w:abstractNum w:abstractNumId="16">
    <w:nsid w:val="8EDBDAB"/>
    <w:multiLevelType w:val="hybridMultilevel"/>
    <w:lvl w:ilvl="0">
      <w:lvlJc w:val="left"/>
      <w:lvlText w:val="(%1)"/>
      <w:numFmt w:val="decimal"/>
      <w:start w:val="6"/>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2)"/>
      <w:numFmt w:val="decimal"/>
      <w:start w:val="1"/>
    </w:lvl>
  </w:abstractNum>
  <w:abstractNum w:abstractNumId="19">
    <w:nsid w:val="B03E0C6"/>
    <w:multiLevelType w:val="hybridMultilevel"/>
    <w:lvl w:ilvl="0">
      <w:lvlJc w:val="left"/>
      <w:lvlText w:val="**"/>
      <w:numFmt w:val="bullet"/>
      <w:start w:val="1"/>
    </w:lvl>
    <w:lvl w:ilvl="1">
      <w:lvlJc w:val="left"/>
      <w:lvlText w:val="%2"/>
      <w:numFmt w:val="decimal"/>
      <w:start w:val="1"/>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1)"/>
      <w:numFmt w:val="decimal"/>
      <w:start w:val="4"/>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lowerRoman"/>
      <w:start w:val="2"/>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2024-04-26T15:40:20Z</dcterms:created>
  <dcterms:modified xsi:type="dcterms:W3CDTF">2024-04-26T15:40:20Z</dcterms:modified>
</cp:coreProperties>
</file>