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Marker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57055L206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57055L206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554,250.00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554,250.00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554,250.00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10,707,295 shares of common stock outstanding as of January 17, 2025, as reported on the Issuer's Prospectus filed with the Securities and Exchange Commission on January 17,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Marker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2450 Holcombe Blvd, Suite BCM-A, MS: BCM251, Houston, Texas, 77021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Blue Owl Capital Holdings LP,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jc w:val="left"/>
              <w:rPr/>
            </w:pPr>
            <w:r>
              <w:rPr/>
              <w:t xml:space="preserve">CUSIP No.: </w:t>
            </w:r>
          </w:p>
          <w:p>
            <w:pPr>
              <w:pStyle w:val="TableContents"/>
              <w:bidi w:val="0"/>
              <w:spacing w:before="0" w:after="0"/>
              <w:jc w:val="left"/>
              <w:rPr/>
            </w:pPr>
            <w:r>
              <w:rPr/>
              <w:t>57055L206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the cover page. Pursuant to Rule 13d-4 of the Act, the Reporting Persons declare that filing this statement on Schedule 13G (this "Statement") shall not be construed as an admission that any of the Reporting Persons are, for the purposes of Section 13(d) and/or Section 13(g) of the Act, the beneficial owner of any securities covered by this Statement, and such beneficial ownership is expressly disclaimed by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Karen Hager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Karen Hager,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4580</Characters>
  <CharactersWithSpaces>5472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