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January 5,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34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80" w:type="dxa"/>
            <w:vAlign w:val="bottom"/>
            <w:gridSpan w:val="3"/>
          </w:tcPr>
          <w:p>
            <w:pPr>
              <w:jc w:val="center"/>
              <w:ind w:right="1360"/>
              <w:spacing w:after="0"/>
              <w:rPr>
                <w:sz w:val="20"/>
                <w:szCs w:val="20"/>
                <w:color w:val="auto"/>
              </w:rPr>
            </w:pPr>
            <w:r>
              <w:rPr>
                <w:rFonts w:ascii="Arial" w:cs="Arial" w:eastAsia="Arial" w:hAnsi="Arial"/>
                <w:sz w:val="18"/>
                <w:szCs w:val="18"/>
                <w:b w:val="1"/>
                <w:bCs w:val="1"/>
                <w:color w:val="auto"/>
                <w:w w:val="91"/>
              </w:rPr>
              <w:t>Delaware</w:t>
            </w:r>
          </w:p>
        </w:tc>
        <w:tc>
          <w:tcPr>
            <w:tcW w:w="41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001-37939</w:t>
            </w:r>
          </w:p>
        </w:tc>
        <w:tc>
          <w:tcPr>
            <w:tcW w:w="280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0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(State or other jurisdiction of incorporation)</w:t>
            </w:r>
          </w:p>
        </w:tc>
        <w:tc>
          <w:tcPr>
            <w:tcW w:w="4140" w:type="dxa"/>
            <w:vAlign w:val="bottom"/>
            <w:gridSpan w:val="3"/>
          </w:tcPr>
          <w:p>
            <w:pPr>
              <w:jc w:val="center"/>
              <w:ind w:right="160"/>
              <w:spacing w:after="0"/>
              <w:rPr>
                <w:sz w:val="20"/>
                <w:szCs w:val="20"/>
                <w:color w:val="auto"/>
              </w:rPr>
            </w:pPr>
            <w:r>
              <w:rPr>
                <w:rFonts w:ascii="Arial" w:cs="Arial" w:eastAsia="Arial" w:hAnsi="Arial"/>
                <w:sz w:val="18"/>
                <w:szCs w:val="18"/>
                <w:color w:val="auto"/>
                <w:w w:val="92"/>
              </w:rPr>
              <w:t>(Commission File Number)</w:t>
            </w:r>
          </w:p>
        </w:tc>
        <w:tc>
          <w:tcPr>
            <w:tcW w:w="2800" w:type="dxa"/>
            <w:vAlign w:val="bottom"/>
            <w:gridSpan w:val="5"/>
          </w:tcPr>
          <w:p>
            <w:pPr>
              <w:jc w:val="center"/>
              <w:ind w:left="23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00" w:type="dxa"/>
            <w:vAlign w:val="bottom"/>
            <w:gridSpan w:val="5"/>
          </w:tcPr>
          <w:p>
            <w:pPr>
              <w:jc w:val="center"/>
              <w:ind w:right="140"/>
              <w:spacing w:after="0"/>
              <w:rPr>
                <w:sz w:val="20"/>
                <w:szCs w:val="20"/>
                <w:color w:val="auto"/>
              </w:rPr>
            </w:pPr>
            <w:r>
              <w:rPr>
                <w:rFonts w:ascii="Arial" w:cs="Arial" w:eastAsia="Arial" w:hAnsi="Arial"/>
                <w:sz w:val="18"/>
                <w:szCs w:val="18"/>
                <w:b w:val="1"/>
                <w:bCs w:val="1"/>
                <w:color w:val="auto"/>
                <w:w w:val="88"/>
              </w:rPr>
              <w:t>3200 Southwest Freeway</w:t>
            </w:r>
          </w:p>
        </w:tc>
        <w:tc>
          <w:tcPr>
            <w:tcW w:w="1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1000" w:type="dxa"/>
            <w:vAlign w:val="bottom"/>
          </w:tcPr>
          <w:p>
            <w:pPr>
              <w:spacing w:after="0"/>
              <w:rPr>
                <w:sz w:val="18"/>
                <w:szCs w:val="18"/>
                <w:color w:val="auto"/>
              </w:rPr>
            </w:pPr>
          </w:p>
        </w:tc>
        <w:tc>
          <w:tcPr>
            <w:tcW w:w="2300" w:type="dxa"/>
            <w:vAlign w:val="bottom"/>
            <w:gridSpan w:val="4"/>
          </w:tcPr>
          <w:p>
            <w:pPr>
              <w:jc w:val="center"/>
              <w:ind w:right="1140"/>
              <w:spacing w:after="0"/>
              <w:rPr>
                <w:sz w:val="20"/>
                <w:szCs w:val="20"/>
                <w:color w:val="auto"/>
              </w:rPr>
            </w:pPr>
            <w:r>
              <w:rPr>
                <w:rFonts w:ascii="Arial" w:cs="Arial" w:eastAsia="Arial" w:hAnsi="Arial"/>
                <w:sz w:val="18"/>
                <w:szCs w:val="18"/>
                <w:b w:val="1"/>
                <w:bCs w:val="1"/>
                <w:color w:val="auto"/>
                <w:w w:val="89"/>
              </w:rPr>
              <w:t>Suite 2500</w:t>
            </w:r>
          </w:p>
        </w:tc>
        <w:tc>
          <w:tcPr>
            <w:tcW w:w="1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194"/>
        </w:trPr>
        <w:tc>
          <w:tcPr>
            <w:tcW w:w="1000" w:type="dxa"/>
            <w:vAlign w:val="bottom"/>
          </w:tcPr>
          <w:p>
            <w:pPr>
              <w:spacing w:after="0"/>
              <w:rPr>
                <w:sz w:val="16"/>
                <w:szCs w:val="16"/>
                <w:color w:val="auto"/>
              </w:rPr>
            </w:pPr>
          </w:p>
        </w:tc>
        <w:tc>
          <w:tcPr>
            <w:tcW w:w="1160" w:type="dxa"/>
            <w:vAlign w:val="bottom"/>
            <w:tcBorders>
              <w:bottom w:val="single" w:sz="8" w:color="auto"/>
            </w:tcBorders>
            <w:gridSpan w:val="3"/>
          </w:tcPr>
          <w:p>
            <w:pPr>
              <w:jc w:val="center"/>
              <w:spacing w:after="0" w:line="174" w:lineRule="exact"/>
              <w:rPr>
                <w:sz w:val="20"/>
                <w:szCs w:val="20"/>
                <w:color w:val="auto"/>
              </w:rPr>
            </w:pPr>
            <w:r>
              <w:rPr>
                <w:rFonts w:ascii="Arial" w:cs="Arial" w:eastAsia="Arial" w:hAnsi="Arial"/>
                <w:sz w:val="18"/>
                <w:szCs w:val="18"/>
                <w:b w:val="1"/>
                <w:bCs w:val="1"/>
                <w:color w:val="auto"/>
                <w:w w:val="86"/>
              </w:rPr>
              <w:t>Houston, Texas</w:t>
            </w:r>
          </w:p>
        </w:tc>
        <w:tc>
          <w:tcPr>
            <w:tcW w:w="11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000" w:type="dxa"/>
            <w:vAlign w:val="bottom"/>
            <w:gridSpan w:val="4"/>
          </w:tcPr>
          <w:p>
            <w:pPr>
              <w:jc w:val="right"/>
              <w:ind w:right="220"/>
              <w:spacing w:after="0" w:line="194" w:lineRule="exact"/>
              <w:rPr>
                <w:sz w:val="20"/>
                <w:szCs w:val="20"/>
                <w:color w:val="auto"/>
              </w:rPr>
            </w:pPr>
            <w:r>
              <w:rPr>
                <w:rFonts w:ascii="Arial" w:cs="Arial" w:eastAsia="Arial" w:hAnsi="Arial"/>
                <w:sz w:val="18"/>
                <w:szCs w:val="18"/>
                <w:b w:val="1"/>
                <w:bCs w:val="1"/>
                <w:color w:val="auto"/>
              </w:rPr>
              <w:t>77027</w:t>
            </w:r>
          </w:p>
        </w:tc>
        <w:tc>
          <w:tcPr>
            <w:tcW w:w="800" w:type="dxa"/>
            <w:vAlign w:val="bottom"/>
          </w:tcPr>
          <w:p>
            <w:pPr>
              <w:spacing w:after="0"/>
              <w:rPr>
                <w:sz w:val="16"/>
                <w:szCs w:val="16"/>
                <w:color w:val="auto"/>
              </w:rPr>
            </w:pPr>
          </w:p>
        </w:tc>
      </w:tr>
      <w:tr>
        <w:trPr>
          <w:trHeight w:val="20"/>
        </w:trPr>
        <w:tc>
          <w:tcPr>
            <w:tcW w:w="3300" w:type="dxa"/>
            <w:vAlign w:val="bottom"/>
            <w:gridSpan w:val="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r>
      <w:tr>
        <w:trPr>
          <w:trHeight w:val="224"/>
        </w:trPr>
        <w:tc>
          <w:tcPr>
            <w:tcW w:w="3300" w:type="dxa"/>
            <w:vAlign w:val="bottom"/>
            <w:gridSpan w:val="5"/>
          </w:tcPr>
          <w:p>
            <w:pPr>
              <w:jc w:val="center"/>
              <w:ind w:right="140"/>
              <w:spacing w:after="0"/>
              <w:rPr>
                <w:sz w:val="20"/>
                <w:szCs w:val="20"/>
                <w:color w:val="auto"/>
              </w:rPr>
            </w:pPr>
            <w:r>
              <w:rPr>
                <w:rFonts w:ascii="Arial" w:cs="Arial" w:eastAsia="Arial" w:hAnsi="Arial"/>
                <w:sz w:val="18"/>
                <w:szCs w:val="18"/>
                <w:color w:val="auto"/>
                <w:w w:val="92"/>
              </w:rPr>
              <w:t>(Address of principal executive offices)</w:t>
            </w:r>
          </w:p>
        </w:tc>
        <w:tc>
          <w:tcPr>
            <w:tcW w:w="1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80" w:type="dxa"/>
            <w:vAlign w:val="bottom"/>
            <w:gridSpan w:val="4"/>
          </w:tcPr>
          <w:p>
            <w:pPr>
              <w:jc w:val="center"/>
              <w:ind w:right="800"/>
              <w:spacing w:after="0"/>
              <w:rPr>
                <w:sz w:val="20"/>
                <w:szCs w:val="20"/>
                <w:color w:val="auto"/>
              </w:rPr>
            </w:pPr>
            <w:r>
              <w:rPr>
                <w:rFonts w:ascii="Arial" w:cs="Arial" w:eastAsia="Arial" w:hAnsi="Arial"/>
                <w:sz w:val="18"/>
                <w:szCs w:val="18"/>
                <w:color w:val="auto"/>
                <w:w w:val="94"/>
              </w:rPr>
              <w:t>(Zip Code)</w:t>
            </w:r>
          </w:p>
        </w:tc>
      </w:tr>
      <w:tr>
        <w:trPr>
          <w:trHeight w:val="418"/>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(713) 400-6400</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14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Registrant’s telephone number, including area code</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1140" w:hanging="1132"/>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1140" w:hanging="1132"/>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1140" w:hanging="1132"/>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1140" w:hanging="1132"/>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18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18"/>
        </w:trPr>
        <w:tc>
          <w:tcPr>
            <w:tcW w:w="4700" w:type="dxa"/>
            <w:vAlign w:val="bottom"/>
          </w:tcPr>
          <w:p>
            <w:pPr>
              <w:spacing w:after="0"/>
              <w:rPr>
                <w:sz w:val="24"/>
                <w:szCs w:val="24"/>
                <w:color w:val="auto"/>
              </w:rPr>
            </w:pPr>
          </w:p>
        </w:tc>
        <w:tc>
          <w:tcPr>
            <w:tcW w:w="2180" w:type="dxa"/>
            <w:vAlign w:val="bottom"/>
          </w:tcPr>
          <w:p>
            <w:pPr>
              <w:jc w:val="center"/>
              <w:ind w:right="210"/>
              <w:spacing w:after="0"/>
              <w:rPr>
                <w:sz w:val="20"/>
                <w:szCs w:val="20"/>
                <w:color w:val="auto"/>
              </w:rPr>
            </w:pPr>
            <w:r>
              <w:rPr>
                <w:rFonts w:ascii="Arial" w:cs="Arial" w:eastAsia="Arial" w:hAnsi="Arial"/>
                <w:sz w:val="18"/>
                <w:szCs w:val="18"/>
                <w:color w:val="auto"/>
                <w:w w:val="91"/>
              </w:rPr>
              <w:t>Trading</w:t>
            </w:r>
          </w:p>
        </w:tc>
        <w:tc>
          <w:tcPr>
            <w:tcW w:w="4360" w:type="dxa"/>
            <w:vAlign w:val="bottom"/>
          </w:tcPr>
          <w:p>
            <w:pPr>
              <w:spacing w:after="0"/>
              <w:rPr>
                <w:sz w:val="24"/>
                <w:szCs w:val="24"/>
                <w:color w:val="auto"/>
              </w:rPr>
            </w:pPr>
          </w:p>
        </w:tc>
      </w:tr>
      <w:tr>
        <w:trPr>
          <w:trHeight w:val="230"/>
        </w:trPr>
        <w:tc>
          <w:tcPr>
            <w:tcW w:w="4700" w:type="dxa"/>
            <w:vAlign w:val="bottom"/>
            <w:tcBorders>
              <w:bottom w:val="single" w:sz="8" w:color="auto"/>
            </w:tcBorders>
          </w:tcPr>
          <w:p>
            <w:pPr>
              <w:jc w:val="center"/>
              <w:ind w:right="790"/>
              <w:spacing w:after="0"/>
              <w:rPr>
                <w:sz w:val="20"/>
                <w:szCs w:val="20"/>
                <w:color w:val="auto"/>
              </w:rPr>
            </w:pPr>
            <w:r>
              <w:rPr>
                <w:rFonts w:ascii="Arial" w:cs="Arial" w:eastAsia="Arial" w:hAnsi="Arial"/>
                <w:sz w:val="18"/>
                <w:szCs w:val="18"/>
                <w:color w:val="auto"/>
                <w:w w:val="90"/>
              </w:rPr>
              <w:t>Title of each class</w:t>
            </w:r>
          </w:p>
        </w:tc>
        <w:tc>
          <w:tcPr>
            <w:tcW w:w="21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93"/>
              </w:rPr>
              <w:t>Symbol(s)</w:t>
            </w:r>
          </w:p>
        </w:tc>
        <w:tc>
          <w:tcPr>
            <w:tcW w:w="436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700" w:type="dxa"/>
            <w:vAlign w:val="bottom"/>
          </w:tcPr>
          <w:p>
            <w:pPr>
              <w:jc w:val="center"/>
              <w:ind w:right="770"/>
              <w:spacing w:after="0"/>
              <w:rPr>
                <w:sz w:val="20"/>
                <w:szCs w:val="20"/>
                <w:color w:val="auto"/>
              </w:rPr>
            </w:pPr>
            <w:r>
              <w:rPr>
                <w:rFonts w:ascii="Arial" w:cs="Arial" w:eastAsia="Arial" w:hAnsi="Arial"/>
                <w:sz w:val="18"/>
                <w:szCs w:val="18"/>
                <w:color w:val="auto"/>
                <w:w w:val="89"/>
              </w:rPr>
              <w:t>Common Stock, par value $0.001 per share</w:t>
            </w:r>
          </w:p>
        </w:tc>
        <w:tc>
          <w:tcPr>
            <w:tcW w:w="2180" w:type="dxa"/>
            <w:vAlign w:val="bottom"/>
          </w:tcPr>
          <w:p>
            <w:pPr>
              <w:jc w:val="center"/>
              <w:ind w:right="210"/>
              <w:spacing w:after="0"/>
              <w:rPr>
                <w:sz w:val="20"/>
                <w:szCs w:val="20"/>
                <w:color w:val="auto"/>
              </w:rPr>
            </w:pPr>
            <w:r>
              <w:rPr>
                <w:rFonts w:ascii="Arial" w:cs="Arial" w:eastAsia="Arial" w:hAnsi="Arial"/>
                <w:sz w:val="18"/>
                <w:szCs w:val="18"/>
                <w:color w:val="auto"/>
                <w:w w:val="98"/>
              </w:rPr>
              <w:t>MRKR</w:t>
            </w:r>
          </w:p>
        </w:tc>
        <w:tc>
          <w:tcPr>
            <w:tcW w:w="4360" w:type="dxa"/>
            <w:vAlign w:val="bottom"/>
          </w:tcPr>
          <w:p>
            <w:pPr>
              <w:jc w:val="center"/>
              <w:ind w:left="470"/>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ind w:right="5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On January 5, 2021, Marker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issued a press release entitled “Marker Therapeutics Announces FDA Lifted Partial Clinical Hold on Phase 2 AML Clinical Trial.” A copy of the press release is furnished herewith as Exhibit 99.1 and is incorporated herein by reference.</w:t>
      </w:r>
    </w:p>
    <w:p>
      <w:pPr>
        <w:spacing w:after="0" w:line="18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information in this Item 7.01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900" w:type="dxa"/>
            <w:vAlign w:val="bottom"/>
          </w:tcPr>
          <w:p>
            <w:pPr>
              <w:spacing w:after="0"/>
              <w:rPr>
                <w:sz w:val="20"/>
                <w:szCs w:val="20"/>
                <w:color w:val="auto"/>
              </w:rPr>
            </w:pPr>
          </w:p>
        </w:tc>
        <w:tc>
          <w:tcPr>
            <w:tcW w:w="9200" w:type="dxa"/>
            <w:vAlign w:val="bottom"/>
          </w:tcPr>
          <w:p>
            <w:pPr>
              <w:spacing w:after="0"/>
              <w:rPr>
                <w:sz w:val="20"/>
                <w:szCs w:val="20"/>
                <w:color w:val="auto"/>
              </w:rPr>
            </w:pPr>
          </w:p>
        </w:tc>
      </w:tr>
      <w:tr>
        <w:trPr>
          <w:trHeight w:val="39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r>
      <w:tr>
        <w:trPr>
          <w:trHeight w:val="237"/>
        </w:trPr>
        <w:tc>
          <w:tcPr>
            <w:tcW w:w="88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99.1</w:t>
              </w:r>
            </w:hyperlink>
          </w:p>
        </w:tc>
        <w:tc>
          <w:tcPr>
            <w:tcW w:w="260" w:type="dxa"/>
            <w:vAlign w:val="bottom"/>
          </w:tcPr>
          <w:p>
            <w:pPr>
              <w:spacing w:after="0"/>
              <w:rPr>
                <w:sz w:val="20"/>
                <w:szCs w:val="20"/>
                <w:color w:val="auto"/>
              </w:rPr>
            </w:pPr>
          </w:p>
        </w:tc>
        <w:tc>
          <w:tcPr>
            <w:tcW w:w="1010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dated January 5, 2021</w:t>
              </w:r>
            </w:hyperlink>
          </w:p>
        </w:tc>
      </w:tr>
      <w:tr>
        <w:trPr>
          <w:trHeight w:val="675"/>
        </w:trPr>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Dated: January 5, 2021</w:t>
            </w:r>
          </w:p>
        </w:tc>
        <w:tc>
          <w:tcPr>
            <w:tcW w:w="7580" w:type="dxa"/>
            <w:vAlign w:val="bottom"/>
            <w:gridSpan w:val="2"/>
          </w:tcPr>
          <w:p>
            <w:pPr>
              <w:ind w:left="1980"/>
              <w:spacing w:after="0"/>
              <w:rPr>
                <w:sz w:val="20"/>
                <w:szCs w:val="20"/>
                <w:color w:val="auto"/>
              </w:rPr>
            </w:pPr>
            <w:r>
              <w:rPr>
                <w:rFonts w:ascii="Arial" w:cs="Arial" w:eastAsia="Arial" w:hAnsi="Arial"/>
                <w:sz w:val="18"/>
                <w:szCs w:val="18"/>
                <w:color w:val="auto"/>
              </w:rPr>
              <w:t>By:   /s/ Anthony Kim</w:t>
            </w:r>
          </w:p>
        </w:tc>
      </w:tr>
      <w:tr>
        <w:trPr>
          <w:trHeight w:val="195"/>
        </w:trPr>
        <w:tc>
          <w:tcPr>
            <w:tcW w:w="3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Anthony Kim</w:t>
            </w:r>
          </w:p>
        </w:tc>
      </w:tr>
      <w:tr>
        <w:trPr>
          <w:trHeight w:val="230"/>
        </w:trPr>
        <w:tc>
          <w:tcPr>
            <w:tcW w:w="3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675"/>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1937385" cy="4368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3738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Announces FDA Lifted Partial Clinical Hold on Phase 2 AML Clinical Trial</w:t>
      </w:r>
    </w:p>
    <w:p>
      <w:pPr>
        <w:spacing w:after="0" w:line="225"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b w:val="1"/>
          <w:bCs w:val="1"/>
          <w:color w:val="auto"/>
        </w:rPr>
        <w:t>Houston, TX—January 5, 2021—</w:t>
      </w:r>
      <w:r>
        <w:rPr>
          <w:rFonts w:ascii="Arial" w:cs="Arial" w:eastAsia="Arial" w:hAnsi="Arial"/>
          <w:sz w:val="18"/>
          <w:szCs w:val="18"/>
          <w:color w:val="auto"/>
        </w:rPr>
        <w:t>Marker Therapeutics, Inc. (Nasdaq:MRKR), a clinical-stage immuno-oncology company specializing in the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of next-generation T cell-based immunotherapies for the treatment of hematological malignancies and solid tumor indications, today announced that the U.S. Food and Drug Administration (FDA) lifted the partial clinical hold on the Company’s Phase 2 trial investigating the safety and efficacy of MT-401, Marker’s lead multi-tumor-associated antigen (MultiTAA)-specific T cell product candidate for the treatment of post-transplant acute myeloid leukemia (AML).</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pleased to move forward with our Phase 2 AML trial of MT-401, which we believe may provide a safe and effective treatment option for patients with post-transplant AML over the standard of care,” said Mythili Koneru, M.D., Ph.D., Chief Medical Officer of Marker Therapeutics. “During the partial clinical hold, we continued to open clinical centers to enroll patients in the first half of the safety lead-in of our Phase 2 trial. With the FDA’s decision, we will now be able to seamlessly enroll patients in the second half of the safety lead-in, as well as the remainder of the trial. We look forward to working with our clinical sites to continue enrolling patients.”</w:t>
      </w:r>
    </w:p>
    <w:p>
      <w:pPr>
        <w:spacing w:after="0" w:line="18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multicenter Phase 2 AML study is evaluating clinical efficacy of MT-401 in patients with AML in both the adjuvant and active disease setting, following an allogeneic stem-cell transplant. In the adjuvant setting, approximately 120 patients will be randomized 1:1 to either MT-401 at 90 days post-transplant versus standard-of-care observation, while about 40 patients with active disease will receive MT-401 as part of the single-arm group. The trial also includes a safety lead-in expected to enroll six patients.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primary objectives of the trial are to evaluate relapse-free survival in the adjuvant group and determine the complete remission rate and duration of complete remission in active disease patients. Additional objectives include, for the adjuvant group, overall survival and graft-versus-host disease relapse-free survival while additional objectives for the active disease group include overall response rate, duration of response, progression-free survival and overall survival.</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In April 2020, the FDA granted Orphan Drug designation to MT-401 for the treatment of patients with AML following allogeneic stem cell transplant.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Marker Therapeutics, Inc.</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Marker Therapeutics, Inc. is a clinical-stage immuno-oncology company specializing in the development of next-generation T cell-based immunotherapies for the treatment of hematological malignancies and solid tumor indications. Marker’s cell therapy technology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its T cell therapies,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To receive future press releases via email, please visit: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https://www.markertherapeutics.com/email-alerts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7"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the impact of the COVID-19 pandemic; the timing, conduct and success of our clinical trials, including the Phase 2 trial of MT-401, as well as clinical trials conducted by our collaborators; our manufacturing processes and our ability to use our in-house manufacturing facility to support clinical and commercial demand.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Such risks and uncertainties may be amplified by the COVID-19 pandemic and its impact on our business and the global economy. The Company assumes no obligation to update our forward-looking statements whether as a result of new information, future events or otherwise, after the date of this press release.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Korb</w:t>
      </w:r>
    </w:p>
    <w:p>
      <w:pPr>
        <w:spacing w:after="0" w:line="9" w:lineRule="exact"/>
        <w:rPr>
          <w:sz w:val="20"/>
          <w:szCs w:val="20"/>
          <w:color w:val="auto"/>
        </w:rPr>
      </w:pPr>
    </w:p>
    <w:p>
      <w:pPr>
        <w:ind w:right="934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378-2923 bkorb@soleburytrout.com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Amy Bonanno</w:t>
      </w:r>
    </w:p>
    <w:p>
      <w:pPr>
        <w:spacing w:after="0" w:line="9" w:lineRule="exact"/>
        <w:rPr>
          <w:sz w:val="20"/>
          <w:szCs w:val="20"/>
          <w:color w:val="auto"/>
        </w:rPr>
      </w:pPr>
    </w:p>
    <w:p>
      <w:pPr>
        <w:ind w:right="906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450-0349 abonanno@soleburytrout.com</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646"/>
    </w:lvl>
  </w:abstractNum>
  <w:abstractNum w:abstractNumId="2">
    <w:nsid w:val="19495CFF"/>
    <w:multiLevelType w:val="hybridMultilevel"/>
    <w:lvl w:ilvl="0">
      <w:lvlJc w:val="left"/>
      <w:lvlText w:val="(%1)"/>
      <w:numFmt w:val="decimal"/>
      <w:start w:val="91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2021-01-05T15:04:06Z</dcterms:created>
  <dcterms:modified xsi:type="dcterms:W3CDTF">2021-01-05T15:04:06Z</dcterms:modified>
</cp:coreProperties>
</file>