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10,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60" w:type="dxa"/>
            <w:vAlign w:val="bottom"/>
            <w:gridSpan w:val="5"/>
          </w:tcPr>
          <w:p>
            <w:pPr>
              <w:ind w:left="360"/>
              <w:spacing w:after="0"/>
              <w:rPr>
                <w:sz w:val="20"/>
                <w:szCs w:val="20"/>
                <w:color w:val="auto"/>
              </w:rPr>
            </w:pPr>
            <w:r>
              <w:rPr>
                <w:rFonts w:ascii="Arial" w:cs="Arial" w:eastAsia="Arial" w:hAnsi="Arial"/>
                <w:sz w:val="18"/>
                <w:szCs w:val="18"/>
                <w:color w:val="auto"/>
              </w:rPr>
              <w:t>(State or other jurisdiction of</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840" w:type="dxa"/>
            <w:vAlign w:val="bottom"/>
          </w:tcPr>
          <w:p>
            <w:pPr>
              <w:spacing w:after="0"/>
              <w:rPr>
                <w:sz w:val="20"/>
                <w:szCs w:val="20"/>
                <w:color w:val="auto"/>
              </w:rPr>
            </w:pPr>
          </w:p>
        </w:tc>
        <w:tc>
          <w:tcPr>
            <w:tcW w:w="2220" w:type="dxa"/>
            <w:vAlign w:val="bottom"/>
            <w:gridSpan w:val="4"/>
          </w:tcPr>
          <w:p>
            <w:pPr>
              <w:jc w:val="center"/>
              <w:ind w:right="1060"/>
              <w:spacing w:after="0"/>
              <w:rPr>
                <w:sz w:val="20"/>
                <w:szCs w:val="20"/>
                <w:color w:val="auto"/>
              </w:rPr>
            </w:pPr>
            <w:r>
              <w:rPr>
                <w:rFonts w:ascii="Arial" w:cs="Arial" w:eastAsia="Arial" w:hAnsi="Arial"/>
                <w:sz w:val="18"/>
                <w:szCs w:val="18"/>
                <w:color w:val="auto"/>
                <w:w w:val="94"/>
              </w:rPr>
              <w:t>incorporation)</w:t>
            </w:r>
          </w:p>
        </w:tc>
        <w:tc>
          <w:tcPr>
            <w:tcW w:w="1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3200 Southwest Freeway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2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9"/>
              </w:rPr>
              <w:t>Suite 2500</w:t>
            </w: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06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0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August 10, 2021,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reported financial results for the quarter ended June 30, 2021 and other recent corporate updates. A copy of the press release is furnished as Exhibit 99.1 to this report and incorporated by reference.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392"/>
        </w:trPr>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10040" w:type="dxa"/>
            <w:vAlign w:val="bottom"/>
            <w:gridSpan w:val="4"/>
          </w:tcPr>
          <w:p>
            <w:pPr>
              <w:ind w:left="2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10,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40" w:type="dxa"/>
            <w:vAlign w:val="bottom"/>
            <w:gridSpan w:val="4"/>
          </w:tcPr>
          <w:p>
            <w:pPr>
              <w:ind w:left="280"/>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August 10, 2021</w:t>
            </w: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By:   /s/ Anthony Kim</w:t>
            </w:r>
          </w:p>
        </w:tc>
      </w:tr>
      <w:tr>
        <w:trPr>
          <w:trHeight w:val="195"/>
        </w:trPr>
        <w:tc>
          <w:tcPr>
            <w:tcW w:w="3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6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9735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Second Quarter 2021 Operating and Financial Results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Marker continues to enroll patients and activate clinical sites in Phase 2 AML trial following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completion of safety lead-in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Company’s new in-house cGMP manufacturing facility in Houston is fully operational</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Houston, TX—August 10, 2021—</w:t>
      </w:r>
      <w:r>
        <w:rPr>
          <w:rFonts w:ascii="Arial" w:cs="Arial" w:eastAsia="Arial" w:hAnsi="Arial"/>
          <w:sz w:val="18"/>
          <w:szCs w:val="18"/>
          <w:color w:val="auto"/>
        </w:rPr>
        <w:t>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second quarter ended June 30, 2021.</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“Marker accomplished a number of strategic goals and clinical milestones this quarter, including completing the safety lead-in portion of our company-sponsored Phase 2 trial investigating Marker’s MultiTAA-specific T cell therapy in post-transplant acute myeloid leukemia, or AML,” said Peter L. Hoang, President &amp; CEO of Marker Therapeutics. “We are now enrolling patients as well as activating additional clinical sites in the main portion of the trial. In parallel, we opened a new in-house cGMP manufacturing facility in Houston and recently announced that the facility is fully operational. We look forward to manufacturing study drug at the new facility next quarter, which we expect will yield quality product, reduce manufacturing costs and expand patient access to Marker’s MultiTAA-specific cell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UPDATES</w:t>
      </w:r>
    </w:p>
    <w:p>
      <w:pPr>
        <w:spacing w:after="0" w:line="229" w:lineRule="exact"/>
        <w:rPr>
          <w:sz w:val="20"/>
          <w:szCs w:val="20"/>
          <w:color w:val="auto"/>
        </w:rPr>
      </w:pPr>
    </w:p>
    <w:p>
      <w:pPr>
        <w:ind w:left="660" w:right="4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June 2021, Marker completed the six-patient safety lead-in portion of the Company's Phase 2 trial of MT-401, its lead MultiTAA-specific T cell product candidate, for the treatment of post-transplant AML.</w:t>
      </w:r>
    </w:p>
    <w:p>
      <w:pPr>
        <w:spacing w:after="0" w:line="1" w:lineRule="exact"/>
        <w:rPr>
          <w:rFonts w:ascii="Arial" w:cs="Arial" w:eastAsia="Arial" w:hAnsi="Arial"/>
          <w:sz w:val="18"/>
          <w:szCs w:val="18"/>
          <w:color w:val="auto"/>
        </w:rPr>
      </w:pPr>
    </w:p>
    <w:p>
      <w:pPr>
        <w:ind w:left="660" w:right="220" w:hanging="328"/>
        <w:spacing w:after="0" w:line="290"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continues to enroll patients in the main portion of the trial and activate clinical sites across the U.S. The trial is expected to enroll approximately 120 patients in the adjuvant setting and 40 patients with active disease at approximately 20 clinical sites.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UPDATES</w:t>
      </w:r>
    </w:p>
    <w:p>
      <w:pPr>
        <w:spacing w:after="0" w:line="229" w:lineRule="exact"/>
        <w:rPr>
          <w:sz w:val="20"/>
          <w:szCs w:val="20"/>
          <w:color w:val="auto"/>
        </w:rPr>
      </w:pPr>
    </w:p>
    <w:p>
      <w:pPr>
        <w:ind w:left="660" w:right="8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Marker recently announced that the Company’s new cGMP manufacturing facility in Houston, TX, located near the George Bush Intercontinental Airport, is fully operational. The facility will manufacture Marker’s MultiTAA-specific T cell products for the Company’s Phase 2 AML trial as well as future hematological and solid tumor trials, in addition to producing the potential commercial supply of any approved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ANTICIPATED PROGRAM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AML Trial Milestones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enrollment of 20 patients in main portion of Phase 2 trial in Q4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Topline readout of Group 2 (active disease) in Q1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Milestones</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Manufacture MT-401 at Marker’s new cGMP facility for Phase 2 AML trial in Q3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2021 FINANCIAL RESULTS</w:t>
      </w:r>
    </w:p>
    <w:p>
      <w:pPr>
        <w:spacing w:after="0" w:line="225" w:lineRule="exact"/>
        <w:rPr>
          <w:sz w:val="20"/>
          <w:szCs w:val="20"/>
          <w:color w:val="auto"/>
        </w:rPr>
      </w:pPr>
    </w:p>
    <w:p>
      <w:pPr>
        <w:ind w:left="660" w:right="120" w:hanging="328"/>
        <w:spacing w:after="0" w:line="31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Cash Position and Guidance: </w:t>
      </w:r>
      <w:r>
        <w:rPr>
          <w:rFonts w:ascii="Arial" w:cs="Arial" w:eastAsia="Arial" w:hAnsi="Arial"/>
          <w:sz w:val="17"/>
          <w:szCs w:val="17"/>
          <w:color w:val="auto"/>
        </w:rPr>
        <w:t>At June 30, 2021, Marker had cash and cash equivalents of $57.2 million. The Company believes that its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cash and cash equivalents will fund its operating expenses and capital expenditure requirements into the first quarter of 2023.</w:t>
      </w:r>
    </w:p>
    <w:p>
      <w:pPr>
        <w:spacing w:after="0" w:line="139" w:lineRule="exact"/>
        <w:rPr>
          <w:rFonts w:ascii="Arial" w:cs="Arial" w:eastAsia="Arial" w:hAnsi="Arial"/>
          <w:sz w:val="17"/>
          <w:szCs w:val="17"/>
          <w:color w:val="auto"/>
        </w:rPr>
      </w:pPr>
    </w:p>
    <w:p>
      <w:pPr>
        <w:ind w:left="660" w:right="8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$7.4 million for the quarter ended June 30, 2021 compared to $4.3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2020. The increase was primarily attributable to increases in clinical trial and sponsored research expenses and headcount-related expenses due to growth of research and development operations.</w:t>
      </w:r>
    </w:p>
    <w:p>
      <w:pPr>
        <w:spacing w:after="0" w:line="175" w:lineRule="exact"/>
        <w:rPr>
          <w:rFonts w:ascii="Arial" w:cs="Arial" w:eastAsia="Arial" w:hAnsi="Arial"/>
          <w:sz w:val="18"/>
          <w:szCs w:val="18"/>
          <w:color w:val="auto"/>
        </w:rPr>
      </w:pPr>
    </w:p>
    <w:p>
      <w:pPr>
        <w:ind w:left="660" w:right="34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$3.6 million for the quarter ended June 30, 2021 compared to $2.5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2020.</w:t>
      </w:r>
    </w:p>
    <w:p>
      <w:pPr>
        <w:spacing w:after="0" w:line="161" w:lineRule="exact"/>
        <w:rPr>
          <w:rFonts w:ascii="Arial" w:cs="Arial" w:eastAsia="Arial" w:hAnsi="Arial"/>
          <w:sz w:val="18"/>
          <w:szCs w:val="18"/>
          <w:color w:val="auto"/>
        </w:rPr>
      </w:pPr>
    </w:p>
    <w:p>
      <w:pPr>
        <w:ind w:left="660" w:right="20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$10.9 million for the quarter ended June 30, 2021, compared to a net loss of $6.3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as well as clinical trials conducted by our collaborators; our manufacturing processes and our ability to use our current and planned manufacturing facilities to support clinical and commercial demand;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390"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receivables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Construction in progress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Right-of-use assets, net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20" w:val="left"/>
          <w:tab w:leader="none" w:pos="154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57,221,434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21,352,382</w:t>
      </w:r>
    </w:p>
    <w:p>
      <w:pPr>
        <w:spacing w:after="0" w:line="23" w:lineRule="exact"/>
        <w:rPr>
          <w:sz w:val="20"/>
          <w:szCs w:val="20"/>
          <w:color w:val="auto"/>
        </w:rPr>
      </w:pPr>
    </w:p>
    <w:p>
      <w:pPr>
        <w:ind w:left="520"/>
        <w:spacing w:after="0"/>
        <w:tabs>
          <w:tab w:leader="none" w:pos="2060" w:val="left"/>
        </w:tabs>
        <w:rPr>
          <w:sz w:val="20"/>
          <w:szCs w:val="20"/>
          <w:color w:val="auto"/>
        </w:rPr>
      </w:pPr>
      <w:r>
        <w:rPr>
          <w:rFonts w:ascii="Arial" w:cs="Arial" w:eastAsia="Arial" w:hAnsi="Arial"/>
          <w:sz w:val="16"/>
          <w:szCs w:val="16"/>
          <w:color w:val="auto"/>
        </w:rPr>
        <w:t>2,801,800</w:t>
      </w:r>
      <w:r>
        <w:rPr>
          <w:sz w:val="20"/>
          <w:szCs w:val="20"/>
          <w:color w:val="auto"/>
        </w:rPr>
        <w:tab/>
      </w:r>
      <w:r>
        <w:rPr>
          <w:rFonts w:ascii="Arial" w:cs="Arial" w:eastAsia="Arial" w:hAnsi="Arial"/>
          <w:sz w:val="16"/>
          <w:szCs w:val="16"/>
          <w:color w:val="auto"/>
        </w:rPr>
        <w:t>2,057,924</w:t>
      </w:r>
    </w:p>
    <w:p>
      <w:pPr>
        <w:spacing w:after="0" w:line="32" w:lineRule="exact"/>
        <w:rPr>
          <w:sz w:val="20"/>
          <w:szCs w:val="20"/>
          <w:color w:val="auto"/>
        </w:rPr>
      </w:pPr>
    </w:p>
    <w:p>
      <w:pPr>
        <w:ind w:left="2080" w:hanging="1110"/>
        <w:spacing w:after="0"/>
        <w:tabs>
          <w:tab w:leader="none" w:pos="2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1,000,559</w:t>
      </w:r>
    </w:p>
    <w:p>
      <w:pPr>
        <w:spacing w:after="0" w:line="45"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60,023,520</w:t>
      </w:r>
      <w:r>
        <w:rPr>
          <w:rFonts w:ascii="Arial" w:cs="Arial" w:eastAsia="Arial" w:hAnsi="Arial"/>
          <w:sz w:val="16"/>
          <w:szCs w:val="16"/>
          <w:color w:val="auto"/>
        </w:rPr>
        <w:t>24,410,865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774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18" w:lineRule="exact"/>
        <w:rPr>
          <w:sz w:val="20"/>
          <w:szCs w:val="20"/>
          <w:color w:val="auto"/>
        </w:rPr>
      </w:pPr>
    </w:p>
    <w:p>
      <w:pPr>
        <w:ind w:left="440"/>
        <w:spacing w:after="0"/>
        <w:tabs>
          <w:tab w:leader="none" w:pos="2060" w:val="left"/>
        </w:tabs>
        <w:rPr>
          <w:sz w:val="20"/>
          <w:szCs w:val="20"/>
          <w:color w:val="auto"/>
        </w:rPr>
      </w:pPr>
      <w:r>
        <w:rPr>
          <w:rFonts w:ascii="Arial" w:cs="Arial" w:eastAsia="Arial" w:hAnsi="Arial"/>
          <w:sz w:val="16"/>
          <w:szCs w:val="16"/>
          <w:color w:val="auto"/>
        </w:rPr>
        <w:t>10,107,579</w:t>
      </w:r>
      <w:r>
        <w:rPr>
          <w:sz w:val="20"/>
          <w:szCs w:val="20"/>
          <w:color w:val="auto"/>
        </w:rPr>
        <w:tab/>
      </w:r>
      <w:r>
        <w:rPr>
          <w:rFonts w:ascii="Arial" w:cs="Arial" w:eastAsia="Arial" w:hAnsi="Arial"/>
          <w:sz w:val="16"/>
          <w:szCs w:val="16"/>
          <w:color w:val="auto"/>
        </w:rPr>
        <w:t>3,570,736</w:t>
      </w:r>
    </w:p>
    <w:p>
      <w:pPr>
        <w:spacing w:after="0" w:line="46" w:lineRule="exact"/>
        <w:rPr>
          <w:sz w:val="20"/>
          <w:szCs w:val="20"/>
          <w:color w:val="auto"/>
        </w:rPr>
      </w:pPr>
    </w:p>
    <w:p>
      <w:pPr>
        <w:ind w:left="2080" w:hanging="900"/>
        <w:spacing w:after="0"/>
        <w:tabs>
          <w:tab w:leader="none" w:pos="2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6,789,098</w:t>
      </w:r>
    </w:p>
    <w:p>
      <w:pPr>
        <w:spacing w:after="0" w:line="3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10,339,884</w:t>
      </w:r>
      <w:r>
        <w:rPr>
          <w:rFonts w:ascii="Arial" w:cs="Arial" w:eastAsia="Arial" w:hAnsi="Arial"/>
          <w:sz w:val="16"/>
          <w:szCs w:val="16"/>
          <w:color w:val="auto"/>
        </w:rPr>
        <w:t>10,844,116</w:t>
      </w:r>
    </w:p>
    <w:p>
      <w:pPr>
        <w:spacing w:after="0" w:line="2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20,447,463</w:t>
      </w:r>
      <w:r>
        <w:rPr>
          <w:rFonts w:ascii="Arial" w:cs="Arial" w:eastAsia="Arial" w:hAnsi="Arial"/>
          <w:sz w:val="16"/>
          <w:szCs w:val="16"/>
          <w:color w:val="auto"/>
        </w:rPr>
        <w:t>21,203,950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774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1" w:lineRule="exact"/>
        <w:rPr>
          <w:sz w:val="20"/>
          <w:szCs w:val="20"/>
          <w:color w:val="auto"/>
        </w:rPr>
      </w:pPr>
    </w:p>
    <w:p>
      <w:pPr>
        <w:spacing w:after="0"/>
        <w:tabs>
          <w:tab w:leader="none" w:pos="420" w:val="left"/>
          <w:tab w:leader="none" w:pos="1540" w:val="left"/>
          <w:tab w:leader="none" w:pos="19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80,470,983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45,614,815</w:t>
      </w:r>
    </w:p>
    <w:p>
      <w:pPr>
        <w:spacing w:after="0" w:line="27" w:lineRule="exact"/>
        <w:rPr>
          <w:sz w:val="20"/>
          <w:szCs w:val="20"/>
          <w:color w:val="auto"/>
        </w:rPr>
      </w:pPr>
    </w:p>
    <w:p>
      <w:pPr>
        <w:sectPr>
          <w:pgSz w:w="11900" w:h="16838" w:orient="portrait"/>
          <w:cols w:equalWidth="0" w:num="2">
            <w:col w:w="7620" w:space="720"/>
            <w:col w:w="290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8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5,100,943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6,013,010</w:t>
            </w:r>
          </w:p>
        </w:tc>
        <w:tc>
          <w:tcPr>
            <w:tcW w:w="80" w:type="dxa"/>
            <w:vAlign w:val="bottom"/>
          </w:tcPr>
          <w:p>
            <w:pPr>
              <w:spacing w:after="0"/>
              <w:rPr>
                <w:sz w:val="18"/>
                <w:szCs w:val="18"/>
                <w:color w:val="auto"/>
              </w:rPr>
            </w:pP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558,657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388,792</w:t>
            </w:r>
          </w:p>
        </w:tc>
        <w:tc>
          <w:tcPr>
            <w:tcW w:w="80" w:type="dxa"/>
            <w:vAlign w:val="bottom"/>
            <w:shd w:val="clear" w:color="auto" w:fill="CCEEFF"/>
          </w:tcPr>
          <w:p>
            <w:pPr>
              <w:spacing w:after="0"/>
              <w:rPr>
                <w:sz w:val="19"/>
                <w:szCs w:val="19"/>
                <w:color w:val="auto"/>
              </w:rPr>
            </w:pPr>
          </w:p>
        </w:tc>
      </w:tr>
      <w:tr>
        <w:trPr>
          <w:trHeight w:val="209"/>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5,659,600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6,401,802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160" w:type="dxa"/>
            <w:vAlign w:val="bottom"/>
          </w:tcPr>
          <w:p>
            <w:pPr>
              <w:ind w:left="180"/>
              <w:spacing w:after="0"/>
              <w:rPr>
                <w:sz w:val="20"/>
                <w:szCs w:val="20"/>
                <w:color w:val="auto"/>
              </w:rPr>
            </w:pPr>
            <w:r>
              <w:rPr>
                <w:rFonts w:ascii="Arial" w:cs="Arial" w:eastAsia="Arial" w:hAnsi="Arial"/>
                <w:sz w:val="18"/>
                <w:szCs w:val="18"/>
                <w:color w:val="auto"/>
              </w:rPr>
              <w:t>Lease liability, net of current portion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11,568,072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11,868,440</w:t>
            </w:r>
          </w:p>
        </w:tc>
        <w:tc>
          <w:tcPr>
            <w:tcW w:w="80" w:type="dxa"/>
            <w:vAlign w:val="bottom"/>
          </w:tcPr>
          <w:p>
            <w:pPr>
              <w:spacing w:after="0"/>
              <w:rPr>
                <w:sz w:val="19"/>
                <w:szCs w:val="19"/>
                <w:color w:val="auto"/>
              </w:rPr>
            </w:pPr>
          </w:p>
        </w:tc>
      </w:tr>
      <w:tr>
        <w:trPr>
          <w:trHeight w:val="210"/>
        </w:trPr>
        <w:tc>
          <w:tcPr>
            <w:tcW w:w="81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11,568,072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17,227,672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18,270,242</w:t>
            </w:r>
          </w:p>
        </w:tc>
        <w:tc>
          <w:tcPr>
            <w:tcW w:w="80" w:type="dxa"/>
            <w:vAlign w:val="bottom"/>
            <w:shd w:val="clear" w:color="auto" w:fill="CCEEFF"/>
          </w:tcPr>
          <w:p>
            <w:pPr>
              <w:spacing w:after="0"/>
              <w:rPr>
                <w:sz w:val="19"/>
                <w:szCs w:val="19"/>
                <w:color w:val="auto"/>
              </w:rPr>
            </w:pPr>
          </w:p>
        </w:tc>
      </w:tr>
      <w:tr>
        <w:trPr>
          <w:trHeight w:val="210"/>
        </w:trPr>
        <w:tc>
          <w:tcPr>
            <w:tcW w:w="8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16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 $0.001 par value, 5 million shares authorized and 0 shares issued and outstanding at June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30, 2021 and December 31, 2020,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$0.001 par value, 150 million shares authorized, 83.1 million and 50.7 million shares issued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as of June 30, 2021 and December 31, 2020, respectively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83,079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50,731</w:t>
            </w:r>
          </w:p>
        </w:tc>
        <w:tc>
          <w:tcPr>
            <w:tcW w:w="80" w:type="dxa"/>
            <w:vAlign w:val="bottom"/>
            <w:shd w:val="clear" w:color="auto" w:fill="CCEEFF"/>
          </w:tcPr>
          <w:p>
            <w:pPr>
              <w:spacing w:after="0"/>
              <w:rPr>
                <w:sz w:val="20"/>
                <w:szCs w:val="20"/>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439,085,948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383,533,326</w:t>
            </w:r>
          </w:p>
        </w:tc>
        <w:tc>
          <w:tcPr>
            <w:tcW w:w="80" w:type="dxa"/>
            <w:vAlign w:val="bottom"/>
          </w:tcPr>
          <w:p>
            <w:pPr>
              <w:spacing w:after="0"/>
              <w:rPr>
                <w:sz w:val="18"/>
                <w:szCs w:val="18"/>
                <w:color w:val="auto"/>
              </w:rPr>
            </w:pPr>
          </w:p>
        </w:tc>
      </w:tr>
      <w:tr>
        <w:trPr>
          <w:trHeight w:val="22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(375,925,716)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(356,239,484)</w:t>
            </w:r>
          </w:p>
        </w:tc>
      </w:tr>
      <w:tr>
        <w:trPr>
          <w:trHeight w:val="210"/>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63,243,311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27,344,573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1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80,470,983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45,614,815</w:t>
            </w:r>
          </w:p>
        </w:tc>
        <w:tc>
          <w:tcPr>
            <w:tcW w:w="80" w:type="dxa"/>
            <w:vAlign w:val="bottom"/>
          </w:tcPr>
          <w:p>
            <w:pPr>
              <w:spacing w:after="0"/>
              <w:rPr>
                <w:sz w:val="21"/>
                <w:szCs w:val="21"/>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8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6"/>
          </w:tcPr>
          <w:p>
            <w:pPr>
              <w:jc w:val="right"/>
              <w:ind w:right="401"/>
              <w:spacing w:after="0"/>
              <w:rPr>
                <w:sz w:val="20"/>
                <w:szCs w:val="20"/>
                <w:color w:val="auto"/>
              </w:rPr>
            </w:pPr>
            <w:r>
              <w:rPr>
                <w:rFonts w:ascii="Arial" w:cs="Arial" w:eastAsia="Arial" w:hAnsi="Arial"/>
                <w:sz w:val="18"/>
                <w:szCs w:val="18"/>
                <w:b w:val="1"/>
                <w:bCs w:val="1"/>
                <w:color w:val="auto"/>
                <w:w w:val="95"/>
              </w:rPr>
              <w:t>For the Three Months Ended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Grant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466,785</w:t>
            </w:r>
          </w:p>
        </w:tc>
        <w:tc>
          <w:tcPr>
            <w:tcW w:w="36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466,785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7,350,035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4,277,052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12,993,064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8,093,670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3,559,150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2,547,289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6,697,108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5,374,284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10,909,185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6,824,341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19,690,172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13,467,954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(10,909,185)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(6,357,556)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(19,690,172)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(13,001,169)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2,403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15,857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(10,906,782</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(6,341,699</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(19,686,232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(12,827,343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(0.14)</w:t>
            </w:r>
          </w:p>
        </w:tc>
        <w:tc>
          <w:tcPr>
            <w:tcW w:w="36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55"/>
        </w:trPr>
        <w:tc>
          <w:tcPr>
            <w:tcW w:w="5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number of common shares outstanding, basic and</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83,030,470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46,572,739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69,823,729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46,328,561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Marker Therapeutics, Inc.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(19,686,232)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(12,827,343)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0"/>
              </w:rPr>
              <w:t>Reconciliation of net loss to net cash used in operating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1,032,971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3,029,125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2,705,365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504,232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deposits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(743,876)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(1,106,072)</w:t>
            </w:r>
          </w:p>
        </w:tc>
        <w:tc>
          <w:tcPr>
            <w:tcW w:w="0" w:type="dxa"/>
            <w:vAlign w:val="bottom"/>
          </w:tcPr>
          <w:p>
            <w:pPr>
              <w:spacing w:after="0"/>
              <w:rPr>
                <w:sz w:val="1"/>
                <w:szCs w:val="1"/>
                <w:color w:val="auto"/>
              </w:rPr>
            </w:pPr>
          </w:p>
        </w:tc>
      </w:tr>
      <w:tr>
        <w:trPr>
          <w:trHeight w:val="216"/>
        </w:trPr>
        <w:tc>
          <w:tcPr>
            <w:tcW w:w="5200" w:type="dxa"/>
            <w:vAlign w:val="bottom"/>
          </w:tcPr>
          <w:p>
            <w:pPr>
              <w:ind w:left="30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1,000,273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(912,067)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2,770,341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00"/>
              <w:spacing w:after="0"/>
              <w:rPr>
                <w:sz w:val="20"/>
                <w:szCs w:val="20"/>
                <w:color w:val="auto"/>
              </w:rPr>
            </w:pPr>
            <w:r>
              <w:rPr>
                <w:rFonts w:ascii="Arial" w:cs="Arial" w:eastAsia="Arial" w:hAnsi="Arial"/>
                <w:sz w:val="18"/>
                <w:szCs w:val="18"/>
                <w:color w:val="auto"/>
              </w:rPr>
              <w:t>Lease liability</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(130,503)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(187,068)</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(15,906,077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(8,401,428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(780,716)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(1,299,193)</w:t>
            </w:r>
          </w:p>
        </w:tc>
        <w:tc>
          <w:tcPr>
            <w:tcW w:w="0" w:type="dxa"/>
            <w:vAlign w:val="bottom"/>
          </w:tcPr>
          <w:p>
            <w:pPr>
              <w:spacing w:after="0"/>
              <w:rPr>
                <w:sz w:val="1"/>
                <w:szCs w:val="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Purchase of construction in progress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(2,629,141)</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(780,716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(3,928,334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52,552,758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52,555,845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35,869,052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(11,779,762)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21,352,382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57,221,434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32,124,187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ind w:right="928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378-2975 xyang@soleburytrout.com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2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286"/>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646"/>
    </w:lvl>
  </w:abstractNum>
  <w:abstractNum w:abstractNumId="9">
    <w:nsid w:val="4DB127F8"/>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2021-08-10T15:38:41Z</dcterms:created>
  <dcterms:modified xsi:type="dcterms:W3CDTF">2021-08-10T15:38:41Z</dcterms:modified>
</cp:coreProperties>
</file>