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omments.xml" ContentType="application/vnd.openxmlformats-officedocument.wordprocessingml.comments+xml"/>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b/>
        </w:rPr>
      </w:pPr>
      <w:bookmarkStart w:id="0" w:name="f10qsb.htm"/>
      <w:bookmarkStart w:id="1" w:name="ksf10qsb"/>
      <w:bookmarkEnd w:id="0"/>
      <w:bookmarkEnd w:id="1"/>
      <w:r>
        <w:rPr>
          <w:b/>
        </w:rPr>
        <w:t>UNITED STATES</w:t>
      </w:r>
    </w:p>
    <w:p>
      <w:pPr>
        <w:pStyle w:val="TextBody"/>
        <w:jc w:val="center"/>
        <w:rPr>
          <w:b/>
        </w:rPr>
      </w:pPr>
      <w:r>
        <w:rPr>
          <w:b/>
        </w:rPr>
        <w:t>SECURITIES AND EXCHANGE COMMISSION</w:t>
      </w:r>
    </w:p>
    <w:p>
      <w:pPr>
        <w:pStyle w:val="TextBody"/>
        <w:jc w:val="center"/>
        <w:rPr/>
      </w:pPr>
      <w:r>
        <w:rPr/>
        <w:t>Washington, D.C. 20549</w:t>
      </w:r>
    </w:p>
    <w:p>
      <w:pPr>
        <w:pStyle w:val="TextBody"/>
        <w:jc w:val="center"/>
        <w:rPr>
          <w:b/>
          <w:u w:val="single"/>
        </w:rPr>
      </w:pPr>
      <w:r>
        <w:rPr>
          <w:b/>
          <w:u w:val="single"/>
        </w:rPr>
        <w:t>FORM 10-QSB</w:t>
      </w:r>
    </w:p>
    <w:p>
      <w:pPr>
        <w:pStyle w:val="TextBody"/>
        <w:jc w:val="left"/>
        <w:rPr/>
      </w:pPr>
      <w:r>
        <w:rPr/>
        <w:t> </w:t>
      </w:r>
    </w:p>
    <w:p>
      <w:pPr>
        <w:pStyle w:val="TextBody"/>
        <w:jc w:val="both"/>
        <w:rPr/>
      </w:pPr>
      <w:r>
        <w:rPr/>
        <w:t xml:space="preserve">[X]     Quarterly Report Under Section 13 or 15(d) of the Securities Exchange Act of 1934 </w:t>
      </w:r>
      <w:r>
        <w:rPr>
          <w:b/>
          <w:u w:val="single"/>
        </w:rPr>
        <w:t>for the quarterly period ended March 31, 2006</w:t>
      </w:r>
    </w:p>
    <w:p>
      <w:pPr>
        <w:pStyle w:val="TextBody"/>
        <w:jc w:val="center"/>
        <w:rPr/>
      </w:pPr>
      <w:r>
        <w:rPr/>
        <w:t>or</w:t>
      </w:r>
    </w:p>
    <w:p>
      <w:pPr>
        <w:pStyle w:val="TextBody"/>
        <w:jc w:val="both"/>
        <w:rPr/>
      </w:pPr>
      <w:r>
        <w:rPr/>
        <w:t>[  ]     Transition Report Under Section 13 or 15(d) of the Securities Exchange Act of 1934 for the transition period from __________ to __________</w:t>
      </w:r>
    </w:p>
    <w:p>
      <w:pPr>
        <w:pStyle w:val="TextBody"/>
        <w:jc w:val="left"/>
        <w:rPr/>
      </w:pPr>
      <w:r>
        <w:rPr/>
        <w:t> </w:t>
      </w:r>
    </w:p>
    <w:p>
      <w:pPr>
        <w:pStyle w:val="TextBody"/>
        <w:jc w:val="center"/>
        <w:rPr>
          <w:u w:val="single"/>
        </w:rPr>
      </w:pPr>
      <w:r>
        <w:rPr>
          <w:u w:val="single"/>
        </w:rPr>
        <w:t xml:space="preserve">Commission File Number: </w:t>
      </w:r>
      <w:r>
        <w:rPr>
          <w:b/>
          <w:u w:val="single"/>
        </w:rPr>
        <w:t>0-27239</w:t>
      </w:r>
    </w:p>
    <w:p>
      <w:pPr>
        <w:pStyle w:val="TextBody"/>
        <w:jc w:val="left"/>
        <w:rPr/>
      </w:pPr>
      <w:r>
        <w:rPr/>
        <w:t> </w:t>
      </w:r>
    </w:p>
    <w:p>
      <w:pPr>
        <w:pStyle w:val="TextBody"/>
        <w:jc w:val="center"/>
        <w:rPr/>
      </w:pPr>
      <w:r>
        <w:rPr>
          <w:b/>
          <w:u w:val="single"/>
        </w:rPr>
        <w:t>GENEMAX CORP.</w:t>
        <w:br/>
      </w:r>
      <w:r>
        <w:rPr>
          <w:sz w:val="20"/>
        </w:rPr>
        <w:t>(Exact name of registrant as specified in its charter)</w:t>
      </w:r>
    </w:p>
    <w:tbl>
      <w:tblPr>
        <w:tblW w:w="10380" w:type="dxa"/>
        <w:jc w:val="center"/>
        <w:tblInd w:w="0" w:type="dxa"/>
        <w:tblCellMar>
          <w:top w:w="105" w:type="dxa"/>
          <w:left w:w="105" w:type="dxa"/>
          <w:bottom w:w="105" w:type="dxa"/>
          <w:right w:w="105" w:type="dxa"/>
        </w:tblCellMar>
      </w:tblPr>
      <w:tblGrid>
        <w:gridCol w:w="5190"/>
        <w:gridCol w:w="5190"/>
      </w:tblGrid>
      <w:tr>
        <w:trPr/>
        <w:tc>
          <w:tcPr>
            <w:tcW w:w="5190" w:type="dxa"/>
            <w:tcBorders/>
            <w:shd w:fill="auto" w:val="clear"/>
          </w:tcPr>
          <w:p>
            <w:pPr>
              <w:pStyle w:val="TableContents"/>
              <w:spacing w:before="0" w:after="283"/>
              <w:jc w:val="center"/>
              <w:rPr>
                <w:sz w:val="20"/>
              </w:rPr>
            </w:pPr>
            <w:r>
              <w:rPr>
                <w:b/>
                <w:sz w:val="20"/>
                <w:u w:val="single"/>
              </w:rPr>
              <w:t>Nevada</w:t>
              <w:br/>
            </w:r>
            <w:r>
              <w:rPr>
                <w:sz w:val="20"/>
              </w:rPr>
              <w:t>(State of incorporation)</w:t>
            </w:r>
          </w:p>
        </w:tc>
        <w:tc>
          <w:tcPr>
            <w:tcW w:w="5190" w:type="dxa"/>
            <w:tcBorders/>
            <w:shd w:fill="auto" w:val="clear"/>
          </w:tcPr>
          <w:p>
            <w:pPr>
              <w:pStyle w:val="TableContents"/>
              <w:spacing w:before="0" w:after="283"/>
              <w:jc w:val="center"/>
              <w:rPr>
                <w:sz w:val="20"/>
              </w:rPr>
            </w:pPr>
            <w:r>
              <w:rPr>
                <w:b/>
                <w:sz w:val="20"/>
                <w:u w:val="single"/>
              </w:rPr>
              <w:t>88-0277072</w:t>
              <w:br/>
            </w:r>
            <w:r>
              <w:rPr>
                <w:sz w:val="20"/>
              </w:rPr>
              <w:t>(I.R.S. Employer Identification No.)</w:t>
            </w:r>
          </w:p>
        </w:tc>
      </w:tr>
    </w:tbl>
    <w:p>
      <w:pPr>
        <w:pStyle w:val="TextBody"/>
        <w:jc w:val="left"/>
        <w:rPr/>
      </w:pPr>
      <w:r>
        <w:rPr/>
        <w:t> </w:t>
      </w:r>
    </w:p>
    <w:p>
      <w:pPr>
        <w:pStyle w:val="TextBody"/>
        <w:jc w:val="center"/>
        <w:rPr/>
      </w:pPr>
      <w:r>
        <w:rPr>
          <w:b/>
          <w:sz w:val="20"/>
          <w:u w:val="single"/>
        </w:rPr>
        <w:t xml:space="preserve">Suite 400, 1681 Chestnut Street, Vancouver, British Columbia, Canada V6J4M6 </w:t>
      </w:r>
      <w:r>
        <w:rPr>
          <w:rFonts w:ascii="Courier New" w:hAnsi="Courier New"/>
          <w:b/>
          <w:sz w:val="20"/>
          <w:u w:val="single"/>
        </w:rPr>
        <w:br/>
      </w:r>
      <w:r>
        <w:rPr>
          <w:sz w:val="20"/>
        </w:rPr>
        <w:t>(Address of Principal Executive Offices)</w:t>
      </w:r>
    </w:p>
    <w:p>
      <w:pPr>
        <w:pStyle w:val="TextBody"/>
        <w:jc w:val="center"/>
        <w:rPr/>
      </w:pPr>
      <w:r>
        <w:rPr>
          <w:b/>
          <w:sz w:val="20"/>
          <w:u w:val="single"/>
        </w:rPr>
        <w:t>(604) 331-0400</w:t>
      </w:r>
      <w:r>
        <w:rPr>
          <w:rFonts w:ascii="Courier New" w:hAnsi="Courier New"/>
          <w:b/>
          <w:sz w:val="20"/>
          <w:u w:val="single"/>
        </w:rPr>
        <w:br/>
      </w:r>
      <w:r>
        <w:rPr>
          <w:sz w:val="20"/>
        </w:rPr>
        <w:t>(Issuer's telephone number)</w:t>
      </w:r>
    </w:p>
    <w:p>
      <w:pPr>
        <w:pStyle w:val="TextBody"/>
        <w:jc w:val="both"/>
        <w:rPr/>
      </w:pPr>
      <w:r>
        <w:rPr/>
        <w:t>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jc w:val="center"/>
        <w:rPr/>
      </w:pPr>
      <w:r>
        <w:rPr/>
        <w:t xml:space="preserve">[X]  Yes     [  ]  No </w:t>
      </w:r>
    </w:p>
    <w:p>
      <w:pPr>
        <w:pStyle w:val="TextBody"/>
        <w:jc w:val="left"/>
        <w:rPr/>
      </w:pPr>
      <w:r>
        <w:rPr/>
        <w:t>Indicate by check mark whether the registrant is a shell company (as defined in Rule 12b-2 of the Exchange Act).</w:t>
      </w:r>
    </w:p>
    <w:p>
      <w:pPr>
        <w:pStyle w:val="TextBody"/>
        <w:jc w:val="center"/>
        <w:rPr/>
      </w:pPr>
      <w:r>
        <w:rPr/>
        <w:t xml:space="preserve">[  ]  Yes     [X]  No </w:t>
      </w:r>
    </w:p>
    <w:p>
      <w:pPr>
        <w:pStyle w:val="TextBody"/>
        <w:jc w:val="both"/>
        <w:rPr/>
      </w:pPr>
      <w:r>
        <w:rPr/>
        <w:t>Number of shares outstanding of the issuer's Common Stock:</w:t>
      </w:r>
    </w:p>
    <w:tbl>
      <w:tblPr>
        <w:tblW w:w="10380" w:type="dxa"/>
        <w:jc w:val="center"/>
        <w:tblInd w:w="0" w:type="dxa"/>
        <w:tblCellMar>
          <w:top w:w="105" w:type="dxa"/>
          <w:left w:w="105" w:type="dxa"/>
          <w:bottom w:w="105" w:type="dxa"/>
          <w:right w:w="105" w:type="dxa"/>
        </w:tblCellMar>
      </w:tblPr>
      <w:tblGrid>
        <w:gridCol w:w="5190"/>
        <w:gridCol w:w="5190"/>
      </w:tblGrid>
      <w:tr>
        <w:trPr/>
        <w:tc>
          <w:tcPr>
            <w:tcW w:w="5190" w:type="dxa"/>
            <w:tcBorders/>
            <w:shd w:fill="auto" w:val="clear"/>
          </w:tcPr>
          <w:p>
            <w:pPr>
              <w:pStyle w:val="TableContents"/>
              <w:spacing w:before="0" w:after="283"/>
              <w:jc w:val="center"/>
              <w:rPr>
                <w:sz w:val="20"/>
              </w:rPr>
            </w:pPr>
            <w:r>
              <w:rPr>
                <w:sz w:val="20"/>
                <w:u w:val="single"/>
              </w:rPr>
              <w:t>Class</w:t>
              <w:br/>
            </w:r>
            <w:r>
              <w:rPr>
                <w:sz w:val="20"/>
              </w:rPr>
              <w:t>Common Stock, $0.001 par value</w:t>
            </w:r>
          </w:p>
        </w:tc>
        <w:tc>
          <w:tcPr>
            <w:tcW w:w="5190" w:type="dxa"/>
            <w:tcBorders/>
            <w:shd w:fill="auto" w:val="clear"/>
          </w:tcPr>
          <w:p>
            <w:pPr>
              <w:pStyle w:val="TableContents"/>
              <w:spacing w:before="0" w:after="283"/>
              <w:jc w:val="center"/>
              <w:rPr>
                <w:sz w:val="20"/>
              </w:rPr>
            </w:pPr>
            <w:r>
              <w:rPr>
                <w:sz w:val="20"/>
                <w:u w:val="single"/>
              </w:rPr>
              <w:t>Outstanding at May 18, 2006</w:t>
              <w:br/>
            </w:r>
            <w:r>
              <w:rPr>
                <w:sz w:val="20"/>
              </w:rPr>
              <w:t>29,172,176</w:t>
            </w:r>
          </w:p>
        </w:tc>
      </w:tr>
    </w:tbl>
    <w:p>
      <w:pPr>
        <w:pStyle w:val="TextBody"/>
        <w:jc w:val="left"/>
        <w:rPr/>
      </w:pPr>
      <w:r>
        <w:rPr/>
        <w:t> </w:t>
      </w:r>
    </w:p>
    <w:p>
      <w:pPr>
        <w:pStyle w:val="TextBody"/>
        <w:jc w:val="left"/>
        <w:rPr/>
      </w:pPr>
      <w:r>
        <w:rPr/>
        <w:t xml:space="preserve">Transitional Small Business Disclosure Format (check one)       [  ]  Yes     [X]  No </w:t>
      </w:r>
    </w:p>
    <w:p>
      <w:pPr>
        <w:pStyle w:val="HorizontalLine"/>
        <w:pBdr>
          <w:bottom w:val="single" w:sz="18" w:space="0" w:color="808080"/>
        </w:pBdr>
        <w:rPr/>
      </w:pPr>
      <w:r>
        <w:rPr/>
      </w:r>
    </w:p>
    <w:p>
      <w:pPr>
        <w:pStyle w:val="TextBody"/>
        <w:jc w:val="center"/>
        <w:rPr>
          <w:b/>
        </w:rPr>
      </w:pPr>
      <w:r>
        <w:rPr>
          <w:b/>
        </w:rPr>
        <w:t>Form 10-QSB</w:t>
      </w:r>
    </w:p>
    <w:p>
      <w:pPr>
        <w:pStyle w:val="TextBody"/>
        <w:jc w:val="center"/>
        <w:rPr>
          <w:b/>
        </w:rPr>
      </w:pPr>
      <w:r>
        <w:rPr>
          <w:b/>
        </w:rPr>
        <w:t>INDEX</w:t>
      </w:r>
    </w:p>
    <w:tbl>
      <w:tblPr>
        <w:tblW w:w="10380" w:type="dxa"/>
        <w:jc w:val="left"/>
        <w:tblInd w:w="0" w:type="dxa"/>
        <w:tblCellMar>
          <w:top w:w="105" w:type="dxa"/>
          <w:left w:w="105" w:type="dxa"/>
          <w:bottom w:w="105" w:type="dxa"/>
          <w:right w:w="105" w:type="dxa"/>
        </w:tblCellMar>
      </w:tblPr>
      <w:tblGrid>
        <w:gridCol w:w="726"/>
        <w:gridCol w:w="830"/>
        <w:gridCol w:w="8097"/>
        <w:gridCol w:w="727"/>
      </w:tblGrid>
      <w:tr>
        <w:trPr/>
        <w:tc>
          <w:tcPr>
            <w:tcW w:w="10380" w:type="dxa"/>
            <w:gridSpan w:val="4"/>
            <w:tcBorders/>
            <w:shd w:fill="auto" w:val="clear"/>
          </w:tcPr>
          <w:p>
            <w:pPr>
              <w:pStyle w:val="TableContents"/>
              <w:jc w:val="left"/>
              <w:rPr/>
            </w:pPr>
            <w:r>
              <w:rPr/>
              <w:t>Part I - FINANCIAL INFORMATION</w:t>
            </w:r>
          </w:p>
          <w:p>
            <w:pPr>
              <w:pStyle w:val="TableContents"/>
              <w:spacing w:before="0" w:after="283"/>
              <w:jc w:val="both"/>
              <w:rPr/>
            </w:pPr>
            <w:r>
              <w:rPr/>
              <w:t> </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both"/>
              <w:rPr>
                <w:sz w:val="20"/>
              </w:rPr>
            </w:pPr>
            <w:r>
              <w:rPr>
                <w:sz w:val="20"/>
              </w:rPr>
              <w:t>Item 1.</w:t>
            </w:r>
          </w:p>
        </w:tc>
        <w:tc>
          <w:tcPr>
            <w:tcW w:w="8097" w:type="dxa"/>
            <w:tcBorders/>
            <w:shd w:fill="auto" w:val="clear"/>
          </w:tcPr>
          <w:p>
            <w:pPr>
              <w:pStyle w:val="TableContents"/>
              <w:spacing w:before="0" w:after="283"/>
              <w:jc w:val="left"/>
              <w:rPr>
                <w:sz w:val="20"/>
              </w:rPr>
            </w:pPr>
            <w:r>
              <w:rPr>
                <w:sz w:val="20"/>
              </w:rPr>
              <w:t>Financial Statements</w:t>
            </w:r>
          </w:p>
        </w:tc>
        <w:tc>
          <w:tcPr>
            <w:tcW w:w="727" w:type="dxa"/>
            <w:tcBorders/>
            <w:shd w:fill="auto" w:val="clear"/>
          </w:tcPr>
          <w:p>
            <w:pPr>
              <w:pStyle w:val="TableContents"/>
              <w:spacing w:before="0" w:after="283"/>
              <w:rPr/>
            </w:pPr>
            <w:r>
              <w:rPr/>
              <w:t> </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rPr/>
            </w:pPr>
            <w:r>
              <w:rPr/>
              <w:t> </w:t>
            </w:r>
          </w:p>
        </w:tc>
        <w:tc>
          <w:tcPr>
            <w:tcW w:w="8097" w:type="dxa"/>
            <w:tcBorders/>
            <w:shd w:fill="auto" w:val="clear"/>
          </w:tcPr>
          <w:p>
            <w:pPr>
              <w:pStyle w:val="TableContents"/>
              <w:spacing w:before="0" w:after="283"/>
              <w:jc w:val="left"/>
              <w:rPr>
                <w:sz w:val="20"/>
              </w:rPr>
            </w:pPr>
            <w:r>
              <w:rPr>
                <w:sz w:val="20"/>
              </w:rPr>
              <w:t xml:space="preserve">Consolidated Balance Sheets, March 31, 2006 (Unaudited) and December 31, 2005 </w:t>
            </w:r>
          </w:p>
        </w:tc>
        <w:tc>
          <w:tcPr>
            <w:tcW w:w="727" w:type="dxa"/>
            <w:tcBorders/>
            <w:shd w:fill="auto" w:val="clear"/>
          </w:tcPr>
          <w:p>
            <w:pPr>
              <w:pStyle w:val="TableContents"/>
              <w:spacing w:before="0" w:after="283"/>
              <w:jc w:val="right"/>
              <w:rPr>
                <w:sz w:val="20"/>
              </w:rPr>
            </w:pPr>
            <w:r>
              <w:rPr>
                <w:sz w:val="20"/>
              </w:rPr>
              <w:t>1</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rPr/>
            </w:pPr>
            <w:r>
              <w:rPr/>
              <w:t> </w:t>
            </w:r>
          </w:p>
        </w:tc>
        <w:tc>
          <w:tcPr>
            <w:tcW w:w="8097" w:type="dxa"/>
            <w:tcBorders/>
            <w:shd w:fill="auto" w:val="clear"/>
          </w:tcPr>
          <w:p>
            <w:pPr>
              <w:pStyle w:val="TableContents"/>
              <w:spacing w:before="0" w:after="283"/>
              <w:jc w:val="left"/>
              <w:rPr>
                <w:sz w:val="20"/>
              </w:rPr>
            </w:pPr>
            <w:r>
              <w:rPr>
                <w:sz w:val="20"/>
              </w:rPr>
              <w:t>Consolidated Statements of Operations for the three months ended March 31, 2006 and</w:t>
              <w:br/>
              <w:t>          2005 (Unaudited) and for the period from July 27, 1999 (inception)</w:t>
              <w:br/>
              <w:t>          to March 31, 2006 (Unaudited)</w:t>
            </w:r>
          </w:p>
        </w:tc>
        <w:tc>
          <w:tcPr>
            <w:tcW w:w="727" w:type="dxa"/>
            <w:tcBorders/>
            <w:shd w:fill="auto" w:val="clear"/>
          </w:tcPr>
          <w:p>
            <w:pPr>
              <w:pStyle w:val="TableContents"/>
              <w:spacing w:before="0" w:after="283"/>
              <w:jc w:val="right"/>
              <w:rPr>
                <w:sz w:val="20"/>
              </w:rPr>
            </w:pPr>
            <w:r>
              <w:rPr>
                <w:sz w:val="20"/>
              </w:rPr>
              <w:br/>
              <w:br/>
              <w:t>2</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rPr/>
            </w:pPr>
            <w:r>
              <w:rPr/>
              <w:t> </w:t>
            </w:r>
          </w:p>
        </w:tc>
        <w:tc>
          <w:tcPr>
            <w:tcW w:w="8097" w:type="dxa"/>
            <w:tcBorders/>
            <w:shd w:fill="auto" w:val="clear"/>
          </w:tcPr>
          <w:p>
            <w:pPr>
              <w:pStyle w:val="TableContents"/>
              <w:spacing w:before="0" w:after="283"/>
              <w:jc w:val="both"/>
              <w:rPr>
                <w:sz w:val="20"/>
              </w:rPr>
            </w:pPr>
            <w:r>
              <w:rPr>
                <w:sz w:val="20"/>
              </w:rPr>
              <w:t>Consolidated Statement of Stockholders' Deficit as of, March 31, 2006 (unaudited)</w:t>
            </w:r>
          </w:p>
        </w:tc>
        <w:tc>
          <w:tcPr>
            <w:tcW w:w="727" w:type="dxa"/>
            <w:tcBorders/>
            <w:shd w:fill="auto" w:val="clear"/>
          </w:tcPr>
          <w:p>
            <w:pPr>
              <w:pStyle w:val="TableContents"/>
              <w:spacing w:before="0" w:after="283"/>
              <w:jc w:val="right"/>
              <w:rPr>
                <w:sz w:val="20"/>
              </w:rPr>
            </w:pPr>
            <w:r>
              <w:rPr>
                <w:sz w:val="20"/>
              </w:rPr>
              <w:t>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rPr/>
            </w:pPr>
            <w:r>
              <w:rPr/>
              <w:t> </w:t>
            </w:r>
          </w:p>
        </w:tc>
        <w:tc>
          <w:tcPr>
            <w:tcW w:w="8097" w:type="dxa"/>
            <w:tcBorders/>
            <w:shd w:fill="auto" w:val="clear"/>
          </w:tcPr>
          <w:p>
            <w:pPr>
              <w:pStyle w:val="TableContents"/>
              <w:spacing w:before="0" w:after="283"/>
              <w:jc w:val="left"/>
              <w:rPr>
                <w:sz w:val="20"/>
              </w:rPr>
            </w:pPr>
            <w:r>
              <w:rPr>
                <w:sz w:val="20"/>
              </w:rPr>
              <w:t>Consolidated Statements of Cash Flows for the three months ended March 31, 2006 and</w:t>
              <w:br/>
              <w:t>          2005 (Unaudited) and for the period from July 27, 1999 (inception)</w:t>
              <w:br/>
              <w:t>          to March 31, 2006 (Unaudited)</w:t>
            </w:r>
          </w:p>
        </w:tc>
        <w:tc>
          <w:tcPr>
            <w:tcW w:w="727" w:type="dxa"/>
            <w:tcBorders/>
            <w:shd w:fill="auto" w:val="clear"/>
          </w:tcPr>
          <w:p>
            <w:pPr>
              <w:pStyle w:val="TableContents"/>
              <w:spacing w:before="0" w:after="283"/>
              <w:jc w:val="right"/>
              <w:rPr>
                <w:sz w:val="20"/>
              </w:rPr>
            </w:pPr>
            <w:r>
              <w:rPr>
                <w:sz w:val="20"/>
              </w:rPr>
              <w:br/>
              <w:br/>
              <w:t>4</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rPr/>
            </w:pPr>
            <w:r>
              <w:rPr/>
              <w:t> </w:t>
            </w:r>
          </w:p>
        </w:tc>
        <w:tc>
          <w:tcPr>
            <w:tcW w:w="8097" w:type="dxa"/>
            <w:tcBorders/>
            <w:shd w:fill="auto" w:val="clear"/>
          </w:tcPr>
          <w:p>
            <w:pPr>
              <w:pStyle w:val="TableContents"/>
              <w:spacing w:before="0" w:after="283"/>
              <w:jc w:val="both"/>
              <w:rPr/>
            </w:pPr>
            <w:r>
              <w:rPr/>
              <w:t>Notes to Consolidated Financial Statements (Unaudited)</w:t>
            </w:r>
          </w:p>
        </w:tc>
        <w:tc>
          <w:tcPr>
            <w:tcW w:w="727" w:type="dxa"/>
            <w:tcBorders/>
            <w:shd w:fill="auto" w:val="clear"/>
          </w:tcPr>
          <w:p>
            <w:pPr>
              <w:pStyle w:val="TableContents"/>
              <w:spacing w:before="0" w:after="283"/>
              <w:jc w:val="right"/>
              <w:rPr>
                <w:sz w:val="20"/>
              </w:rPr>
            </w:pPr>
            <w:r>
              <w:rPr>
                <w:sz w:val="20"/>
              </w:rPr>
              <w:t>5</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both"/>
              <w:rPr>
                <w:sz w:val="20"/>
              </w:rPr>
            </w:pPr>
            <w:r>
              <w:rPr>
                <w:sz w:val="20"/>
              </w:rPr>
              <w:t>Item 2.</w:t>
            </w:r>
          </w:p>
        </w:tc>
        <w:tc>
          <w:tcPr>
            <w:tcW w:w="8097" w:type="dxa"/>
            <w:tcBorders/>
            <w:shd w:fill="auto" w:val="clear"/>
          </w:tcPr>
          <w:p>
            <w:pPr>
              <w:pStyle w:val="TableContents"/>
              <w:spacing w:before="0" w:after="283"/>
              <w:jc w:val="left"/>
              <w:rPr/>
            </w:pPr>
            <w:r>
              <w:rPr/>
              <w:t>Management's Discussion and Analysis of Financial Condition</w:t>
              <w:br/>
              <w:t>          and Results of Operations</w:t>
            </w:r>
          </w:p>
        </w:tc>
        <w:tc>
          <w:tcPr>
            <w:tcW w:w="727" w:type="dxa"/>
            <w:tcBorders/>
            <w:shd w:fill="auto" w:val="clear"/>
          </w:tcPr>
          <w:p>
            <w:pPr>
              <w:pStyle w:val="TableContents"/>
              <w:spacing w:before="0" w:after="283"/>
              <w:jc w:val="right"/>
              <w:rPr>
                <w:sz w:val="20"/>
              </w:rPr>
            </w:pPr>
            <w:r>
              <w:rPr>
                <w:sz w:val="20"/>
              </w:rPr>
              <w:br/>
              <w:t>14</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both"/>
              <w:rPr>
                <w:sz w:val="20"/>
              </w:rPr>
            </w:pPr>
            <w:r>
              <w:rPr>
                <w:sz w:val="20"/>
              </w:rPr>
              <w:t>Item 3.</w:t>
            </w:r>
          </w:p>
        </w:tc>
        <w:tc>
          <w:tcPr>
            <w:tcW w:w="8097" w:type="dxa"/>
            <w:tcBorders/>
            <w:shd w:fill="auto" w:val="clear"/>
          </w:tcPr>
          <w:p>
            <w:pPr>
              <w:pStyle w:val="TableContents"/>
              <w:spacing w:before="0" w:after="283"/>
              <w:jc w:val="both"/>
              <w:rPr/>
            </w:pPr>
            <w:r>
              <w:rPr/>
              <w:t>Controls and Procedures</w:t>
            </w:r>
          </w:p>
        </w:tc>
        <w:tc>
          <w:tcPr>
            <w:tcW w:w="727" w:type="dxa"/>
            <w:tcBorders/>
            <w:shd w:fill="auto" w:val="clear"/>
          </w:tcPr>
          <w:p>
            <w:pPr>
              <w:pStyle w:val="TableContents"/>
              <w:spacing w:before="0" w:after="283"/>
              <w:jc w:val="right"/>
              <w:rPr>
                <w:sz w:val="20"/>
              </w:rPr>
            </w:pPr>
            <w:r>
              <w:rPr>
                <w:sz w:val="20"/>
              </w:rPr>
              <w:t>21</w:t>
            </w:r>
          </w:p>
        </w:tc>
      </w:tr>
      <w:tr>
        <w:trPr/>
        <w:tc>
          <w:tcPr>
            <w:tcW w:w="9653" w:type="dxa"/>
            <w:gridSpan w:val="3"/>
            <w:tcBorders/>
            <w:shd w:fill="auto" w:val="clear"/>
          </w:tcPr>
          <w:p>
            <w:pPr>
              <w:pStyle w:val="TableContents"/>
              <w:spacing w:before="0" w:after="283"/>
              <w:jc w:val="both"/>
              <w:rPr/>
            </w:pPr>
            <w:r>
              <w:rPr/>
              <w:t>Part II - OTHER INFORMATION</w:t>
            </w:r>
          </w:p>
        </w:tc>
        <w:tc>
          <w:tcPr>
            <w:tcW w:w="727" w:type="dxa"/>
            <w:tcBorders/>
            <w:shd w:fill="auto" w:val="clear"/>
          </w:tcPr>
          <w:p>
            <w:pPr>
              <w:pStyle w:val="TableContents"/>
              <w:spacing w:before="0" w:after="283"/>
              <w:rPr/>
            </w:pPr>
            <w:r>
              <w:rPr/>
              <w:t> </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1.</w:t>
            </w:r>
          </w:p>
        </w:tc>
        <w:tc>
          <w:tcPr>
            <w:tcW w:w="8097" w:type="dxa"/>
            <w:tcBorders/>
            <w:shd w:fill="auto" w:val="clear"/>
          </w:tcPr>
          <w:p>
            <w:pPr>
              <w:pStyle w:val="TableContents"/>
              <w:spacing w:before="0" w:after="283"/>
              <w:jc w:val="left"/>
              <w:rPr/>
            </w:pPr>
            <w:r>
              <w:rPr/>
              <w:t>Legal Proceedings</w:t>
            </w:r>
          </w:p>
        </w:tc>
        <w:tc>
          <w:tcPr>
            <w:tcW w:w="727" w:type="dxa"/>
            <w:tcBorders/>
            <w:shd w:fill="auto" w:val="clear"/>
          </w:tcPr>
          <w:p>
            <w:pPr>
              <w:pStyle w:val="TableContents"/>
              <w:spacing w:before="0" w:after="283"/>
              <w:jc w:val="right"/>
              <w:rPr>
                <w:sz w:val="20"/>
              </w:rPr>
            </w:pPr>
            <w:r>
              <w:rPr>
                <w:sz w:val="20"/>
              </w:rPr>
              <w:t>23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2.</w:t>
            </w:r>
          </w:p>
        </w:tc>
        <w:tc>
          <w:tcPr>
            <w:tcW w:w="8097" w:type="dxa"/>
            <w:tcBorders/>
            <w:shd w:fill="auto" w:val="clear"/>
          </w:tcPr>
          <w:p>
            <w:pPr>
              <w:pStyle w:val="TableContents"/>
              <w:spacing w:before="0" w:after="283"/>
              <w:jc w:val="left"/>
              <w:rPr/>
            </w:pPr>
            <w:r>
              <w:rPr/>
              <w:t>Unregistered Sales of Equity Securities and Use of Proceeds</w:t>
            </w:r>
          </w:p>
        </w:tc>
        <w:tc>
          <w:tcPr>
            <w:tcW w:w="727" w:type="dxa"/>
            <w:tcBorders/>
            <w:shd w:fill="auto" w:val="clear"/>
          </w:tcPr>
          <w:p>
            <w:pPr>
              <w:pStyle w:val="TableContents"/>
              <w:spacing w:before="0" w:after="283"/>
              <w:jc w:val="right"/>
              <w:rPr>
                <w:sz w:val="20"/>
              </w:rPr>
            </w:pPr>
            <w:r>
              <w:rPr>
                <w:sz w:val="20"/>
              </w:rPr>
              <w:t>23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3.</w:t>
            </w:r>
          </w:p>
        </w:tc>
        <w:tc>
          <w:tcPr>
            <w:tcW w:w="8097" w:type="dxa"/>
            <w:tcBorders/>
            <w:shd w:fill="auto" w:val="clear"/>
          </w:tcPr>
          <w:p>
            <w:pPr>
              <w:pStyle w:val="TableContents"/>
              <w:spacing w:before="0" w:after="283"/>
              <w:jc w:val="left"/>
              <w:rPr/>
            </w:pPr>
            <w:r>
              <w:rPr/>
              <w:t>Defaults Upon Senior Securities</w:t>
            </w:r>
          </w:p>
        </w:tc>
        <w:tc>
          <w:tcPr>
            <w:tcW w:w="727" w:type="dxa"/>
            <w:tcBorders/>
            <w:shd w:fill="auto" w:val="clear"/>
          </w:tcPr>
          <w:p>
            <w:pPr>
              <w:pStyle w:val="TableContents"/>
              <w:spacing w:before="0" w:after="283"/>
              <w:jc w:val="right"/>
              <w:rPr>
                <w:sz w:val="20"/>
              </w:rPr>
            </w:pPr>
            <w:r>
              <w:rPr>
                <w:sz w:val="20"/>
              </w:rPr>
              <w:t>23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4.</w:t>
            </w:r>
          </w:p>
        </w:tc>
        <w:tc>
          <w:tcPr>
            <w:tcW w:w="8097" w:type="dxa"/>
            <w:tcBorders/>
            <w:shd w:fill="auto" w:val="clear"/>
          </w:tcPr>
          <w:p>
            <w:pPr>
              <w:pStyle w:val="TableContents"/>
              <w:spacing w:before="0" w:after="283"/>
              <w:jc w:val="left"/>
              <w:rPr/>
            </w:pPr>
            <w:r>
              <w:rPr/>
              <w:t>Submission of Matters to a Vote of Security Holders</w:t>
            </w:r>
          </w:p>
        </w:tc>
        <w:tc>
          <w:tcPr>
            <w:tcW w:w="727" w:type="dxa"/>
            <w:tcBorders/>
            <w:shd w:fill="auto" w:val="clear"/>
          </w:tcPr>
          <w:p>
            <w:pPr>
              <w:pStyle w:val="TableContents"/>
              <w:spacing w:before="0" w:after="283"/>
              <w:jc w:val="right"/>
              <w:rPr>
                <w:sz w:val="20"/>
              </w:rPr>
            </w:pPr>
            <w:r>
              <w:rPr>
                <w:sz w:val="20"/>
              </w:rPr>
              <w:t>23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5.</w:t>
            </w:r>
          </w:p>
        </w:tc>
        <w:tc>
          <w:tcPr>
            <w:tcW w:w="8097" w:type="dxa"/>
            <w:tcBorders/>
            <w:shd w:fill="auto" w:val="clear"/>
          </w:tcPr>
          <w:p>
            <w:pPr>
              <w:pStyle w:val="TableContents"/>
              <w:spacing w:before="0" w:after="283"/>
              <w:jc w:val="left"/>
              <w:rPr/>
            </w:pPr>
            <w:r>
              <w:rPr/>
              <w:t>Other Information</w:t>
            </w:r>
          </w:p>
        </w:tc>
        <w:tc>
          <w:tcPr>
            <w:tcW w:w="727" w:type="dxa"/>
            <w:tcBorders/>
            <w:shd w:fill="auto" w:val="clear"/>
          </w:tcPr>
          <w:p>
            <w:pPr>
              <w:pStyle w:val="TableContents"/>
              <w:spacing w:before="0" w:after="283"/>
              <w:jc w:val="right"/>
              <w:rPr>
                <w:sz w:val="20"/>
              </w:rPr>
            </w:pPr>
            <w:r>
              <w:rPr>
                <w:sz w:val="20"/>
              </w:rPr>
              <w:t>23</w:t>
            </w:r>
          </w:p>
        </w:tc>
      </w:tr>
      <w:tr>
        <w:trPr/>
        <w:tc>
          <w:tcPr>
            <w:tcW w:w="726" w:type="dxa"/>
            <w:tcBorders/>
            <w:shd w:fill="auto" w:val="clear"/>
          </w:tcPr>
          <w:p>
            <w:pPr>
              <w:pStyle w:val="TableContents"/>
              <w:spacing w:before="0" w:after="283"/>
              <w:rPr/>
            </w:pPr>
            <w:r>
              <w:rPr/>
              <w:t> </w:t>
            </w:r>
          </w:p>
        </w:tc>
        <w:tc>
          <w:tcPr>
            <w:tcW w:w="830" w:type="dxa"/>
            <w:tcBorders/>
            <w:shd w:fill="auto" w:val="clear"/>
          </w:tcPr>
          <w:p>
            <w:pPr>
              <w:pStyle w:val="TableContents"/>
              <w:spacing w:before="0" w:after="283"/>
              <w:jc w:val="left"/>
              <w:rPr>
                <w:sz w:val="20"/>
              </w:rPr>
            </w:pPr>
            <w:r>
              <w:rPr>
                <w:sz w:val="20"/>
              </w:rPr>
              <w:t>Item 6.</w:t>
            </w:r>
          </w:p>
        </w:tc>
        <w:tc>
          <w:tcPr>
            <w:tcW w:w="8097" w:type="dxa"/>
            <w:tcBorders/>
            <w:shd w:fill="auto" w:val="clear"/>
          </w:tcPr>
          <w:p>
            <w:pPr>
              <w:pStyle w:val="TableContents"/>
              <w:spacing w:before="0" w:after="283"/>
              <w:jc w:val="left"/>
              <w:rPr/>
            </w:pPr>
            <w:r>
              <w:rPr/>
              <w:t>Exhibits</w:t>
            </w:r>
          </w:p>
        </w:tc>
        <w:tc>
          <w:tcPr>
            <w:tcW w:w="727" w:type="dxa"/>
            <w:tcBorders/>
            <w:shd w:fill="auto" w:val="clear"/>
          </w:tcPr>
          <w:p>
            <w:pPr>
              <w:pStyle w:val="TableContents"/>
              <w:spacing w:before="0" w:after="283"/>
              <w:jc w:val="right"/>
              <w:rPr>
                <w:sz w:val="20"/>
              </w:rPr>
            </w:pPr>
            <w:r>
              <w:rPr>
                <w:sz w:val="20"/>
              </w:rPr>
              <w:t>23</w:t>
            </w:r>
          </w:p>
        </w:tc>
      </w:tr>
      <w:tr>
        <w:trPr/>
        <w:tc>
          <w:tcPr>
            <w:tcW w:w="9653" w:type="dxa"/>
            <w:gridSpan w:val="3"/>
            <w:tcBorders/>
            <w:shd w:fill="auto" w:val="clear"/>
          </w:tcPr>
          <w:p>
            <w:pPr>
              <w:pStyle w:val="TableContents"/>
              <w:spacing w:before="0" w:after="283"/>
              <w:jc w:val="left"/>
              <w:rPr/>
            </w:pPr>
            <w:r>
              <w:rPr/>
              <w:t>SIGNATURES</w:t>
            </w:r>
          </w:p>
        </w:tc>
        <w:tc>
          <w:tcPr>
            <w:tcW w:w="727" w:type="dxa"/>
            <w:tcBorders/>
            <w:shd w:fill="auto" w:val="clear"/>
          </w:tcPr>
          <w:p>
            <w:pPr>
              <w:pStyle w:val="TableContents"/>
              <w:spacing w:before="0" w:after="283"/>
              <w:jc w:val="right"/>
              <w:rPr>
                <w:sz w:val="20"/>
              </w:rPr>
            </w:pPr>
            <w:r>
              <w:rPr>
                <w:sz w:val="20"/>
              </w:rPr>
              <w:t>24</w:t>
            </w:r>
          </w:p>
        </w:tc>
      </w:tr>
      <w:tr>
        <w:trPr/>
        <w:tc>
          <w:tcPr>
            <w:tcW w:w="9653" w:type="dxa"/>
            <w:gridSpan w:val="3"/>
            <w:tcBorders/>
            <w:shd w:fill="auto" w:val="clear"/>
          </w:tcPr>
          <w:p>
            <w:pPr>
              <w:pStyle w:val="TableContents"/>
              <w:spacing w:before="0" w:after="283"/>
              <w:jc w:val="left"/>
              <w:rPr>
                <w:sz w:val="20"/>
              </w:rPr>
            </w:pPr>
            <w:r>
              <w:rPr>
                <w:sz w:val="20"/>
              </w:rPr>
              <w:t>CERTIFICATIONS</w:t>
            </w:r>
          </w:p>
        </w:tc>
        <w:tc>
          <w:tcPr>
            <w:tcW w:w="727" w:type="dxa"/>
            <w:tcBorders/>
            <w:shd w:fill="auto" w:val="clear"/>
          </w:tcPr>
          <w:p>
            <w:pPr>
              <w:pStyle w:val="TableContents"/>
              <w:spacing w:before="0" w:after="283"/>
              <w:jc w:val="right"/>
              <w:rPr>
                <w:sz w:val="20"/>
              </w:rPr>
            </w:pPr>
            <w:r>
              <w:rPr>
                <w:sz w:val="20"/>
              </w:rPr>
              <w:t>25</w:t>
            </w:r>
          </w:p>
        </w:tc>
      </w:tr>
    </w:tbl>
    <w:p>
      <w:pPr>
        <w:pStyle w:val="TextBody"/>
        <w:jc w:val="left"/>
        <w:rPr/>
      </w:pPr>
      <w:r>
        <w:rPr/>
        <w:t> </w:t>
      </w:r>
    </w:p>
    <w:p>
      <w:pPr>
        <w:pStyle w:val="TextBody"/>
        <w:jc w:val="center"/>
        <w:rPr/>
      </w:pPr>
      <w:r>
        <w:rPr/>
        <w:t>- ii -</w:t>
      </w:r>
    </w:p>
    <w:p>
      <w:pPr>
        <w:pStyle w:val="HorizontalLine"/>
        <w:pBdr>
          <w:bottom w:val="single" w:sz="18" w:space="0" w:color="808080"/>
        </w:pBdr>
        <w:rPr/>
      </w:pPr>
      <w:r>
        <w:rPr/>
      </w:r>
    </w:p>
    <w:p>
      <w:pPr>
        <w:pStyle w:val="TextBody"/>
        <w:jc w:val="both"/>
        <w:rPr/>
      </w:pPr>
      <w:r>
        <w:rPr/>
        <w:t> </w:t>
      </w:r>
    </w:p>
    <w:p>
      <w:pPr>
        <w:pStyle w:val="TextBody"/>
        <w:jc w:val="center"/>
        <w:rPr>
          <w:b/>
        </w:rPr>
      </w:pPr>
      <w:r>
        <w:rPr>
          <w:b/>
        </w:rPr>
        <w:t>GENEMAX CORP.</w:t>
      </w:r>
    </w:p>
    <w:p>
      <w:pPr>
        <w:pStyle w:val="TextBody"/>
        <w:jc w:val="center"/>
        <w:rPr>
          <w:b/>
        </w:rPr>
      </w:pPr>
      <w:r>
        <w:rPr>
          <w:b/>
        </w:rPr>
        <w:t>Quarterly Report On Form 10-QSB For The Quarterly Period Ended March 31, 2006</w:t>
      </w:r>
    </w:p>
    <w:p>
      <w:pPr>
        <w:pStyle w:val="TextBody"/>
        <w:jc w:val="left"/>
        <w:rPr/>
      </w:pPr>
      <w:r>
        <w:rPr/>
        <w:t> </w:t>
      </w:r>
    </w:p>
    <w:p>
      <w:pPr>
        <w:pStyle w:val="TextBody"/>
        <w:jc w:val="center"/>
        <w:rPr>
          <w:b/>
        </w:rPr>
      </w:pPr>
      <w:r>
        <w:rPr>
          <w:b/>
        </w:rPr>
        <w:t>FORWARD-LOOKING STATEMENTS</w:t>
      </w:r>
    </w:p>
    <w:p>
      <w:pPr>
        <w:pStyle w:val="TextBody"/>
        <w:jc w:val="both"/>
        <w:rPr/>
      </w:pPr>
      <w:r>
        <w:rPr/>
        <w:br/>
        <w:t>This Form 10-QSB for the quarterly period ended March 31, 2006 contains forward-looking statements that involve risks and uncertainties. Forward-looking statements in this document include, among others, statements regarding our capital needs, business plans and expectations. Such forward-looking statements involve assumptions, risks and uncertainties regarding, among others, the success of our business plan, availability of funds, government regulations, operating costs, our ability to achieve significant revenues, our business model and products and other factors.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 ous factors, including the assumptions, risks and uncertainties set forth in reports and other documents we have filed with or furnished to the SEC, including, without limitation, our annual report on Form 10-KSB for the year ended December 31, 2005. These factors or any of them may cause our actual results to differ materially from any forward-looking statement made in this prospectus. 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The forward-looking statements in this document are made as of the date of this document and we do not intend or undertake to update any of the forward-looking statements to conform these statements to actual results, except as required by applicable law, including the securities laws of the United St ates.</w:t>
      </w:r>
    </w:p>
    <w:p>
      <w:pPr>
        <w:pStyle w:val="TextBody"/>
        <w:jc w:val="center"/>
        <w:rPr/>
      </w:pPr>
      <w:r>
        <w:rPr/>
        <w:t>- iii -</w:t>
      </w:r>
    </w:p>
    <w:p>
      <w:pPr>
        <w:pStyle w:val="HorizontalLine"/>
        <w:pBdr>
          <w:bottom w:val="single" w:sz="18" w:space="0" w:color="808080"/>
        </w:pBdr>
        <w:rPr/>
      </w:pPr>
      <w:r>
        <w:rPr/>
      </w:r>
    </w:p>
    <w:p>
      <w:pPr>
        <w:pStyle w:val="TextBody"/>
        <w:jc w:val="center"/>
        <w:rPr>
          <w:b/>
        </w:rPr>
      </w:pPr>
      <w:bookmarkStart w:id="2" w:name="_Toc135101038"/>
      <w:bookmarkEnd w:id="2"/>
      <w:r>
        <w:rPr>
          <w:b/>
        </w:rPr>
        <w:t>PART I - FINANCIAL INFORMATION</w:t>
      </w:r>
    </w:p>
    <w:p>
      <w:pPr>
        <w:pStyle w:val="TextBody"/>
        <w:jc w:val="left"/>
        <w:rPr>
          <w:b/>
        </w:rPr>
      </w:pPr>
      <w:bookmarkStart w:id="3" w:name="_Toc135101039"/>
      <w:bookmarkEnd w:id="3"/>
      <w:r>
        <w:rPr>
          <w:b/>
        </w:rPr>
        <w:t>Item 1.</w:t>
        <w:tab/>
        <w:t>Financial Statements</w:t>
      </w:r>
    </w:p>
    <w:p>
      <w:pPr>
        <w:pStyle w:val="TextBody"/>
        <w:jc w:val="both"/>
        <w:rPr/>
      </w:pPr>
      <w:r>
        <w:rPr/>
        <w:t>The following unaudited consolidated interim financial statements of GeneMax Corp. are included in this Quarterly Report on Form 10-QSB:Part I. Financial information</w:t>
      </w:r>
    </w:p>
    <w:p>
      <w:pPr>
        <w:pStyle w:val="TextBody"/>
        <w:jc w:val="left"/>
        <w:rPr/>
      </w:pPr>
      <w:r>
        <w:rPr>
          <w:b/>
        </w:rPr>
        <w:br/>
      </w:r>
      <w:r>
        <w:rPr/>
        <w:br/>
        <w:br/>
        <w:br/>
        <w:br/>
        <w:br/>
        <w:br/>
        <w:br/>
        <w:br/>
        <w:br/>
        <w:br/>
        <w:br/>
        <w:br/>
      </w:r>
    </w:p>
    <w:p>
      <w:pPr>
        <w:pStyle w:val="TextBody"/>
        <w:jc w:val="center"/>
        <w:rPr/>
      </w:pPr>
      <w:r>
        <w:rPr>
          <w:b/>
        </w:rPr>
        <w:t>GENEMAX CORP.</w:t>
        <w:br/>
        <w:t>(a development stage company)</w:t>
        <w:br/>
      </w:r>
      <w:r>
        <w:rPr/>
        <w:br/>
      </w:r>
      <w:r>
        <w:rPr>
          <w:b/>
        </w:rPr>
        <w:t>CONSOLIDATED FINANCIAL STATEMENTS</w:t>
        <w:br/>
      </w:r>
      <w:r>
        <w:rPr/>
        <w:br/>
      </w:r>
      <w:r>
        <w:rPr>
          <w:b/>
        </w:rPr>
        <w:t xml:space="preserve">MARCH 31, 2006 </w:t>
        <w:br/>
        <w:t>(UNAUDITED)</w:t>
      </w:r>
    </w:p>
    <w:p>
      <w:pPr>
        <w:pStyle w:val="TextBody"/>
        <w:jc w:val="left"/>
        <w:rPr/>
      </w:pPr>
      <w:r>
        <w:rPr/>
        <w:t> </w:t>
      </w:r>
    </w:p>
    <w:p>
      <w:pPr>
        <w:pStyle w:val="TextBody"/>
        <w:jc w:val="left"/>
        <w:rPr/>
      </w:pPr>
      <w:r>
        <w:rPr/>
        <w:br/>
        <w:br/>
        <w:br/>
        <w:br/>
        <w:br/>
        <w:br/>
        <w:br/>
        <w:br/>
        <w:br/>
        <w:br/>
        <w:br/>
        <w:br/>
        <w:br/>
        <w:br/>
      </w:r>
    </w:p>
    <w:p>
      <w:pPr>
        <w:pStyle w:val="TextBody"/>
        <w:jc w:val="left"/>
        <w:rPr>
          <w:b/>
        </w:rPr>
      </w:pPr>
      <w:r>
        <w:rPr>
          <w:b/>
        </w:rPr>
        <w:t>CONSOLIDATED BALANCE SHEETS</w:t>
        <w:br/>
        <w:br/>
        <w:t>CONSOLIDATED STATEMENTS OF OPERATIONS</w:t>
        <w:br/>
        <w:br/>
        <w:t>CONSOLIDATED STATEMENT OF STOCKHOLDERS' DEFICIT</w:t>
        <w:br/>
        <w:br/>
        <w:t>CONSOLIDATED STATEMENTS OF CASH FLOWS</w:t>
        <w:br/>
        <w:br/>
        <w:t>NOTES TO CONSOLIDATED FINANCIAL STATEMENTS</w:t>
      </w:r>
    </w:p>
    <w:p>
      <w:pPr>
        <w:pStyle w:val="HorizontalLine"/>
        <w:pBdr>
          <w:bottom w:val="single" w:sz="18" w:space="0" w:color="808080"/>
        </w:pBdr>
        <w:rPr/>
      </w:pPr>
      <w:r>
        <w:rPr/>
      </w:r>
    </w:p>
    <w:p>
      <w:pPr>
        <w:pStyle w:val="TextBody"/>
        <w:jc w:val="center"/>
        <w:rPr>
          <w:b/>
        </w:rPr>
      </w:pPr>
      <w:r>
        <w:rPr>
          <w:b/>
        </w:rPr>
        <w:t>GENEMAX CORP.</w:t>
        <w:br/>
        <w:t>(a development stage company)</w:t>
        <w:br/>
        <w:br/>
        <w:t>CONSOLIDATED BALANCE SHEETS</w:t>
      </w:r>
    </w:p>
    <w:tbl>
      <w:tblPr>
        <w:tblW w:w="10170" w:type="dxa"/>
        <w:jc w:val="left"/>
        <w:tblInd w:w="0" w:type="dxa"/>
        <w:tblCellMar>
          <w:top w:w="105" w:type="dxa"/>
          <w:left w:w="105" w:type="dxa"/>
          <w:bottom w:w="105" w:type="dxa"/>
          <w:right w:w="105" w:type="dxa"/>
        </w:tblCellMar>
      </w:tblPr>
      <w:tblGrid>
        <w:gridCol w:w="7291"/>
        <w:gridCol w:w="1385"/>
        <w:gridCol w:w="1494"/>
      </w:tblGrid>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March 31, 2006</w:t>
            </w:r>
          </w:p>
        </w:tc>
        <w:tc>
          <w:tcPr>
            <w:tcW w:w="1494" w:type="dxa"/>
            <w:tcBorders/>
            <w:shd w:fill="auto" w:val="clear"/>
          </w:tcPr>
          <w:p>
            <w:pPr>
              <w:pStyle w:val="TableContents"/>
              <w:spacing w:before="0" w:after="283"/>
              <w:jc w:val="center"/>
              <w:rPr>
                <w:sz w:val="20"/>
              </w:rPr>
            </w:pPr>
            <w:r>
              <w:rPr>
                <w:sz w:val="20"/>
              </w:rPr>
              <w:t>December 31, 2005</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(Unaudited)</w:t>
            </w:r>
          </w:p>
        </w:tc>
        <w:tc>
          <w:tcPr>
            <w:tcW w:w="1494" w:type="dxa"/>
            <w:tcBorders/>
            <w:shd w:fill="auto" w:val="clear"/>
          </w:tcPr>
          <w:p>
            <w:pPr>
              <w:pStyle w:val="TableContents"/>
              <w:spacing w:before="0" w:after="283"/>
              <w:rPr/>
            </w:pPr>
            <w:r>
              <w:rPr/>
              <w:t> </w:t>
            </w:r>
          </w:p>
        </w:tc>
      </w:tr>
      <w:tr>
        <w:trPr>
          <w:trHeight w:val="465" w:hRule="atLeast"/>
        </w:trPr>
        <w:tc>
          <w:tcPr>
            <w:tcW w:w="10170" w:type="dxa"/>
            <w:gridSpan w:val="3"/>
            <w:tcBorders/>
            <w:shd w:fill="auto" w:val="clear"/>
          </w:tcPr>
          <w:p>
            <w:pPr>
              <w:pStyle w:val="TableContents"/>
              <w:spacing w:before="0" w:after="283"/>
              <w:rPr>
                <w:sz w:val="4"/>
                <w:szCs w:val="4"/>
              </w:rPr>
            </w:pPr>
            <w:r>
              <w:rPr>
                <w:sz w:val="4"/>
                <w:szCs w:val="4"/>
              </w:rPr>
            </w:r>
          </w:p>
        </w:tc>
      </w:tr>
      <w:tr>
        <w:trPr>
          <w:trHeight w:val="465" w:hRule="atLeast"/>
        </w:trPr>
        <w:tc>
          <w:tcPr>
            <w:tcW w:w="10170" w:type="dxa"/>
            <w:gridSpan w:val="3"/>
            <w:tcBorders/>
            <w:shd w:fill="auto" w:val="clear"/>
          </w:tcPr>
          <w:p>
            <w:pPr>
              <w:pStyle w:val="TableContents"/>
              <w:spacing w:before="0" w:after="283"/>
              <w:jc w:val="center"/>
              <w:rPr>
                <w:b/>
                <w:sz w:val="20"/>
              </w:rPr>
            </w:pPr>
            <w:r>
              <w:rPr>
                <w:b/>
                <w:sz w:val="20"/>
              </w:rPr>
              <w:t>ASSETS</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ASSETS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 xml:space="preserve">Cash </w:t>
            </w:r>
          </w:p>
        </w:tc>
        <w:tc>
          <w:tcPr>
            <w:tcW w:w="1385" w:type="dxa"/>
            <w:tcBorders/>
            <w:shd w:fill="auto" w:val="clear"/>
          </w:tcPr>
          <w:p>
            <w:pPr>
              <w:pStyle w:val="TableContents"/>
              <w:spacing w:before="0" w:after="283"/>
              <w:jc w:val="right"/>
              <w:rPr>
                <w:sz w:val="20"/>
              </w:rPr>
            </w:pPr>
            <w:r>
              <w:rPr>
                <w:sz w:val="20"/>
              </w:rPr>
              <w:t>$       213,860 </w:t>
            </w:r>
          </w:p>
        </w:tc>
        <w:tc>
          <w:tcPr>
            <w:tcW w:w="1494" w:type="dxa"/>
            <w:tcBorders/>
            <w:shd w:fill="auto" w:val="clear"/>
          </w:tcPr>
          <w:p>
            <w:pPr>
              <w:pStyle w:val="TableContents"/>
              <w:spacing w:before="0" w:after="283"/>
              <w:jc w:val="right"/>
              <w:rPr>
                <w:sz w:val="20"/>
              </w:rPr>
            </w:pPr>
            <w:r>
              <w:rPr>
                <w:sz w:val="20"/>
              </w:rPr>
              <w:t>$           56,244 </w:t>
            </w:r>
          </w:p>
        </w:tc>
      </w:tr>
      <w:tr>
        <w:trPr/>
        <w:tc>
          <w:tcPr>
            <w:tcW w:w="7291" w:type="dxa"/>
            <w:tcBorders/>
            <w:shd w:fill="auto" w:val="clear"/>
          </w:tcPr>
          <w:p>
            <w:pPr>
              <w:pStyle w:val="TableContents"/>
              <w:spacing w:before="0" w:after="283"/>
              <w:jc w:val="left"/>
              <w:rPr/>
            </w:pPr>
            <w:r>
              <w:rPr/>
              <w:t>     </w:t>
            </w:r>
            <w:r>
              <w:rPr>
                <w:sz w:val="20"/>
              </w:rPr>
              <w:t>Prepaid expenses and other receivables</w:t>
            </w:r>
          </w:p>
        </w:tc>
        <w:tc>
          <w:tcPr>
            <w:tcW w:w="1385" w:type="dxa"/>
            <w:tcBorders/>
            <w:shd w:fill="auto" w:val="clear"/>
          </w:tcPr>
          <w:p>
            <w:pPr>
              <w:pStyle w:val="TableContents"/>
              <w:spacing w:before="0" w:after="283"/>
              <w:jc w:val="right"/>
              <w:rPr>
                <w:sz w:val="20"/>
              </w:rPr>
            </w:pPr>
            <w:r>
              <w:rPr>
                <w:sz w:val="20"/>
              </w:rPr>
              <w:t>25,860 </w:t>
            </w:r>
          </w:p>
        </w:tc>
        <w:tc>
          <w:tcPr>
            <w:tcW w:w="1494" w:type="dxa"/>
            <w:tcBorders/>
            <w:shd w:fill="auto" w:val="clear"/>
          </w:tcPr>
          <w:p>
            <w:pPr>
              <w:pStyle w:val="TableContents"/>
              <w:spacing w:before="0" w:after="283"/>
              <w:jc w:val="right"/>
              <w:rPr>
                <w:sz w:val="20"/>
              </w:rPr>
            </w:pPr>
            <w:r>
              <w:rPr>
                <w:sz w:val="20"/>
              </w:rPr>
              <w:t>27,078 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239,720 </w:t>
            </w:r>
          </w:p>
        </w:tc>
        <w:tc>
          <w:tcPr>
            <w:tcW w:w="1494" w:type="dxa"/>
            <w:tcBorders/>
            <w:shd w:fill="auto" w:val="clear"/>
          </w:tcPr>
          <w:p>
            <w:pPr>
              <w:pStyle w:val="TableContents"/>
              <w:spacing w:before="0" w:after="283"/>
              <w:jc w:val="right"/>
              <w:rPr>
                <w:sz w:val="20"/>
              </w:rPr>
            </w:pPr>
            <w:r>
              <w:rPr>
                <w:sz w:val="20"/>
              </w:rPr>
              <w:t>83,322 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sz w:val="20"/>
              </w:rPr>
            </w:pPr>
            <w:r>
              <w:rPr>
                <w:b/>
                <w:sz w:val="20"/>
              </w:rPr>
              <w:t>FURNITURE AND EQUIPMENT</w:t>
            </w:r>
            <w:r>
              <w:rPr>
                <w:sz w:val="20"/>
              </w:rPr>
              <w:t>, net (Note 4)</w:t>
            </w:r>
          </w:p>
        </w:tc>
        <w:tc>
          <w:tcPr>
            <w:tcW w:w="1385" w:type="dxa"/>
            <w:tcBorders/>
            <w:shd w:fill="auto" w:val="clear"/>
            <w:vAlign w:val="bottom"/>
          </w:tcPr>
          <w:p>
            <w:pPr>
              <w:pStyle w:val="TableContents"/>
              <w:spacing w:before="0" w:after="283"/>
              <w:jc w:val="right"/>
              <w:rPr>
                <w:sz w:val="20"/>
              </w:rPr>
            </w:pPr>
            <w:r>
              <w:rPr>
                <w:sz w:val="20"/>
              </w:rPr>
              <w:t>3,615 </w:t>
            </w:r>
          </w:p>
        </w:tc>
        <w:tc>
          <w:tcPr>
            <w:tcW w:w="1494" w:type="dxa"/>
            <w:tcBorders/>
            <w:shd w:fill="auto" w:val="clear"/>
            <w:vAlign w:val="bottom"/>
          </w:tcPr>
          <w:p>
            <w:pPr>
              <w:pStyle w:val="TableContents"/>
              <w:spacing w:before="0" w:after="283"/>
              <w:jc w:val="right"/>
              <w:rPr>
                <w:sz w:val="20"/>
              </w:rPr>
            </w:pPr>
            <w:r>
              <w:rPr>
                <w:sz w:val="20"/>
              </w:rPr>
              <w:t>6,537 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243,335 </w:t>
            </w:r>
          </w:p>
        </w:tc>
        <w:tc>
          <w:tcPr>
            <w:tcW w:w="1494" w:type="dxa"/>
            <w:tcBorders/>
            <w:shd w:fill="auto" w:val="clear"/>
          </w:tcPr>
          <w:p>
            <w:pPr>
              <w:pStyle w:val="TableContents"/>
              <w:spacing w:before="0" w:after="283"/>
              <w:jc w:val="right"/>
              <w:rPr>
                <w:sz w:val="20"/>
              </w:rPr>
            </w:pPr>
            <w:r>
              <w:rPr>
                <w:sz w:val="20"/>
              </w:rPr>
              <w:t>$           89,859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10170" w:type="dxa"/>
            <w:gridSpan w:val="3"/>
            <w:tcBorders/>
            <w:shd w:fill="auto" w:val="clear"/>
          </w:tcPr>
          <w:p>
            <w:pPr>
              <w:pStyle w:val="TableContents"/>
              <w:spacing w:before="0" w:after="283"/>
              <w:jc w:val="center"/>
              <w:rPr>
                <w:b/>
                <w:sz w:val="20"/>
              </w:rPr>
            </w:pPr>
            <w:r>
              <w:rPr>
                <w:b/>
                <w:sz w:val="20"/>
              </w:rPr>
              <w:t>LIABILITIES AND STOCKHOLDERS' DEFICIT</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LIABILITIES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Accounts payable and accrued liabilities</w:t>
            </w:r>
          </w:p>
        </w:tc>
        <w:tc>
          <w:tcPr>
            <w:tcW w:w="1385" w:type="dxa"/>
            <w:tcBorders/>
            <w:shd w:fill="auto" w:val="clear"/>
          </w:tcPr>
          <w:p>
            <w:pPr>
              <w:pStyle w:val="TableContents"/>
              <w:spacing w:before="0" w:after="283"/>
              <w:jc w:val="right"/>
              <w:rPr>
                <w:sz w:val="20"/>
              </w:rPr>
            </w:pPr>
            <w:r>
              <w:rPr>
                <w:sz w:val="20"/>
              </w:rPr>
              <w:t>$       931,415 </w:t>
            </w:r>
          </w:p>
        </w:tc>
        <w:tc>
          <w:tcPr>
            <w:tcW w:w="1494" w:type="dxa"/>
            <w:tcBorders/>
            <w:shd w:fill="auto" w:val="clear"/>
          </w:tcPr>
          <w:p>
            <w:pPr>
              <w:pStyle w:val="TableContents"/>
              <w:spacing w:before="0" w:after="283"/>
              <w:jc w:val="right"/>
              <w:rPr>
                <w:sz w:val="20"/>
              </w:rPr>
            </w:pPr>
            <w:r>
              <w:rPr>
                <w:sz w:val="20"/>
              </w:rPr>
              <w:t>$         891,439 </w:t>
            </w:r>
          </w:p>
        </w:tc>
      </w:tr>
      <w:tr>
        <w:trPr/>
        <w:tc>
          <w:tcPr>
            <w:tcW w:w="7291" w:type="dxa"/>
            <w:tcBorders/>
            <w:shd w:fill="auto" w:val="clear"/>
          </w:tcPr>
          <w:p>
            <w:pPr>
              <w:pStyle w:val="TableContents"/>
              <w:spacing w:before="0" w:after="283"/>
              <w:jc w:val="left"/>
              <w:rPr/>
            </w:pPr>
            <w:r>
              <w:rPr/>
              <w:t>     </w:t>
            </w:r>
            <w:r>
              <w:rPr>
                <w:sz w:val="20"/>
              </w:rPr>
              <w:t>Research agreement obligations (Note 3)</w:t>
            </w:r>
          </w:p>
        </w:tc>
        <w:tc>
          <w:tcPr>
            <w:tcW w:w="1385" w:type="dxa"/>
            <w:tcBorders/>
            <w:shd w:fill="auto" w:val="clear"/>
          </w:tcPr>
          <w:p>
            <w:pPr>
              <w:pStyle w:val="TableContents"/>
              <w:spacing w:before="0" w:after="283"/>
              <w:jc w:val="right"/>
              <w:rPr>
                <w:sz w:val="20"/>
              </w:rPr>
            </w:pPr>
            <w:r>
              <w:rPr>
                <w:sz w:val="20"/>
              </w:rPr>
              <w:t>413,994 </w:t>
            </w:r>
          </w:p>
        </w:tc>
        <w:tc>
          <w:tcPr>
            <w:tcW w:w="1494" w:type="dxa"/>
            <w:tcBorders/>
            <w:shd w:fill="auto" w:val="clear"/>
          </w:tcPr>
          <w:p>
            <w:pPr>
              <w:pStyle w:val="TableContents"/>
              <w:spacing w:before="0" w:after="283"/>
              <w:jc w:val="right"/>
              <w:rPr>
                <w:sz w:val="20"/>
              </w:rPr>
            </w:pPr>
            <w:r>
              <w:rPr>
                <w:sz w:val="20"/>
              </w:rPr>
              <w:t>672,532 </w:t>
            </w:r>
          </w:p>
        </w:tc>
      </w:tr>
      <w:tr>
        <w:trPr/>
        <w:tc>
          <w:tcPr>
            <w:tcW w:w="7291" w:type="dxa"/>
            <w:tcBorders/>
            <w:shd w:fill="auto" w:val="clear"/>
          </w:tcPr>
          <w:p>
            <w:pPr>
              <w:pStyle w:val="TableContents"/>
              <w:spacing w:before="0" w:after="283"/>
              <w:jc w:val="left"/>
              <w:rPr/>
            </w:pPr>
            <w:r>
              <w:rPr/>
              <w:t>     </w:t>
            </w:r>
            <w:r>
              <w:rPr>
                <w:sz w:val="20"/>
              </w:rPr>
              <w:t>Convertible notes payable (Note 5)</w:t>
            </w:r>
          </w:p>
        </w:tc>
        <w:tc>
          <w:tcPr>
            <w:tcW w:w="1385" w:type="dxa"/>
            <w:tcBorders/>
            <w:shd w:fill="auto" w:val="clear"/>
          </w:tcPr>
          <w:p>
            <w:pPr>
              <w:pStyle w:val="TableContents"/>
              <w:spacing w:before="0" w:after="283"/>
              <w:jc w:val="right"/>
              <w:rPr>
                <w:sz w:val="20"/>
              </w:rPr>
            </w:pPr>
            <w:r>
              <w:rPr>
                <w:sz w:val="20"/>
              </w:rPr>
              <w:t>707,579 </w:t>
            </w:r>
          </w:p>
        </w:tc>
        <w:tc>
          <w:tcPr>
            <w:tcW w:w="1494" w:type="dxa"/>
            <w:tcBorders/>
            <w:shd w:fill="auto" w:val="clear"/>
          </w:tcPr>
          <w:p>
            <w:pPr>
              <w:pStyle w:val="TableContents"/>
              <w:spacing w:before="0" w:after="283"/>
              <w:jc w:val="right"/>
              <w:rPr>
                <w:sz w:val="20"/>
              </w:rPr>
            </w:pPr>
            <w:r>
              <w:rPr>
                <w:sz w:val="20"/>
              </w:rPr>
              <w:t>482,667 </w:t>
            </w:r>
          </w:p>
        </w:tc>
      </w:tr>
      <w:tr>
        <w:trPr/>
        <w:tc>
          <w:tcPr>
            <w:tcW w:w="7291" w:type="dxa"/>
            <w:tcBorders/>
            <w:shd w:fill="auto" w:val="clear"/>
          </w:tcPr>
          <w:p>
            <w:pPr>
              <w:pStyle w:val="TableContents"/>
              <w:spacing w:before="0" w:after="283"/>
              <w:jc w:val="left"/>
              <w:rPr/>
            </w:pPr>
            <w:r>
              <w:rPr/>
              <w:t>     </w:t>
            </w:r>
            <w:r>
              <w:rPr>
                <w:sz w:val="20"/>
              </w:rPr>
              <w:t>Convertible note subscriptions received (Note 5)</w:t>
            </w:r>
          </w:p>
        </w:tc>
        <w:tc>
          <w:tcPr>
            <w:tcW w:w="1385" w:type="dxa"/>
            <w:tcBorders/>
            <w:shd w:fill="auto" w:val="clear"/>
          </w:tcPr>
          <w:p>
            <w:pPr>
              <w:pStyle w:val="TableContents"/>
              <w:spacing w:before="0" w:after="283"/>
              <w:jc w:val="right"/>
              <w:rPr>
                <w:sz w:val="20"/>
              </w:rPr>
            </w:pPr>
            <w:r>
              <w:rPr>
                <w:sz w:val="20"/>
              </w:rPr>
              <w:t>50,500 </w:t>
            </w:r>
          </w:p>
        </w:tc>
        <w:tc>
          <w:tcPr>
            <w:tcW w:w="1494" w:type="dxa"/>
            <w:tcBorders/>
            <w:shd w:fill="auto" w:val="clear"/>
          </w:tcPr>
          <w:p>
            <w:pPr>
              <w:pStyle w:val="TableContents"/>
              <w:spacing w:before="0" w:after="283"/>
              <w:jc w:val="right"/>
              <w:rPr>
                <w:sz w:val="20"/>
              </w:rPr>
            </w:pPr>
            <w:r>
              <w:rPr>
                <w:sz w:val="20"/>
              </w:rPr>
              <w:t>60,000 </w:t>
            </w:r>
          </w:p>
        </w:tc>
      </w:tr>
      <w:tr>
        <w:trPr/>
        <w:tc>
          <w:tcPr>
            <w:tcW w:w="7291" w:type="dxa"/>
            <w:tcBorders/>
            <w:shd w:fill="auto" w:val="clear"/>
          </w:tcPr>
          <w:p>
            <w:pPr>
              <w:pStyle w:val="TableContents"/>
              <w:spacing w:before="0" w:after="283"/>
              <w:jc w:val="left"/>
              <w:rPr/>
            </w:pPr>
            <w:r>
              <w:rPr/>
              <w:t>     </w:t>
            </w:r>
            <w:r>
              <w:rPr>
                <w:sz w:val="20"/>
              </w:rPr>
              <w:t>Due to related parties (Note 6)</w:t>
            </w:r>
          </w:p>
        </w:tc>
        <w:tc>
          <w:tcPr>
            <w:tcW w:w="1385" w:type="dxa"/>
            <w:tcBorders/>
            <w:shd w:fill="auto" w:val="clear"/>
          </w:tcPr>
          <w:p>
            <w:pPr>
              <w:pStyle w:val="TableContents"/>
              <w:spacing w:before="0" w:after="283"/>
              <w:jc w:val="right"/>
              <w:rPr>
                <w:sz w:val="20"/>
              </w:rPr>
            </w:pPr>
            <w:r>
              <w:rPr>
                <w:sz w:val="20"/>
              </w:rPr>
              <w:t>230,190 </w:t>
            </w:r>
          </w:p>
        </w:tc>
        <w:tc>
          <w:tcPr>
            <w:tcW w:w="1494" w:type="dxa"/>
            <w:tcBorders/>
            <w:shd w:fill="auto" w:val="clear"/>
          </w:tcPr>
          <w:p>
            <w:pPr>
              <w:pStyle w:val="TableContents"/>
              <w:spacing w:before="0" w:after="283"/>
              <w:jc w:val="right"/>
              <w:rPr>
                <w:sz w:val="20"/>
              </w:rPr>
            </w:pPr>
            <w:r>
              <w:rPr>
                <w:sz w:val="20"/>
              </w:rPr>
              <w:t>202,969 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2,333,678 </w:t>
            </w:r>
          </w:p>
        </w:tc>
        <w:tc>
          <w:tcPr>
            <w:tcW w:w="1494" w:type="dxa"/>
            <w:tcBorders/>
            <w:shd w:fill="auto" w:val="clear"/>
          </w:tcPr>
          <w:p>
            <w:pPr>
              <w:pStyle w:val="TableContents"/>
              <w:spacing w:before="0" w:after="283"/>
              <w:jc w:val="right"/>
              <w:rPr>
                <w:sz w:val="20"/>
              </w:rPr>
            </w:pPr>
            <w:r>
              <w:rPr>
                <w:sz w:val="20"/>
              </w:rPr>
              <w:t>2,309,607 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sz w:val="20"/>
              </w:rPr>
            </w:pPr>
            <w:r>
              <w:rPr>
                <w:b/>
                <w:sz w:val="20"/>
              </w:rPr>
              <w:t>COMMITMENTS AND CONTINGENCIES</w:t>
            </w:r>
            <w:r>
              <w:rPr>
                <w:sz w:val="20"/>
              </w:rPr>
              <w:t xml:space="preserve"> (Notes 3 and 9)</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STOCKHOLDERS' DEFICIT</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Capital stock (Note 7)</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Common stock, $0.001 par value, 50,000,000 shares authorized</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29,172,176 shares issued and outstanding</w:t>
            </w:r>
          </w:p>
        </w:tc>
        <w:tc>
          <w:tcPr>
            <w:tcW w:w="1385" w:type="dxa"/>
            <w:tcBorders/>
            <w:shd w:fill="auto" w:val="clear"/>
          </w:tcPr>
          <w:p>
            <w:pPr>
              <w:pStyle w:val="TableContents"/>
              <w:spacing w:before="0" w:after="283"/>
              <w:jc w:val="right"/>
              <w:rPr>
                <w:sz w:val="20"/>
              </w:rPr>
            </w:pPr>
            <w:r>
              <w:rPr>
                <w:sz w:val="20"/>
              </w:rPr>
              <w:t>29,172 </w:t>
            </w:r>
          </w:p>
        </w:tc>
        <w:tc>
          <w:tcPr>
            <w:tcW w:w="1494" w:type="dxa"/>
            <w:tcBorders/>
            <w:shd w:fill="auto" w:val="clear"/>
          </w:tcPr>
          <w:p>
            <w:pPr>
              <w:pStyle w:val="TableContents"/>
              <w:spacing w:before="0" w:after="283"/>
              <w:jc w:val="right"/>
              <w:rPr>
                <w:sz w:val="20"/>
              </w:rPr>
            </w:pPr>
            <w:r>
              <w:rPr>
                <w:sz w:val="20"/>
              </w:rPr>
              <w:t>29,172 </w:t>
            </w:r>
          </w:p>
        </w:tc>
      </w:tr>
      <w:tr>
        <w:trPr/>
        <w:tc>
          <w:tcPr>
            <w:tcW w:w="7291" w:type="dxa"/>
            <w:tcBorders/>
            <w:shd w:fill="auto" w:val="clear"/>
          </w:tcPr>
          <w:p>
            <w:pPr>
              <w:pStyle w:val="TableContents"/>
              <w:spacing w:before="0" w:after="283"/>
              <w:jc w:val="left"/>
              <w:rPr/>
            </w:pPr>
            <w:r>
              <w:rPr/>
              <w:t>     </w:t>
            </w:r>
            <w:r>
              <w:rPr>
                <w:sz w:val="20"/>
              </w:rPr>
              <w:t>Additional paid-in capital</w:t>
            </w:r>
          </w:p>
        </w:tc>
        <w:tc>
          <w:tcPr>
            <w:tcW w:w="1385" w:type="dxa"/>
            <w:tcBorders/>
            <w:shd w:fill="auto" w:val="clear"/>
          </w:tcPr>
          <w:p>
            <w:pPr>
              <w:pStyle w:val="TableContents"/>
              <w:spacing w:before="0" w:after="283"/>
              <w:jc w:val="right"/>
              <w:rPr>
                <w:sz w:val="20"/>
              </w:rPr>
            </w:pPr>
            <w:r>
              <w:rPr>
                <w:sz w:val="20"/>
              </w:rPr>
              <w:t>10,866,192 </w:t>
            </w:r>
          </w:p>
        </w:tc>
        <w:tc>
          <w:tcPr>
            <w:tcW w:w="1494" w:type="dxa"/>
            <w:tcBorders/>
            <w:shd w:fill="auto" w:val="clear"/>
          </w:tcPr>
          <w:p>
            <w:pPr>
              <w:pStyle w:val="TableContents"/>
              <w:spacing w:before="0" w:after="283"/>
              <w:jc w:val="right"/>
              <w:rPr>
                <w:sz w:val="20"/>
              </w:rPr>
            </w:pPr>
            <w:r>
              <w:rPr>
                <w:sz w:val="20"/>
              </w:rPr>
              <w:t>10,379,913 </w:t>
            </w:r>
          </w:p>
        </w:tc>
      </w:tr>
      <w:tr>
        <w:trPr/>
        <w:tc>
          <w:tcPr>
            <w:tcW w:w="7291" w:type="dxa"/>
            <w:tcBorders/>
            <w:shd w:fill="auto" w:val="clear"/>
          </w:tcPr>
          <w:p>
            <w:pPr>
              <w:pStyle w:val="TableContents"/>
              <w:spacing w:before="0" w:after="283"/>
              <w:jc w:val="left"/>
              <w:rPr/>
            </w:pPr>
            <w:r>
              <w:rPr/>
              <w:t>     </w:t>
            </w:r>
            <w:r>
              <w:rPr>
                <w:sz w:val="20"/>
              </w:rPr>
              <w:t>Common stock purchase warrants</w:t>
            </w:r>
          </w:p>
        </w:tc>
        <w:tc>
          <w:tcPr>
            <w:tcW w:w="1385" w:type="dxa"/>
            <w:tcBorders/>
            <w:shd w:fill="auto" w:val="clear"/>
          </w:tcPr>
          <w:p>
            <w:pPr>
              <w:pStyle w:val="TableContents"/>
              <w:spacing w:before="0" w:after="283"/>
              <w:jc w:val="right"/>
              <w:rPr>
                <w:sz w:val="20"/>
              </w:rPr>
            </w:pPr>
            <w:r>
              <w:rPr>
                <w:sz w:val="20"/>
              </w:rPr>
              <w:t>865,877 </w:t>
            </w:r>
          </w:p>
        </w:tc>
        <w:tc>
          <w:tcPr>
            <w:tcW w:w="1494" w:type="dxa"/>
            <w:tcBorders/>
            <w:shd w:fill="auto" w:val="clear"/>
          </w:tcPr>
          <w:p>
            <w:pPr>
              <w:pStyle w:val="TableContents"/>
              <w:spacing w:before="0" w:after="283"/>
              <w:jc w:val="right"/>
              <w:rPr>
                <w:sz w:val="20"/>
              </w:rPr>
            </w:pPr>
            <w:r>
              <w:rPr>
                <w:sz w:val="20"/>
              </w:rPr>
              <w:t>857,656 </w:t>
            </w:r>
          </w:p>
        </w:tc>
      </w:tr>
      <w:tr>
        <w:trPr/>
        <w:tc>
          <w:tcPr>
            <w:tcW w:w="7291" w:type="dxa"/>
            <w:tcBorders/>
            <w:shd w:fill="auto" w:val="clear"/>
          </w:tcPr>
          <w:p>
            <w:pPr>
              <w:pStyle w:val="TableContents"/>
              <w:spacing w:before="0" w:after="283"/>
              <w:jc w:val="left"/>
              <w:rPr/>
            </w:pPr>
            <w:r>
              <w:rPr/>
              <w:t>     </w:t>
            </w:r>
            <w:r>
              <w:rPr>
                <w:sz w:val="20"/>
              </w:rPr>
              <w:t>Deficit accumulated during the development stage</w:t>
            </w:r>
          </w:p>
        </w:tc>
        <w:tc>
          <w:tcPr>
            <w:tcW w:w="1385" w:type="dxa"/>
            <w:tcBorders/>
            <w:shd w:fill="auto" w:val="clear"/>
          </w:tcPr>
          <w:p>
            <w:pPr>
              <w:pStyle w:val="TableContents"/>
              <w:spacing w:before="0" w:after="283"/>
              <w:jc w:val="right"/>
              <w:rPr>
                <w:sz w:val="20"/>
              </w:rPr>
            </w:pPr>
            <w:r>
              <w:rPr>
                <w:sz w:val="20"/>
              </w:rPr>
              <w:t>(13,786,148)</w:t>
            </w:r>
          </w:p>
        </w:tc>
        <w:tc>
          <w:tcPr>
            <w:tcW w:w="1494" w:type="dxa"/>
            <w:tcBorders/>
            <w:shd w:fill="auto" w:val="clear"/>
          </w:tcPr>
          <w:p>
            <w:pPr>
              <w:pStyle w:val="TableContents"/>
              <w:spacing w:before="0" w:after="283"/>
              <w:jc w:val="right"/>
              <w:rPr>
                <w:sz w:val="20"/>
              </w:rPr>
            </w:pPr>
            <w:r>
              <w:rPr>
                <w:sz w:val="20"/>
              </w:rPr>
              <w:t>(13,420,369)</w:t>
            </w:r>
          </w:p>
        </w:tc>
      </w:tr>
      <w:tr>
        <w:trPr/>
        <w:tc>
          <w:tcPr>
            <w:tcW w:w="7291" w:type="dxa"/>
            <w:tcBorders/>
            <w:shd w:fill="auto" w:val="clear"/>
          </w:tcPr>
          <w:p>
            <w:pPr>
              <w:pStyle w:val="TableContents"/>
              <w:spacing w:before="0" w:after="283"/>
              <w:jc w:val="left"/>
              <w:rPr/>
            </w:pPr>
            <w:r>
              <w:rPr/>
              <w:t>     </w:t>
            </w:r>
            <w:r>
              <w:rPr>
                <w:sz w:val="20"/>
              </w:rPr>
              <w:t>Accumulated other comprehensive loss</w:t>
            </w:r>
          </w:p>
        </w:tc>
        <w:tc>
          <w:tcPr>
            <w:tcW w:w="1385" w:type="dxa"/>
            <w:tcBorders/>
            <w:shd w:fill="auto" w:val="clear"/>
          </w:tcPr>
          <w:p>
            <w:pPr>
              <w:pStyle w:val="TableContents"/>
              <w:spacing w:before="0" w:after="283"/>
              <w:jc w:val="right"/>
              <w:rPr>
                <w:sz w:val="20"/>
              </w:rPr>
            </w:pPr>
            <w:r>
              <w:rPr>
                <w:sz w:val="20"/>
              </w:rPr>
              <w:t>(65,436)</w:t>
            </w:r>
          </w:p>
        </w:tc>
        <w:tc>
          <w:tcPr>
            <w:tcW w:w="1494" w:type="dxa"/>
            <w:tcBorders/>
            <w:shd w:fill="auto" w:val="clear"/>
          </w:tcPr>
          <w:p>
            <w:pPr>
              <w:pStyle w:val="TableContents"/>
              <w:spacing w:before="0" w:after="283"/>
              <w:jc w:val="right"/>
              <w:rPr>
                <w:sz w:val="20"/>
              </w:rPr>
            </w:pPr>
            <w:r>
              <w:rPr>
                <w:sz w:val="20"/>
              </w:rPr>
              <w:t>(66,120)</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(2,090,343)</w:t>
            </w:r>
          </w:p>
        </w:tc>
        <w:tc>
          <w:tcPr>
            <w:tcW w:w="1494" w:type="dxa"/>
            <w:tcBorders/>
            <w:shd w:fill="auto" w:val="clear"/>
          </w:tcPr>
          <w:p>
            <w:pPr>
              <w:pStyle w:val="TableContents"/>
              <w:spacing w:before="0" w:after="283"/>
              <w:jc w:val="right"/>
              <w:rPr>
                <w:sz w:val="20"/>
              </w:rPr>
            </w:pPr>
            <w:r>
              <w:rPr>
                <w:sz w:val="20"/>
              </w:rPr>
              <w:t>(2,219,748)</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243,335 </w:t>
            </w:r>
          </w:p>
        </w:tc>
        <w:tc>
          <w:tcPr>
            <w:tcW w:w="1494" w:type="dxa"/>
            <w:tcBorders/>
            <w:shd w:fill="auto" w:val="clear"/>
          </w:tcPr>
          <w:p>
            <w:pPr>
              <w:pStyle w:val="TableContents"/>
              <w:spacing w:before="0" w:after="283"/>
              <w:jc w:val="right"/>
              <w:rPr>
                <w:sz w:val="20"/>
              </w:rPr>
            </w:pPr>
            <w:r>
              <w:rPr>
                <w:sz w:val="20"/>
              </w:rPr>
              <w:t>$           89,859 </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TextBody"/>
        <w:jc w:val="center"/>
        <w:rPr/>
      </w:pPr>
      <w:r>
        <w:rPr/>
        <w:t>- 2 -</w:t>
      </w:r>
    </w:p>
    <w:p>
      <w:pPr>
        <w:pStyle w:val="HorizontalLine"/>
        <w:pBdr>
          <w:bottom w:val="single" w:sz="18" w:space="0" w:color="808080"/>
        </w:pBdr>
        <w:rPr/>
      </w:pPr>
      <w:r>
        <w:rPr/>
      </w:r>
    </w:p>
    <w:p>
      <w:pPr>
        <w:pStyle w:val="TextBody"/>
        <w:jc w:val="center"/>
        <w:rPr>
          <w:b/>
        </w:rPr>
      </w:pPr>
      <w:r>
        <w:rPr>
          <w:b/>
        </w:rPr>
        <w:t>GENEMAX CORP.</w:t>
      </w:r>
    </w:p>
    <w:p>
      <w:pPr>
        <w:pStyle w:val="TextBody"/>
        <w:jc w:val="center"/>
        <w:rPr>
          <w:b/>
        </w:rPr>
      </w:pPr>
      <w:r>
        <w:rPr>
          <w:b/>
        </w:rPr>
        <w:t>(a development stage company)</w:t>
      </w:r>
    </w:p>
    <w:p>
      <w:pPr>
        <w:pStyle w:val="TextBody"/>
        <w:jc w:val="center"/>
        <w:rPr>
          <w:b/>
        </w:rPr>
      </w:pPr>
      <w:r>
        <w:rPr>
          <w:b/>
        </w:rPr>
        <w:t>CONSOLIDATED STATEMENTS OF OPERATIONS</w:t>
      </w:r>
    </w:p>
    <w:p>
      <w:pPr>
        <w:pStyle w:val="TextBody"/>
        <w:jc w:val="center"/>
        <w:rPr>
          <w:b/>
        </w:rPr>
      </w:pPr>
      <w:r>
        <w:rPr>
          <w:b/>
        </w:rPr>
        <w:t>(Unaudited)</w:t>
      </w:r>
    </w:p>
    <w:tbl>
      <w:tblPr>
        <w:tblW w:w="10980" w:type="dxa"/>
        <w:jc w:val="left"/>
        <w:tblInd w:w="0" w:type="dxa"/>
        <w:tblCellMar>
          <w:top w:w="105" w:type="dxa"/>
          <w:left w:w="105" w:type="dxa"/>
          <w:bottom w:w="105" w:type="dxa"/>
          <w:right w:w="105" w:type="dxa"/>
        </w:tblCellMar>
      </w:tblPr>
      <w:tblGrid>
        <w:gridCol w:w="3740"/>
        <w:gridCol w:w="1411"/>
        <w:gridCol w:w="651"/>
        <w:gridCol w:w="651"/>
        <w:gridCol w:w="1472"/>
        <w:gridCol w:w="1467"/>
        <w:gridCol w:w="108"/>
        <w:gridCol w:w="1480"/>
      </w:tblGrid>
      <w:tr>
        <w:trPr/>
        <w:tc>
          <w:tcPr>
            <w:tcW w:w="3740" w:type="dxa"/>
            <w:tcBorders/>
            <w:shd w:fill="auto" w:val="clear"/>
          </w:tcPr>
          <w:p>
            <w:pPr>
              <w:pStyle w:val="TableContents"/>
              <w:spacing w:before="0" w:after="283"/>
              <w:rPr>
                <w:sz w:val="4"/>
                <w:szCs w:val="4"/>
              </w:rPr>
            </w:pPr>
            <w:r>
              <w:rPr>
                <w:sz w:val="4"/>
                <w:szCs w:val="4"/>
              </w:rPr>
            </w:r>
            <w:bookmarkStart w:id="4" w:name="OLE_LINK5"/>
            <w:bookmarkStart w:id="5" w:name="OLE_LINK5"/>
            <w:bookmarkEnd w:id="5"/>
          </w:p>
        </w:tc>
        <w:tc>
          <w:tcPr>
            <w:tcW w:w="2062" w:type="dxa"/>
            <w:gridSpan w:val="2"/>
            <w:tcBorders/>
            <w:shd w:fill="auto" w:val="clear"/>
          </w:tcPr>
          <w:p>
            <w:pPr>
              <w:pStyle w:val="TableContents"/>
              <w:spacing w:before="0" w:after="283"/>
              <w:jc w:val="center"/>
              <w:rPr>
                <w:sz w:val="20"/>
              </w:rPr>
            </w:pPr>
            <w:r>
              <w:rPr>
                <w:sz w:val="20"/>
              </w:rPr>
            </w:r>
          </w:p>
        </w:tc>
        <w:tc>
          <w:tcPr>
            <w:tcW w:w="3698" w:type="dxa"/>
            <w:gridSpan w:val="4"/>
            <w:tcBorders/>
            <w:shd w:fill="auto" w:val="clear"/>
          </w:tcPr>
          <w:p>
            <w:pPr>
              <w:pStyle w:val="TableContents"/>
              <w:spacing w:before="0" w:after="283"/>
              <w:jc w:val="center"/>
              <w:rPr>
                <w:sz w:val="20"/>
              </w:rPr>
            </w:pPr>
            <w:r>
              <w:rPr>
                <w:sz w:val="20"/>
              </w:rPr>
              <w:br/>
              <w:t xml:space="preserve">Three months ended </w:t>
              <w:br/>
              <w:t>March 31,</w:t>
            </w:r>
          </w:p>
        </w:tc>
        <w:tc>
          <w:tcPr>
            <w:tcW w:w="1480" w:type="dxa"/>
            <w:tcBorders/>
            <w:shd w:fill="auto" w:val="clear"/>
          </w:tcPr>
          <w:p>
            <w:pPr>
              <w:pStyle w:val="TableContents"/>
              <w:spacing w:before="0" w:after="283"/>
              <w:jc w:val="center"/>
              <w:rPr>
                <w:sz w:val="20"/>
              </w:rPr>
            </w:pPr>
            <w:r>
              <w:rPr>
                <w:sz w:val="20"/>
              </w:rPr>
              <w:t>July 27, 1999 (inception) to March 31,</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center"/>
              <w:rPr>
                <w:sz w:val="20"/>
              </w:rPr>
            </w:pPr>
            <w:r>
              <w:rPr>
                <w:sz w:val="20"/>
              </w:rPr>
              <w:t>2006</w:t>
            </w:r>
          </w:p>
        </w:tc>
        <w:tc>
          <w:tcPr>
            <w:tcW w:w="1467" w:type="dxa"/>
            <w:tcBorders/>
            <w:shd w:fill="auto" w:val="clear"/>
          </w:tcPr>
          <w:p>
            <w:pPr>
              <w:pStyle w:val="TableContents"/>
              <w:spacing w:before="0" w:after="283"/>
              <w:jc w:val="center"/>
              <w:rPr>
                <w:sz w:val="20"/>
              </w:rPr>
            </w:pPr>
            <w:r>
              <w:rPr>
                <w:sz w:val="20"/>
              </w:rPr>
              <w:t>2005</w:t>
            </w:r>
          </w:p>
        </w:tc>
        <w:tc>
          <w:tcPr>
            <w:tcW w:w="1588" w:type="dxa"/>
            <w:gridSpan w:val="2"/>
            <w:tcBorders/>
            <w:shd w:fill="auto" w:val="clear"/>
          </w:tcPr>
          <w:p>
            <w:pPr>
              <w:pStyle w:val="TableContents"/>
              <w:spacing w:before="0" w:after="283"/>
              <w:jc w:val="center"/>
              <w:rPr>
                <w:sz w:val="20"/>
              </w:rPr>
            </w:pPr>
            <w:r>
              <w:rPr>
                <w:sz w:val="20"/>
              </w:rPr>
              <w:t>2006</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jc w:val="left"/>
              <w:rPr>
                <w:b/>
                <w:sz w:val="20"/>
              </w:rPr>
            </w:pPr>
            <w:r>
              <w:rPr>
                <w:b/>
                <w:sz w:val="20"/>
              </w:rPr>
              <w:t>INTEREST INCOME</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                  - </w:t>
            </w:r>
          </w:p>
        </w:tc>
        <w:tc>
          <w:tcPr>
            <w:tcW w:w="1467" w:type="dxa"/>
            <w:tcBorders/>
            <w:shd w:fill="auto" w:val="clear"/>
          </w:tcPr>
          <w:p>
            <w:pPr>
              <w:pStyle w:val="TableContents"/>
              <w:spacing w:before="0" w:after="283"/>
              <w:jc w:val="right"/>
              <w:rPr>
                <w:sz w:val="20"/>
              </w:rPr>
            </w:pPr>
            <w:r>
              <w:rPr>
                <w:sz w:val="20"/>
              </w:rPr>
              <w:t>$                   - </w:t>
            </w:r>
          </w:p>
        </w:tc>
        <w:tc>
          <w:tcPr>
            <w:tcW w:w="1588" w:type="dxa"/>
            <w:gridSpan w:val="2"/>
            <w:tcBorders/>
            <w:shd w:fill="auto" w:val="clear"/>
          </w:tcPr>
          <w:p>
            <w:pPr>
              <w:pStyle w:val="TableContents"/>
              <w:spacing w:before="0" w:after="283"/>
              <w:jc w:val="right"/>
              <w:rPr>
                <w:sz w:val="20"/>
              </w:rPr>
            </w:pPr>
            <w:r>
              <w:rPr>
                <w:sz w:val="20"/>
              </w:rPr>
              <w:t>$           30,530 </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jc w:val="left"/>
              <w:rPr>
                <w:b/>
                <w:sz w:val="20"/>
              </w:rPr>
            </w:pPr>
            <w:r>
              <w:rPr>
                <w:b/>
                <w:sz w:val="20"/>
              </w:rPr>
              <w:t>EXPENSES</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jc w:val="left"/>
              <w:rPr/>
            </w:pPr>
            <w:r>
              <w:rPr/>
              <w:t>     </w:t>
            </w:r>
            <w:r>
              <w:rPr>
                <w:sz w:val="20"/>
              </w:rPr>
              <w:t>Consulting fees</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 </w:t>
            </w:r>
          </w:p>
        </w:tc>
        <w:tc>
          <w:tcPr>
            <w:tcW w:w="1467" w:type="dxa"/>
            <w:tcBorders/>
            <w:shd w:fill="auto" w:val="clear"/>
          </w:tcPr>
          <w:p>
            <w:pPr>
              <w:pStyle w:val="TableContents"/>
              <w:spacing w:before="0" w:after="283"/>
              <w:jc w:val="right"/>
              <w:rPr>
                <w:sz w:val="20"/>
              </w:rPr>
            </w:pPr>
            <w:r>
              <w:rPr>
                <w:sz w:val="20"/>
              </w:rPr>
              <w:t>11,895 </w:t>
            </w:r>
          </w:p>
        </w:tc>
        <w:tc>
          <w:tcPr>
            <w:tcW w:w="1588" w:type="dxa"/>
            <w:gridSpan w:val="2"/>
            <w:tcBorders/>
            <w:shd w:fill="auto" w:val="clear"/>
          </w:tcPr>
          <w:p>
            <w:pPr>
              <w:pStyle w:val="TableContents"/>
              <w:spacing w:before="0" w:after="283"/>
              <w:jc w:val="right"/>
              <w:rPr>
                <w:sz w:val="20"/>
              </w:rPr>
            </w:pPr>
            <w:r>
              <w:rPr>
                <w:sz w:val="20"/>
              </w:rPr>
              <w:t>658,323 </w:t>
            </w:r>
          </w:p>
        </w:tc>
      </w:tr>
      <w:tr>
        <w:trPr/>
        <w:tc>
          <w:tcPr>
            <w:tcW w:w="3740" w:type="dxa"/>
            <w:tcBorders/>
            <w:shd w:fill="auto" w:val="clear"/>
          </w:tcPr>
          <w:p>
            <w:pPr>
              <w:pStyle w:val="TableContents"/>
              <w:spacing w:before="0" w:after="283"/>
              <w:jc w:val="left"/>
              <w:rPr/>
            </w:pPr>
            <w:r>
              <w:rPr/>
              <w:t>     </w:t>
            </w:r>
            <w:r>
              <w:rPr>
                <w:sz w:val="20"/>
              </w:rPr>
              <w:t xml:space="preserve">Consulting fees - stock-based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 </w:t>
            </w:r>
          </w:p>
        </w:tc>
        <w:tc>
          <w:tcPr>
            <w:tcW w:w="1467" w:type="dxa"/>
            <w:tcBorders/>
            <w:shd w:fill="auto" w:val="clear"/>
          </w:tcPr>
          <w:p>
            <w:pPr>
              <w:pStyle w:val="TableContents"/>
              <w:spacing w:before="0" w:after="283"/>
              <w:jc w:val="right"/>
              <w:rPr>
                <w:sz w:val="20"/>
              </w:rPr>
            </w:pPr>
            <w:r>
              <w:rPr>
                <w:sz w:val="20"/>
              </w:rPr>
              <w:t>11,875 </w:t>
            </w:r>
          </w:p>
        </w:tc>
        <w:tc>
          <w:tcPr>
            <w:tcW w:w="1588" w:type="dxa"/>
            <w:gridSpan w:val="2"/>
            <w:tcBorders/>
            <w:shd w:fill="auto" w:val="clear"/>
          </w:tcPr>
          <w:p>
            <w:pPr>
              <w:pStyle w:val="TableContents"/>
              <w:spacing w:before="0" w:after="283"/>
              <w:jc w:val="right"/>
              <w:rPr>
                <w:sz w:val="20"/>
              </w:rPr>
            </w:pPr>
            <w:r>
              <w:rPr>
                <w:sz w:val="20"/>
              </w:rPr>
              <w:t>2,824,775 </w:t>
            </w:r>
          </w:p>
        </w:tc>
      </w:tr>
      <w:tr>
        <w:trPr/>
        <w:tc>
          <w:tcPr>
            <w:tcW w:w="3740" w:type="dxa"/>
            <w:tcBorders/>
            <w:shd w:fill="auto" w:val="clear"/>
          </w:tcPr>
          <w:p>
            <w:pPr>
              <w:pStyle w:val="TableContents"/>
              <w:spacing w:before="0" w:after="283"/>
              <w:jc w:val="left"/>
              <w:rPr/>
            </w:pPr>
            <w:r>
              <w:rPr/>
              <w:t>     </w:t>
            </w:r>
            <w:r>
              <w:rPr>
                <w:sz w:val="20"/>
              </w:rPr>
              <w:t>Depreciation</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2,922</w:t>
            </w:r>
          </w:p>
        </w:tc>
        <w:tc>
          <w:tcPr>
            <w:tcW w:w="1467" w:type="dxa"/>
            <w:tcBorders/>
            <w:shd w:fill="auto" w:val="clear"/>
          </w:tcPr>
          <w:p>
            <w:pPr>
              <w:pStyle w:val="TableContents"/>
              <w:spacing w:before="0" w:after="283"/>
              <w:jc w:val="right"/>
              <w:rPr>
                <w:sz w:val="20"/>
              </w:rPr>
            </w:pPr>
            <w:r>
              <w:rPr>
                <w:sz w:val="20"/>
              </w:rPr>
              <w:t>8,753 </w:t>
            </w:r>
          </w:p>
        </w:tc>
        <w:tc>
          <w:tcPr>
            <w:tcW w:w="1588" w:type="dxa"/>
            <w:gridSpan w:val="2"/>
            <w:tcBorders/>
            <w:shd w:fill="auto" w:val="clear"/>
          </w:tcPr>
          <w:p>
            <w:pPr>
              <w:pStyle w:val="TableContents"/>
              <w:spacing w:before="0" w:after="283"/>
              <w:jc w:val="right"/>
              <w:rPr>
                <w:sz w:val="20"/>
              </w:rPr>
            </w:pPr>
            <w:r>
              <w:rPr>
                <w:sz w:val="20"/>
              </w:rPr>
              <w:t>192,585 </w:t>
            </w:r>
          </w:p>
        </w:tc>
      </w:tr>
      <w:tr>
        <w:trPr/>
        <w:tc>
          <w:tcPr>
            <w:tcW w:w="3740" w:type="dxa"/>
            <w:tcBorders/>
            <w:shd w:fill="auto" w:val="clear"/>
          </w:tcPr>
          <w:p>
            <w:pPr>
              <w:pStyle w:val="TableContents"/>
              <w:spacing w:before="0" w:after="283"/>
              <w:jc w:val="left"/>
              <w:rPr/>
            </w:pPr>
            <w:r>
              <w:rPr/>
              <w:t>     </w:t>
            </w:r>
            <w:r>
              <w:rPr>
                <w:sz w:val="20"/>
              </w:rPr>
              <w:t xml:space="preserve">Gain on settlement of debts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w:t>
            </w:r>
          </w:p>
        </w:tc>
        <w:tc>
          <w:tcPr>
            <w:tcW w:w="1467" w:type="dxa"/>
            <w:tcBorders/>
            <w:shd w:fill="auto" w:val="clear"/>
          </w:tcPr>
          <w:p>
            <w:pPr>
              <w:pStyle w:val="TableContents"/>
              <w:spacing w:before="0" w:after="283"/>
              <w:jc w:val="right"/>
              <w:rPr>
                <w:sz w:val="20"/>
              </w:rPr>
            </w:pPr>
            <w:r>
              <w:rPr>
                <w:sz w:val="20"/>
              </w:rPr>
              <w:t>(142,549)</w:t>
            </w:r>
          </w:p>
        </w:tc>
        <w:tc>
          <w:tcPr>
            <w:tcW w:w="1588" w:type="dxa"/>
            <w:gridSpan w:val="2"/>
            <w:tcBorders/>
            <w:shd w:fill="auto" w:val="clear"/>
          </w:tcPr>
          <w:p>
            <w:pPr>
              <w:pStyle w:val="TableContents"/>
              <w:spacing w:before="0" w:after="283"/>
              <w:jc w:val="right"/>
              <w:rPr>
                <w:sz w:val="20"/>
              </w:rPr>
            </w:pPr>
            <w:r>
              <w:rPr>
                <w:sz w:val="20"/>
              </w:rPr>
              <w:t>(142,549)</w:t>
            </w:r>
          </w:p>
        </w:tc>
      </w:tr>
      <w:tr>
        <w:trPr/>
        <w:tc>
          <w:tcPr>
            <w:tcW w:w="3740" w:type="dxa"/>
            <w:tcBorders/>
            <w:shd w:fill="auto" w:val="clear"/>
          </w:tcPr>
          <w:p>
            <w:pPr>
              <w:pStyle w:val="TableContents"/>
              <w:spacing w:before="0" w:after="283"/>
              <w:jc w:val="left"/>
              <w:rPr/>
            </w:pPr>
            <w:r>
              <w:rPr/>
              <w:t>     </w:t>
            </w:r>
            <w:r>
              <w:rPr>
                <w:sz w:val="20"/>
              </w:rPr>
              <w:t>Interest</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243,922</w:t>
            </w:r>
          </w:p>
        </w:tc>
        <w:tc>
          <w:tcPr>
            <w:tcW w:w="1467" w:type="dxa"/>
            <w:tcBorders/>
            <w:shd w:fill="auto" w:val="clear"/>
          </w:tcPr>
          <w:p>
            <w:pPr>
              <w:pStyle w:val="TableContents"/>
              <w:spacing w:before="0" w:after="283"/>
              <w:jc w:val="right"/>
              <w:rPr>
                <w:sz w:val="20"/>
              </w:rPr>
            </w:pPr>
            <w:r>
              <w:rPr>
                <w:sz w:val="20"/>
              </w:rPr>
              <w:t>-</w:t>
            </w:r>
          </w:p>
        </w:tc>
        <w:tc>
          <w:tcPr>
            <w:tcW w:w="1588" w:type="dxa"/>
            <w:gridSpan w:val="2"/>
            <w:tcBorders/>
            <w:shd w:fill="auto" w:val="clear"/>
          </w:tcPr>
          <w:p>
            <w:pPr>
              <w:pStyle w:val="TableContents"/>
              <w:spacing w:before="0" w:after="283"/>
              <w:jc w:val="right"/>
              <w:rPr>
                <w:sz w:val="20"/>
              </w:rPr>
            </w:pPr>
            <w:r>
              <w:rPr>
                <w:sz w:val="20"/>
              </w:rPr>
              <w:t>360,739 </w:t>
            </w:r>
          </w:p>
        </w:tc>
      </w:tr>
      <w:tr>
        <w:trPr/>
        <w:tc>
          <w:tcPr>
            <w:tcW w:w="3740" w:type="dxa"/>
            <w:tcBorders/>
            <w:shd w:fill="auto" w:val="clear"/>
          </w:tcPr>
          <w:p>
            <w:pPr>
              <w:pStyle w:val="TableContents"/>
              <w:spacing w:before="0" w:after="283"/>
              <w:jc w:val="left"/>
              <w:rPr/>
            </w:pPr>
            <w:r>
              <w:rPr/>
              <w:t>     </w:t>
            </w:r>
            <w:r>
              <w:rPr>
                <w:sz w:val="20"/>
              </w:rPr>
              <w:t>Management fees and salaries</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16,016 </w:t>
            </w:r>
          </w:p>
        </w:tc>
        <w:tc>
          <w:tcPr>
            <w:tcW w:w="1467" w:type="dxa"/>
            <w:tcBorders/>
            <w:shd w:fill="auto" w:val="clear"/>
          </w:tcPr>
          <w:p>
            <w:pPr>
              <w:pStyle w:val="TableContents"/>
              <w:spacing w:before="0" w:after="283"/>
              <w:jc w:val="right"/>
              <w:rPr>
                <w:sz w:val="20"/>
              </w:rPr>
            </w:pPr>
            <w:r>
              <w:rPr>
                <w:sz w:val="20"/>
              </w:rPr>
              <w:t>34,321 </w:t>
            </w:r>
          </w:p>
        </w:tc>
        <w:tc>
          <w:tcPr>
            <w:tcW w:w="1588" w:type="dxa"/>
            <w:gridSpan w:val="2"/>
            <w:tcBorders/>
            <w:shd w:fill="auto" w:val="clear"/>
          </w:tcPr>
          <w:p>
            <w:pPr>
              <w:pStyle w:val="TableContents"/>
              <w:spacing w:before="0" w:after="283"/>
              <w:jc w:val="right"/>
              <w:rPr>
                <w:sz w:val="20"/>
              </w:rPr>
            </w:pPr>
            <w:r>
              <w:rPr>
                <w:sz w:val="20"/>
              </w:rPr>
              <w:t>1,127,638 </w:t>
            </w:r>
          </w:p>
        </w:tc>
      </w:tr>
      <w:tr>
        <w:trPr/>
        <w:tc>
          <w:tcPr>
            <w:tcW w:w="3740" w:type="dxa"/>
            <w:tcBorders/>
            <w:shd w:fill="auto" w:val="clear"/>
          </w:tcPr>
          <w:p>
            <w:pPr>
              <w:pStyle w:val="TableContents"/>
              <w:spacing w:before="0" w:after="283"/>
              <w:jc w:val="left"/>
              <w:rPr/>
            </w:pPr>
            <w:r>
              <w:rPr/>
              <w:t>     </w:t>
            </w:r>
            <w:r>
              <w:rPr>
                <w:sz w:val="20"/>
              </w:rPr>
              <w:t>Office and general</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12,844 </w:t>
            </w:r>
          </w:p>
        </w:tc>
        <w:tc>
          <w:tcPr>
            <w:tcW w:w="1467" w:type="dxa"/>
            <w:tcBorders/>
            <w:shd w:fill="auto" w:val="clear"/>
          </w:tcPr>
          <w:p>
            <w:pPr>
              <w:pStyle w:val="TableContents"/>
              <w:spacing w:before="0" w:after="283"/>
              <w:jc w:val="right"/>
              <w:rPr>
                <w:sz w:val="20"/>
              </w:rPr>
            </w:pPr>
            <w:r>
              <w:rPr>
                <w:sz w:val="20"/>
              </w:rPr>
              <w:t>61,509 </w:t>
            </w:r>
          </w:p>
        </w:tc>
        <w:tc>
          <w:tcPr>
            <w:tcW w:w="1588" w:type="dxa"/>
            <w:gridSpan w:val="2"/>
            <w:tcBorders/>
            <w:shd w:fill="auto" w:val="clear"/>
          </w:tcPr>
          <w:p>
            <w:pPr>
              <w:pStyle w:val="TableContents"/>
              <w:spacing w:before="0" w:after="283"/>
              <w:jc w:val="right"/>
              <w:rPr>
                <w:sz w:val="20"/>
              </w:rPr>
            </w:pPr>
            <w:r>
              <w:rPr>
                <w:sz w:val="20"/>
              </w:rPr>
              <w:t>1,601,476 </w:t>
            </w:r>
          </w:p>
        </w:tc>
      </w:tr>
      <w:tr>
        <w:trPr/>
        <w:tc>
          <w:tcPr>
            <w:tcW w:w="3740" w:type="dxa"/>
            <w:tcBorders/>
            <w:shd w:fill="auto" w:val="clear"/>
          </w:tcPr>
          <w:p>
            <w:pPr>
              <w:pStyle w:val="TableContents"/>
              <w:spacing w:before="0" w:after="283"/>
              <w:jc w:val="left"/>
              <w:rPr/>
            </w:pPr>
            <w:r>
              <w:rPr/>
              <w:t>     </w:t>
            </w:r>
            <w:r>
              <w:rPr>
                <w:sz w:val="20"/>
              </w:rPr>
              <w:t xml:space="preserve">Professional fees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59,013 </w:t>
            </w:r>
          </w:p>
        </w:tc>
        <w:tc>
          <w:tcPr>
            <w:tcW w:w="1467" w:type="dxa"/>
            <w:tcBorders/>
            <w:shd w:fill="auto" w:val="clear"/>
          </w:tcPr>
          <w:p>
            <w:pPr>
              <w:pStyle w:val="TableContents"/>
              <w:spacing w:before="0" w:after="283"/>
              <w:jc w:val="right"/>
              <w:rPr>
                <w:sz w:val="20"/>
              </w:rPr>
            </w:pPr>
            <w:r>
              <w:rPr>
                <w:sz w:val="20"/>
              </w:rPr>
              <w:t>29,431 </w:t>
            </w:r>
          </w:p>
        </w:tc>
        <w:tc>
          <w:tcPr>
            <w:tcW w:w="1588" w:type="dxa"/>
            <w:gridSpan w:val="2"/>
            <w:tcBorders/>
            <w:shd w:fill="auto" w:val="clear"/>
          </w:tcPr>
          <w:p>
            <w:pPr>
              <w:pStyle w:val="TableContents"/>
              <w:spacing w:before="0" w:after="283"/>
              <w:jc w:val="right"/>
              <w:rPr>
                <w:sz w:val="20"/>
              </w:rPr>
            </w:pPr>
            <w:r>
              <w:rPr>
                <w:sz w:val="20"/>
              </w:rPr>
              <w:t>1,651,429 </w:t>
            </w:r>
          </w:p>
        </w:tc>
      </w:tr>
      <w:tr>
        <w:trPr/>
        <w:tc>
          <w:tcPr>
            <w:tcW w:w="3740" w:type="dxa"/>
            <w:tcBorders/>
            <w:shd w:fill="auto" w:val="clear"/>
          </w:tcPr>
          <w:p>
            <w:pPr>
              <w:pStyle w:val="TableContents"/>
              <w:spacing w:before="0" w:after="283"/>
              <w:jc w:val="left"/>
              <w:rPr/>
            </w:pPr>
            <w:r>
              <w:rPr/>
              <w:t>     </w:t>
            </w:r>
            <w:r>
              <w:rPr>
                <w:sz w:val="20"/>
              </w:rPr>
              <w:t xml:space="preserve">License fees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w:t>
            </w:r>
          </w:p>
        </w:tc>
        <w:tc>
          <w:tcPr>
            <w:tcW w:w="1467" w:type="dxa"/>
            <w:tcBorders/>
            <w:shd w:fill="auto" w:val="clear"/>
          </w:tcPr>
          <w:p>
            <w:pPr>
              <w:pStyle w:val="TableContents"/>
              <w:spacing w:before="0" w:after="283"/>
              <w:jc w:val="right"/>
              <w:rPr>
                <w:sz w:val="20"/>
              </w:rPr>
            </w:pPr>
            <w:r>
              <w:rPr>
                <w:sz w:val="20"/>
              </w:rPr>
              <w:t>-</w:t>
            </w:r>
          </w:p>
        </w:tc>
        <w:tc>
          <w:tcPr>
            <w:tcW w:w="1588" w:type="dxa"/>
            <w:gridSpan w:val="2"/>
            <w:tcBorders/>
            <w:shd w:fill="auto" w:val="clear"/>
          </w:tcPr>
          <w:p>
            <w:pPr>
              <w:pStyle w:val="TableContents"/>
              <w:spacing w:before="0" w:after="283"/>
              <w:jc w:val="right"/>
              <w:rPr>
                <w:sz w:val="20"/>
              </w:rPr>
            </w:pPr>
            <w:r>
              <w:rPr>
                <w:sz w:val="20"/>
              </w:rPr>
              <w:t>511,222 </w:t>
            </w:r>
          </w:p>
        </w:tc>
      </w:tr>
      <w:tr>
        <w:trPr/>
        <w:tc>
          <w:tcPr>
            <w:tcW w:w="3740" w:type="dxa"/>
            <w:tcBorders/>
            <w:shd w:fill="auto" w:val="clear"/>
          </w:tcPr>
          <w:p>
            <w:pPr>
              <w:pStyle w:val="TableContents"/>
              <w:spacing w:before="0" w:after="283"/>
              <w:jc w:val="left"/>
              <w:rPr/>
            </w:pPr>
            <w:r>
              <w:rPr/>
              <w:t>     </w:t>
            </w:r>
            <w:r>
              <w:rPr>
                <w:sz w:val="20"/>
              </w:rPr>
              <w:t>Research and development</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27,682 </w:t>
            </w:r>
          </w:p>
        </w:tc>
        <w:tc>
          <w:tcPr>
            <w:tcW w:w="1467" w:type="dxa"/>
            <w:tcBorders/>
            <w:shd w:fill="auto" w:val="clear"/>
          </w:tcPr>
          <w:p>
            <w:pPr>
              <w:pStyle w:val="TableContents"/>
              <w:spacing w:before="0" w:after="283"/>
              <w:jc w:val="right"/>
              <w:rPr>
                <w:sz w:val="20"/>
              </w:rPr>
            </w:pPr>
            <w:r>
              <w:rPr>
                <w:sz w:val="20"/>
              </w:rPr>
              <w:t>14,994 </w:t>
            </w:r>
          </w:p>
        </w:tc>
        <w:tc>
          <w:tcPr>
            <w:tcW w:w="1588" w:type="dxa"/>
            <w:gridSpan w:val="2"/>
            <w:tcBorders/>
            <w:shd w:fill="auto" w:val="clear"/>
          </w:tcPr>
          <w:p>
            <w:pPr>
              <w:pStyle w:val="TableContents"/>
              <w:spacing w:before="0" w:after="283"/>
              <w:jc w:val="right"/>
              <w:rPr>
                <w:sz w:val="20"/>
              </w:rPr>
            </w:pPr>
            <w:r>
              <w:rPr>
                <w:sz w:val="20"/>
              </w:rPr>
              <w:t>3,962,777 </w:t>
            </w:r>
          </w:p>
        </w:tc>
      </w:tr>
      <w:tr>
        <w:trPr/>
        <w:tc>
          <w:tcPr>
            <w:tcW w:w="3740" w:type="dxa"/>
            <w:tcBorders/>
            <w:shd w:fill="auto" w:val="clear"/>
          </w:tcPr>
          <w:p>
            <w:pPr>
              <w:pStyle w:val="TableContents"/>
              <w:spacing w:before="0" w:after="283"/>
              <w:jc w:val="left"/>
              <w:rPr/>
            </w:pPr>
            <w:r>
              <w:rPr/>
              <w:t>     </w:t>
            </w:r>
            <w:r>
              <w:rPr>
                <w:sz w:val="20"/>
              </w:rPr>
              <w:t xml:space="preserve">Research and development - stock-based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 </w:t>
            </w:r>
          </w:p>
        </w:tc>
        <w:tc>
          <w:tcPr>
            <w:tcW w:w="1467" w:type="dxa"/>
            <w:tcBorders/>
            <w:shd w:fill="auto" w:val="clear"/>
          </w:tcPr>
          <w:p>
            <w:pPr>
              <w:pStyle w:val="TableContents"/>
              <w:spacing w:before="0" w:after="283"/>
              <w:jc w:val="right"/>
              <w:rPr>
                <w:sz w:val="20"/>
              </w:rPr>
            </w:pPr>
            <w:r>
              <w:rPr>
                <w:sz w:val="20"/>
              </w:rPr>
              <w:t>- </w:t>
            </w:r>
          </w:p>
        </w:tc>
        <w:tc>
          <w:tcPr>
            <w:tcW w:w="1588" w:type="dxa"/>
            <w:gridSpan w:val="2"/>
            <w:tcBorders/>
            <w:shd w:fill="auto" w:val="clear"/>
          </w:tcPr>
          <w:p>
            <w:pPr>
              <w:pStyle w:val="TableContents"/>
              <w:spacing w:before="0" w:after="283"/>
              <w:jc w:val="right"/>
              <w:rPr>
                <w:sz w:val="20"/>
              </w:rPr>
            </w:pPr>
            <w:r>
              <w:rPr>
                <w:sz w:val="20"/>
              </w:rPr>
              <w:t>612,000 </w:t>
            </w:r>
          </w:p>
        </w:tc>
      </w:tr>
      <w:tr>
        <w:trPr/>
        <w:tc>
          <w:tcPr>
            <w:tcW w:w="3740" w:type="dxa"/>
            <w:tcBorders/>
            <w:shd w:fill="auto" w:val="clear"/>
          </w:tcPr>
          <w:p>
            <w:pPr>
              <w:pStyle w:val="TableContents"/>
              <w:spacing w:before="0" w:after="283"/>
              <w:jc w:val="left"/>
              <w:rPr/>
            </w:pPr>
            <w:r>
              <w:rPr/>
              <w:t>     </w:t>
            </w:r>
            <w:r>
              <w:rPr>
                <w:sz w:val="20"/>
              </w:rPr>
              <w:t xml:space="preserve">Transfer agent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3,330 </w:t>
            </w:r>
          </w:p>
        </w:tc>
        <w:tc>
          <w:tcPr>
            <w:tcW w:w="1467" w:type="dxa"/>
            <w:tcBorders/>
            <w:shd w:fill="auto" w:val="clear"/>
          </w:tcPr>
          <w:p>
            <w:pPr>
              <w:pStyle w:val="TableContents"/>
              <w:spacing w:before="0" w:after="283"/>
              <w:jc w:val="right"/>
              <w:rPr>
                <w:sz w:val="20"/>
              </w:rPr>
            </w:pPr>
            <w:r>
              <w:rPr>
                <w:sz w:val="20"/>
              </w:rPr>
              <w:t>1,277 </w:t>
            </w:r>
          </w:p>
        </w:tc>
        <w:tc>
          <w:tcPr>
            <w:tcW w:w="1588" w:type="dxa"/>
            <w:gridSpan w:val="2"/>
            <w:tcBorders/>
            <w:shd w:fill="auto" w:val="clear"/>
          </w:tcPr>
          <w:p>
            <w:pPr>
              <w:pStyle w:val="TableContents"/>
              <w:spacing w:before="0" w:after="283"/>
              <w:jc w:val="right"/>
              <w:rPr>
                <w:sz w:val="20"/>
              </w:rPr>
            </w:pPr>
            <w:r>
              <w:rPr>
                <w:sz w:val="20"/>
              </w:rPr>
              <w:t>248,301 </w:t>
            </w:r>
          </w:p>
        </w:tc>
      </w:tr>
      <w:tr>
        <w:trPr/>
        <w:tc>
          <w:tcPr>
            <w:tcW w:w="3740" w:type="dxa"/>
            <w:tcBorders/>
            <w:shd w:fill="auto" w:val="clear"/>
          </w:tcPr>
          <w:p>
            <w:pPr>
              <w:pStyle w:val="TableContents"/>
              <w:spacing w:before="0" w:after="283"/>
              <w:jc w:val="left"/>
              <w:rPr/>
            </w:pPr>
            <w:r>
              <w:rPr/>
              <w:t>     </w:t>
            </w:r>
            <w:r>
              <w:rPr>
                <w:sz w:val="20"/>
              </w:rPr>
              <w:t>Travel</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50 </w:t>
            </w:r>
          </w:p>
        </w:tc>
        <w:tc>
          <w:tcPr>
            <w:tcW w:w="1467" w:type="dxa"/>
            <w:tcBorders/>
            <w:shd w:fill="auto" w:val="clear"/>
          </w:tcPr>
          <w:p>
            <w:pPr>
              <w:pStyle w:val="TableContents"/>
              <w:spacing w:before="0" w:after="283"/>
              <w:jc w:val="right"/>
              <w:rPr>
                <w:sz w:val="20"/>
              </w:rPr>
            </w:pPr>
            <w:r>
              <w:rPr>
                <w:sz w:val="20"/>
              </w:rPr>
              <w:t>5,309 </w:t>
            </w:r>
          </w:p>
        </w:tc>
        <w:tc>
          <w:tcPr>
            <w:tcW w:w="1588" w:type="dxa"/>
            <w:gridSpan w:val="2"/>
            <w:tcBorders/>
            <w:shd w:fill="auto" w:val="clear"/>
          </w:tcPr>
          <w:p>
            <w:pPr>
              <w:pStyle w:val="TableContents"/>
              <w:spacing w:before="0" w:after="283"/>
              <w:jc w:val="right"/>
              <w:rPr>
                <w:sz w:val="20"/>
              </w:rPr>
            </w:pPr>
            <w:r>
              <w:rPr>
                <w:sz w:val="20"/>
              </w:rPr>
              <w:t>207,962 </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365,779 </w:t>
            </w:r>
          </w:p>
        </w:tc>
        <w:tc>
          <w:tcPr>
            <w:tcW w:w="1467" w:type="dxa"/>
            <w:tcBorders/>
            <w:shd w:fill="auto" w:val="clear"/>
          </w:tcPr>
          <w:p>
            <w:pPr>
              <w:pStyle w:val="TableContents"/>
              <w:spacing w:before="0" w:after="283"/>
              <w:jc w:val="right"/>
              <w:rPr>
                <w:sz w:val="20"/>
              </w:rPr>
            </w:pPr>
            <w:r>
              <w:rPr>
                <w:sz w:val="20"/>
              </w:rPr>
              <w:t>24,940 </w:t>
            </w:r>
          </w:p>
        </w:tc>
        <w:tc>
          <w:tcPr>
            <w:tcW w:w="1588" w:type="dxa"/>
            <w:gridSpan w:val="2"/>
            <w:tcBorders/>
            <w:shd w:fill="auto" w:val="clear"/>
          </w:tcPr>
          <w:p>
            <w:pPr>
              <w:pStyle w:val="TableContents"/>
              <w:spacing w:before="0" w:after="283"/>
              <w:jc w:val="right"/>
              <w:rPr>
                <w:sz w:val="20"/>
              </w:rPr>
            </w:pPr>
            <w:r>
              <w:rPr>
                <w:sz w:val="20"/>
              </w:rPr>
              <w:t>13,816,678 </w:t>
            </w:r>
          </w:p>
        </w:tc>
      </w:tr>
      <w:tr>
        <w:trPr/>
        <w:tc>
          <w:tcPr>
            <w:tcW w:w="3740" w:type="dxa"/>
            <w:tcBorders/>
            <w:shd w:fill="auto" w:val="clear"/>
          </w:tcPr>
          <w:p>
            <w:pPr>
              <w:pStyle w:val="TableContents"/>
              <w:spacing w:before="0" w:after="283"/>
              <w:rPr/>
            </w:pPr>
            <w:r>
              <w:rPr/>
              <w:t> </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rPr/>
            </w:pPr>
            <w:r>
              <w:rPr/>
              <w:t> </w:t>
            </w:r>
          </w:p>
        </w:tc>
        <w:tc>
          <w:tcPr>
            <w:tcW w:w="1467" w:type="dxa"/>
            <w:tcBorders/>
            <w:shd w:fill="auto" w:val="clear"/>
          </w:tcPr>
          <w:p>
            <w:pPr>
              <w:pStyle w:val="TableContents"/>
              <w:spacing w:before="0" w:after="283"/>
              <w:rPr/>
            </w:pPr>
            <w:r>
              <w:rPr/>
              <w:t> </w:t>
            </w:r>
          </w:p>
        </w:tc>
        <w:tc>
          <w:tcPr>
            <w:tcW w:w="1588" w:type="dxa"/>
            <w:gridSpan w:val="2"/>
            <w:tcBorders/>
            <w:shd w:fill="auto" w:val="clear"/>
          </w:tcPr>
          <w:p>
            <w:pPr>
              <w:pStyle w:val="TableContents"/>
              <w:spacing w:before="0" w:after="283"/>
              <w:rPr/>
            </w:pPr>
            <w:r>
              <w:rPr/>
              <w:t> </w:t>
            </w:r>
          </w:p>
        </w:tc>
      </w:tr>
      <w:tr>
        <w:trPr/>
        <w:tc>
          <w:tcPr>
            <w:tcW w:w="3740" w:type="dxa"/>
            <w:tcBorders/>
            <w:shd w:fill="auto" w:val="clear"/>
          </w:tcPr>
          <w:p>
            <w:pPr>
              <w:pStyle w:val="TableContents"/>
              <w:spacing w:before="0" w:after="283"/>
              <w:jc w:val="left"/>
              <w:rPr>
                <w:b/>
                <w:sz w:val="20"/>
              </w:rPr>
            </w:pPr>
            <w:r>
              <w:rPr>
                <w:b/>
                <w:sz w:val="20"/>
              </w:rPr>
              <w:t>NET LOSS</w:t>
            </w:r>
          </w:p>
        </w:tc>
        <w:tc>
          <w:tcPr>
            <w:tcW w:w="1411" w:type="dxa"/>
            <w:tcBorders/>
            <w:shd w:fill="auto" w:val="clear"/>
          </w:tcPr>
          <w:p>
            <w:pPr>
              <w:pStyle w:val="TableContents"/>
              <w:spacing w:before="0" w:after="283"/>
              <w:rPr/>
            </w:pPr>
            <w:r>
              <w:rPr/>
              <w:t> </w:t>
            </w:r>
          </w:p>
        </w:tc>
        <w:tc>
          <w:tcPr>
            <w:tcW w:w="1302" w:type="dxa"/>
            <w:gridSpan w:val="2"/>
            <w:tcBorders/>
            <w:shd w:fill="auto" w:val="clear"/>
          </w:tcPr>
          <w:p>
            <w:pPr>
              <w:pStyle w:val="TableContents"/>
              <w:spacing w:before="0" w:after="283"/>
              <w:rPr/>
            </w:pPr>
            <w:r>
              <w:rPr/>
              <w:t> </w:t>
            </w:r>
          </w:p>
        </w:tc>
        <w:tc>
          <w:tcPr>
            <w:tcW w:w="1472" w:type="dxa"/>
            <w:tcBorders/>
            <w:shd w:fill="auto" w:val="clear"/>
          </w:tcPr>
          <w:p>
            <w:pPr>
              <w:pStyle w:val="TableContents"/>
              <w:spacing w:before="0" w:after="283"/>
              <w:jc w:val="right"/>
              <w:rPr>
                <w:sz w:val="20"/>
              </w:rPr>
            </w:pPr>
            <w:r>
              <w:rPr>
                <w:sz w:val="20"/>
              </w:rPr>
              <w:t>$       (365,779)</w:t>
            </w:r>
          </w:p>
        </w:tc>
        <w:tc>
          <w:tcPr>
            <w:tcW w:w="1467" w:type="dxa"/>
            <w:tcBorders/>
            <w:shd w:fill="auto" w:val="clear"/>
          </w:tcPr>
          <w:p>
            <w:pPr>
              <w:pStyle w:val="TableContents"/>
              <w:spacing w:before="0" w:after="283"/>
              <w:jc w:val="right"/>
              <w:rPr>
                <w:sz w:val="20"/>
              </w:rPr>
            </w:pPr>
            <w:r>
              <w:rPr>
                <w:sz w:val="20"/>
              </w:rPr>
              <w:t>$       (24,940)</w:t>
            </w:r>
          </w:p>
        </w:tc>
        <w:tc>
          <w:tcPr>
            <w:tcW w:w="1588" w:type="dxa"/>
            <w:gridSpan w:val="2"/>
            <w:tcBorders/>
            <w:shd w:fill="auto" w:val="clear"/>
          </w:tcPr>
          <w:p>
            <w:pPr>
              <w:pStyle w:val="TableContents"/>
              <w:spacing w:before="0" w:after="283"/>
              <w:jc w:val="right"/>
              <w:rPr>
                <w:sz w:val="20"/>
              </w:rPr>
            </w:pPr>
            <w:r>
              <w:rPr>
                <w:sz w:val="20"/>
              </w:rPr>
              <w:t>$  (13,786,148)</w:t>
            </w:r>
          </w:p>
        </w:tc>
      </w:tr>
    </w:tbl>
    <w:tbl>
      <w:tblPr>
        <w:tblW w:w="9630" w:type="dxa"/>
        <w:jc w:val="left"/>
        <w:tblInd w:w="0" w:type="dxa"/>
        <w:tblCellMar>
          <w:top w:w="105" w:type="dxa"/>
          <w:left w:w="105" w:type="dxa"/>
          <w:bottom w:w="105" w:type="dxa"/>
          <w:right w:w="105" w:type="dxa"/>
        </w:tblCellMar>
      </w:tblPr>
      <w:tblGrid>
        <w:gridCol w:w="3735"/>
        <w:gridCol w:w="1473"/>
        <w:gridCol w:w="1473"/>
        <w:gridCol w:w="1473"/>
        <w:gridCol w:w="1476"/>
      </w:tblGrid>
      <w:tr>
        <w:trPr/>
        <w:tc>
          <w:tcPr>
            <w:tcW w:w="3735"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 </w:t>
            </w:r>
          </w:p>
        </w:tc>
      </w:tr>
      <w:tr>
        <w:trPr/>
        <w:tc>
          <w:tcPr>
            <w:tcW w:w="5208" w:type="dxa"/>
            <w:gridSpan w:val="2"/>
            <w:tcBorders/>
            <w:shd w:fill="auto" w:val="clear"/>
          </w:tcPr>
          <w:p>
            <w:pPr>
              <w:pStyle w:val="TableContents"/>
              <w:spacing w:before="0" w:after="283"/>
              <w:jc w:val="left"/>
              <w:rPr>
                <w:b/>
                <w:sz w:val="20"/>
              </w:rPr>
            </w:pPr>
            <w:r>
              <w:rPr>
                <w:b/>
                <w:sz w:val="20"/>
              </w:rPr>
              <w:t>BASIC AND DILUTED NET LOSS PER SHARE</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jc w:val="right"/>
              <w:rPr>
                <w:sz w:val="20"/>
              </w:rPr>
            </w:pPr>
            <w:r>
              <w:rPr>
                <w:sz w:val="20"/>
              </w:rPr>
              <w:t>$              (0.03)</w:t>
            </w:r>
          </w:p>
        </w:tc>
        <w:tc>
          <w:tcPr>
            <w:tcW w:w="1476" w:type="dxa"/>
            <w:tcBorders/>
            <w:shd w:fill="auto" w:val="clear"/>
          </w:tcPr>
          <w:p>
            <w:pPr>
              <w:pStyle w:val="TableContents"/>
              <w:spacing w:before="0" w:after="283"/>
              <w:jc w:val="right"/>
              <w:rPr>
                <w:sz w:val="20"/>
              </w:rPr>
            </w:pPr>
            <w:r>
              <w:rPr>
                <w:sz w:val="20"/>
              </w:rPr>
              <w:t>$                   -</w:t>
            </w:r>
          </w:p>
        </w:tc>
      </w:tr>
      <w:tr>
        <w:trPr/>
        <w:tc>
          <w:tcPr>
            <w:tcW w:w="3735"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 </w:t>
            </w:r>
          </w:p>
        </w:tc>
      </w:tr>
      <w:tr>
        <w:trPr/>
        <w:tc>
          <w:tcPr>
            <w:tcW w:w="5208" w:type="dxa"/>
            <w:gridSpan w:val="2"/>
            <w:tcBorders/>
            <w:shd w:fill="auto" w:val="clear"/>
          </w:tcPr>
          <w:p>
            <w:pPr>
              <w:pStyle w:val="TableContents"/>
              <w:jc w:val="left"/>
              <w:rPr>
                <w:b/>
              </w:rPr>
            </w:pPr>
            <w:r>
              <w:rPr>
                <w:b/>
              </w:rPr>
              <w:t>WEIGHTED AVERAGE COMMON SHARES</w:t>
            </w:r>
          </w:p>
          <w:p>
            <w:pPr>
              <w:pStyle w:val="TableContents"/>
              <w:spacing w:before="0" w:after="283"/>
              <w:jc w:val="left"/>
              <w:rPr/>
            </w:pPr>
            <w:r>
              <w:rPr/>
              <w:t>     </w:t>
            </w:r>
            <w:r>
              <w:rPr>
                <w:b/>
                <w:sz w:val="20"/>
              </w:rPr>
              <w:t>OUTSTANDING - BASIC AND DILUTED</w:t>
            </w:r>
          </w:p>
        </w:tc>
        <w:tc>
          <w:tcPr>
            <w:tcW w:w="1473" w:type="dxa"/>
            <w:tcBorders/>
            <w:shd w:fill="auto" w:val="clear"/>
          </w:tcPr>
          <w:p>
            <w:pPr>
              <w:pStyle w:val="TableContents"/>
              <w:spacing w:before="0" w:after="283"/>
              <w:rPr/>
            </w:pPr>
            <w:r>
              <w:rPr/>
              <w:t> </w:t>
            </w:r>
          </w:p>
        </w:tc>
        <w:tc>
          <w:tcPr>
            <w:tcW w:w="1473" w:type="dxa"/>
            <w:tcBorders/>
            <w:shd w:fill="auto" w:val="clear"/>
            <w:vAlign w:val="bottom"/>
          </w:tcPr>
          <w:p>
            <w:pPr>
              <w:pStyle w:val="TableContents"/>
              <w:spacing w:before="0" w:after="283"/>
              <w:jc w:val="right"/>
              <w:rPr>
                <w:sz w:val="20"/>
              </w:rPr>
            </w:pPr>
            <w:r>
              <w:rPr>
                <w:sz w:val="20"/>
              </w:rPr>
              <w:br/>
              <w:t>29,172,176 </w:t>
            </w:r>
          </w:p>
        </w:tc>
        <w:tc>
          <w:tcPr>
            <w:tcW w:w="1476" w:type="dxa"/>
            <w:tcBorders/>
            <w:shd w:fill="auto" w:val="clear"/>
            <w:vAlign w:val="bottom"/>
          </w:tcPr>
          <w:p>
            <w:pPr>
              <w:pStyle w:val="TableContents"/>
              <w:spacing w:before="0" w:after="283"/>
              <w:jc w:val="right"/>
              <w:rPr>
                <w:sz w:val="20"/>
              </w:rPr>
            </w:pPr>
            <w:r>
              <w:rPr>
                <w:sz w:val="20"/>
              </w:rPr>
              <w:br/>
              <w:t>25,343,337 </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TextBody"/>
        <w:jc w:val="center"/>
        <w:rPr/>
      </w:pPr>
      <w:r>
        <w:rPr/>
        <w:t>- 3 -</w:t>
      </w:r>
    </w:p>
    <w:p>
      <w:pPr>
        <w:pStyle w:val="HorizontalLine"/>
        <w:pBdr>
          <w:bottom w:val="single" w:sz="18" w:space="0" w:color="808080"/>
        </w:pBdr>
        <w:rPr/>
      </w:pPr>
      <w:r>
        <w:rPr/>
      </w:r>
    </w:p>
    <w:p>
      <w:pPr>
        <w:pStyle w:val="TextBody"/>
        <w:jc w:val="center"/>
        <w:rPr>
          <w:b/>
        </w:rPr>
      </w:pPr>
      <w:r>
        <w:rPr>
          <w:b/>
        </w:rPr>
        <w:t>GENEMAX CORP.</w:t>
        <w:br/>
        <w:t>(a development stage company)</w:t>
        <w:br/>
        <w:t>CONSOLIDATED STATEMENT OF STOCKHOLDERS' DEFICIT</w:t>
        <w:br/>
        <w:t>FOR THE PERIOD FROM DECEMBER 31, 2005 TO MARCH 31, 2006</w:t>
      </w:r>
    </w:p>
    <w:p>
      <w:pPr>
        <w:pStyle w:val="TextBody"/>
        <w:jc w:val="left"/>
        <w:rPr/>
      </w:pPr>
      <w:r>
        <w:rPr/>
        <w:t> </w:t>
      </w:r>
      <w:r>
        <mc:AlternateContent>
          <mc:Choice Requires="wps">
            <w:drawing>
              <wp:anchor behindDoc="0" distT="0" distB="0" distL="114300" distR="114300" simplePos="0" locked="0" layoutInCell="1" allowOverlap="1" relativeHeight="2">
                <wp:simplePos x="0" y="0"/>
                <wp:positionH relativeFrom="column">
                  <wp:align>left</wp:align>
                </wp:positionH>
                <wp:positionV relativeFrom="line">
                  <wp:posOffset>635</wp:posOffset>
                </wp:positionV>
                <wp:extent cx="7560310" cy="7069455"/>
                <wp:effectExtent l="0" t="0" r="0" b="0"/>
                <wp:wrapSquare wrapText="largest"/>
                <wp:docPr id="1" name="Frame1"/>
                <a:graphic xmlns:a="http://schemas.openxmlformats.org/drawingml/2006/main">
                  <a:graphicData uri="http://schemas.microsoft.com/office/word/2010/wordprocessingShape">
                    <wps:wsp>
                      <wps:cNvSpPr txBox="1"/>
                      <wps:spPr>
                        <a:xfrm>
                          <a:off x="0" y="0"/>
                          <a:ext cx="7560310" cy="7069455"/>
                        </a:xfrm>
                        <a:prstGeom prst="rect"/>
                      </wps:spPr>
                      <wps:txbx>
                        <w:txbxContent>
                          <w:tbl>
                            <w:tblPr>
                              <w:tblW w:w="13320" w:type="dxa"/>
                              <w:jc w:val="left"/>
                              <w:tblInd w:w="0" w:type="dxa"/>
                              <w:tblCellMar>
                                <w:top w:w="105" w:type="dxa"/>
                                <w:left w:w="105" w:type="dxa"/>
                                <w:bottom w:w="105" w:type="dxa"/>
                                <w:right w:w="105" w:type="dxa"/>
                              </w:tblCellMar>
                            </w:tblPr>
                            <w:tblGrid>
                              <w:gridCol w:w="2756"/>
                              <w:gridCol w:w="1390"/>
                              <w:gridCol w:w="1466"/>
                              <w:gridCol w:w="1499"/>
                              <w:gridCol w:w="1357"/>
                              <w:gridCol w:w="75"/>
                              <w:gridCol w:w="849"/>
                              <w:gridCol w:w="839"/>
                              <w:gridCol w:w="861"/>
                              <w:gridCol w:w="720"/>
                              <w:gridCol w:w="1508"/>
                            </w:tblGrid>
                            <w:tr>
                              <w:trPr>
                                <w:trHeight w:val="705" w:hRule="atLeast"/>
                              </w:trPr>
                              <w:tc>
                                <w:tcPr>
                                  <w:tcW w:w="2756" w:type="dxa"/>
                                  <w:tcBorders/>
                                  <w:shd w:fill="auto" w:val="clear"/>
                                </w:tcPr>
                                <w:p>
                                  <w:pPr>
                                    <w:pStyle w:val="TableContents"/>
                                    <w:spacing w:before="0" w:after="283"/>
                                    <w:rPr>
                                      <w:sz w:val="4"/>
                                      <w:szCs w:val="4"/>
                                    </w:rPr>
                                  </w:pPr>
                                  <w:r>
                                    <w:rPr>
                                      <w:sz w:val="4"/>
                                      <w:szCs w:val="4"/>
                                    </w:rPr>
                                  </w:r>
                                </w:p>
                              </w:tc>
                              <w:tc>
                                <w:tcPr>
                                  <w:tcW w:w="2856" w:type="dxa"/>
                                  <w:gridSpan w:val="2"/>
                                  <w:tcBorders/>
                                  <w:shd w:fill="auto" w:val="clear"/>
                                </w:tcPr>
                                <w:p>
                                  <w:pPr>
                                    <w:pStyle w:val="TableContents"/>
                                    <w:spacing w:before="0" w:after="283"/>
                                    <w:jc w:val="center"/>
                                    <w:rPr>
                                      <w:sz w:val="20"/>
                                    </w:rPr>
                                  </w:pPr>
                                  <w:r>
                                    <w:rPr>
                                      <w:sz w:val="20"/>
                                    </w:rPr>
                                    <w:br/>
                                    <w:br/>
                                    <w:t>Common Stock</w:t>
                                  </w:r>
                                </w:p>
                              </w:tc>
                              <w:tc>
                                <w:tcPr>
                                  <w:tcW w:w="1499" w:type="dxa"/>
                                  <w:tcBorders/>
                                  <w:shd w:fill="auto" w:val="clear"/>
                                </w:tcPr>
                                <w:p>
                                  <w:pPr>
                                    <w:pStyle w:val="TableContents"/>
                                    <w:spacing w:before="0" w:after="283"/>
                                    <w:jc w:val="center"/>
                                    <w:rPr>
                                      <w:sz w:val="20"/>
                                    </w:rPr>
                                  </w:pPr>
                                  <w:r>
                                    <w:rPr>
                                      <w:sz w:val="20"/>
                                    </w:rPr>
                                    <w:br/>
                                    <w:br/>
                                    <w:t xml:space="preserve">Additional </w:t>
                                  </w:r>
                                </w:p>
                              </w:tc>
                              <w:tc>
                                <w:tcPr>
                                  <w:tcW w:w="1432" w:type="dxa"/>
                                  <w:gridSpan w:val="2"/>
                                  <w:tcBorders/>
                                  <w:shd w:fill="auto" w:val="clear"/>
                                </w:tcPr>
                                <w:p>
                                  <w:pPr>
                                    <w:pStyle w:val="TableContents"/>
                                    <w:spacing w:before="0" w:after="283"/>
                                    <w:jc w:val="center"/>
                                    <w:rPr>
                                      <w:sz w:val="20"/>
                                    </w:rPr>
                                  </w:pPr>
                                  <w:r>
                                    <w:rPr>
                                      <w:sz w:val="20"/>
                                    </w:rPr>
                                    <w:br/>
                                    <w:t xml:space="preserve">Common Stock </w:t>
                                  </w:r>
                                </w:p>
                              </w:tc>
                              <w:tc>
                                <w:tcPr>
                                  <w:tcW w:w="1688" w:type="dxa"/>
                                  <w:gridSpan w:val="2"/>
                                  <w:tcBorders/>
                                  <w:shd w:fill="auto" w:val="clear"/>
                                </w:tcPr>
                                <w:p>
                                  <w:pPr>
                                    <w:pStyle w:val="TableContents"/>
                                    <w:spacing w:before="0" w:after="283"/>
                                    <w:jc w:val="center"/>
                                    <w:rPr>
                                      <w:sz w:val="20"/>
                                    </w:rPr>
                                  </w:pPr>
                                  <w:r>
                                    <w:rPr>
                                      <w:sz w:val="20"/>
                                    </w:rPr>
                                    <w:t>Deficit Accumulated During the</w:t>
                                  </w:r>
                                </w:p>
                              </w:tc>
                              <w:tc>
                                <w:tcPr>
                                  <w:tcW w:w="1581" w:type="dxa"/>
                                  <w:gridSpan w:val="2"/>
                                  <w:tcBorders/>
                                  <w:shd w:fill="auto" w:val="clear"/>
                                </w:tcPr>
                                <w:p>
                                  <w:pPr>
                                    <w:pStyle w:val="TableContents"/>
                                    <w:spacing w:before="0" w:after="283"/>
                                    <w:jc w:val="center"/>
                                    <w:rPr>
                                      <w:sz w:val="20"/>
                                    </w:rPr>
                                  </w:pPr>
                                  <w:r>
                                    <w:rPr>
                                      <w:sz w:val="20"/>
                                    </w:rPr>
                                    <w:br/>
                                    <w:t xml:space="preserve">Accumulated Other </w:t>
                                  </w:r>
                                </w:p>
                              </w:tc>
                              <w:tc>
                                <w:tcPr>
                                  <w:tcW w:w="1508" w:type="dxa"/>
                                  <w:tcBorders/>
                                  <w:shd w:fill="auto" w:val="clear"/>
                                </w:tcPr>
                                <w:p>
                                  <w:pPr>
                                    <w:pStyle w:val="TableContents"/>
                                    <w:spacing w:before="0" w:after="283"/>
                                    <w:jc w:val="center"/>
                                    <w:rPr>
                                      <w:sz w:val="20"/>
                                    </w:rPr>
                                  </w:pPr>
                                  <w:r>
                                    <w:rPr>
                                      <w:sz w:val="20"/>
                                    </w:rPr>
                                  </w:r>
                                </w:p>
                              </w:tc>
                            </w:tr>
                            <w:tr>
                              <w:trPr>
                                <w:trHeight w:val="690" w:hRule="atLeast"/>
                              </w:trPr>
                              <w:tc>
                                <w:tcPr>
                                  <w:tcW w:w="2756" w:type="dxa"/>
                                  <w:tcBorders/>
                                  <w:shd w:fill="auto" w:val="clear"/>
                                </w:tcPr>
                                <w:p>
                                  <w:pPr>
                                    <w:pStyle w:val="TableContents"/>
                                    <w:spacing w:before="0" w:after="283"/>
                                    <w:rPr>
                                      <w:sz w:val="4"/>
                                      <w:szCs w:val="4"/>
                                    </w:rPr>
                                  </w:pPr>
                                  <w:r>
                                    <w:rPr>
                                      <w:sz w:val="4"/>
                                      <w:szCs w:val="4"/>
                                    </w:rPr>
                                  </w:r>
                                </w:p>
                              </w:tc>
                              <w:tc>
                                <w:tcPr>
                                  <w:tcW w:w="1390" w:type="dxa"/>
                                  <w:tcBorders/>
                                  <w:shd w:fill="auto" w:val="clear"/>
                                </w:tcPr>
                                <w:p>
                                  <w:pPr>
                                    <w:pStyle w:val="TableContents"/>
                                    <w:spacing w:before="0" w:after="283"/>
                                    <w:jc w:val="center"/>
                                    <w:rPr>
                                      <w:sz w:val="20"/>
                                    </w:rPr>
                                  </w:pPr>
                                  <w:r>
                                    <w:rPr>
                                      <w:sz w:val="20"/>
                                    </w:rPr>
                                    <w:t>Number of shares</w:t>
                                  </w:r>
                                </w:p>
                              </w:tc>
                              <w:tc>
                                <w:tcPr>
                                  <w:tcW w:w="1466" w:type="dxa"/>
                                  <w:tcBorders/>
                                  <w:shd w:fill="auto" w:val="clear"/>
                                </w:tcPr>
                                <w:p>
                                  <w:pPr>
                                    <w:pStyle w:val="TableContents"/>
                                    <w:spacing w:before="0" w:after="283"/>
                                    <w:jc w:val="center"/>
                                    <w:rPr>
                                      <w:sz w:val="20"/>
                                    </w:rPr>
                                  </w:pPr>
                                  <w:r>
                                    <w:rPr>
                                      <w:sz w:val="20"/>
                                    </w:rPr>
                                    <w:br/>
                                    <w:t>Amount</w:t>
                                  </w:r>
                                </w:p>
                              </w:tc>
                              <w:tc>
                                <w:tcPr>
                                  <w:tcW w:w="1499" w:type="dxa"/>
                                  <w:tcBorders/>
                                  <w:shd w:fill="auto" w:val="clear"/>
                                </w:tcPr>
                                <w:p>
                                  <w:pPr>
                                    <w:pStyle w:val="TableContents"/>
                                    <w:spacing w:before="0" w:after="283"/>
                                    <w:jc w:val="center"/>
                                    <w:rPr>
                                      <w:sz w:val="20"/>
                                    </w:rPr>
                                  </w:pPr>
                                  <w:r>
                                    <w:rPr>
                                      <w:sz w:val="20"/>
                                    </w:rPr>
                                    <w:t>Paid-in</w:t>
                                    <w:br/>
                                    <w:t>Capital</w:t>
                                  </w:r>
                                </w:p>
                              </w:tc>
                              <w:tc>
                                <w:tcPr>
                                  <w:tcW w:w="1432" w:type="dxa"/>
                                  <w:gridSpan w:val="2"/>
                                  <w:tcBorders/>
                                  <w:shd w:fill="auto" w:val="clear"/>
                                </w:tcPr>
                                <w:p>
                                  <w:pPr>
                                    <w:pStyle w:val="TableContents"/>
                                    <w:spacing w:before="0" w:after="283"/>
                                    <w:jc w:val="center"/>
                                    <w:rPr>
                                      <w:sz w:val="20"/>
                                    </w:rPr>
                                  </w:pPr>
                                  <w:r>
                                    <w:rPr>
                                      <w:sz w:val="20"/>
                                    </w:rPr>
                                    <w:t>Purchase Warrants</w:t>
                                  </w:r>
                                </w:p>
                              </w:tc>
                              <w:tc>
                                <w:tcPr>
                                  <w:tcW w:w="1688" w:type="dxa"/>
                                  <w:gridSpan w:val="2"/>
                                  <w:tcBorders/>
                                  <w:shd w:fill="auto" w:val="clear"/>
                                </w:tcPr>
                                <w:p>
                                  <w:pPr>
                                    <w:pStyle w:val="TableContents"/>
                                    <w:spacing w:before="0" w:after="283"/>
                                    <w:jc w:val="center"/>
                                    <w:rPr>
                                      <w:sz w:val="20"/>
                                    </w:rPr>
                                  </w:pPr>
                                  <w:r>
                                    <w:rPr>
                                      <w:sz w:val="20"/>
                                    </w:rPr>
                                    <w:t>Development Stage</w:t>
                                  </w:r>
                                </w:p>
                              </w:tc>
                              <w:tc>
                                <w:tcPr>
                                  <w:tcW w:w="1581" w:type="dxa"/>
                                  <w:gridSpan w:val="2"/>
                                  <w:tcBorders/>
                                  <w:shd w:fill="auto" w:val="clear"/>
                                </w:tcPr>
                                <w:p>
                                  <w:pPr>
                                    <w:pStyle w:val="TableContents"/>
                                    <w:spacing w:before="0" w:after="283"/>
                                    <w:jc w:val="center"/>
                                    <w:rPr>
                                      <w:sz w:val="20"/>
                                    </w:rPr>
                                  </w:pPr>
                                  <w:r>
                                    <w:rPr>
                                      <w:sz w:val="20"/>
                                    </w:rPr>
                                    <w:t>Comprehensive</w:t>
                                    <w:br/>
                                    <w:t>Loss</w:t>
                                  </w:r>
                                </w:p>
                              </w:tc>
                              <w:tc>
                                <w:tcPr>
                                  <w:tcW w:w="1508" w:type="dxa"/>
                                  <w:tcBorders/>
                                  <w:shd w:fill="auto" w:val="clear"/>
                                </w:tcPr>
                                <w:p>
                                  <w:pPr>
                                    <w:pStyle w:val="TableContents"/>
                                    <w:spacing w:before="0" w:after="283"/>
                                    <w:jc w:val="center"/>
                                    <w:rPr>
                                      <w:sz w:val="20"/>
                                    </w:rPr>
                                  </w:pPr>
                                  <w:r>
                                    <w:rPr>
                                      <w:sz w:val="20"/>
                                    </w:rPr>
                                    <w:br/>
                                    <w:t>Total</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357" w:type="dxa"/>
                                  <w:tcBorders/>
                                  <w:shd w:fill="auto" w:val="clear"/>
                                </w:tcPr>
                                <w:p>
                                  <w:pPr>
                                    <w:pStyle w:val="TableContents"/>
                                    <w:spacing w:before="0" w:after="283"/>
                                    <w:rPr/>
                                  </w:pPr>
                                  <w:r>
                                    <w:rPr/>
                                    <w:t> </w:t>
                                  </w:r>
                                </w:p>
                              </w:tc>
                              <w:tc>
                                <w:tcPr>
                                  <w:tcW w:w="924" w:type="dxa"/>
                                  <w:gridSpan w:val="2"/>
                                  <w:tcBorders/>
                                  <w:shd w:fill="auto" w:val="clear"/>
                                </w:tcPr>
                                <w:p>
                                  <w:pPr>
                                    <w:pStyle w:val="TableContents"/>
                                    <w:spacing w:before="0" w:after="283"/>
                                    <w:rPr/>
                                  </w:pPr>
                                  <w:r>
                                    <w:rPr/>
                                    <w:t> </w:t>
                                  </w:r>
                                </w:p>
                              </w:tc>
                              <w:tc>
                                <w:tcPr>
                                  <w:tcW w:w="1700" w:type="dxa"/>
                                  <w:gridSpan w:val="2"/>
                                  <w:tcBorders/>
                                  <w:shd w:fill="auto" w:val="clear"/>
                                </w:tcPr>
                                <w:p>
                                  <w:pPr>
                                    <w:pStyle w:val="TableContents"/>
                                    <w:spacing w:before="0" w:after="283"/>
                                    <w:rPr/>
                                  </w:pPr>
                                  <w:r>
                                    <w:rPr/>
                                    <w:t> </w:t>
                                  </w:r>
                                </w:p>
                              </w:tc>
                              <w:tc>
                                <w:tcPr>
                                  <w:tcW w:w="2228" w:type="dxa"/>
                                  <w:gridSpan w:val="2"/>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Balance, December 31, 2005</w:t>
                                  </w:r>
                                </w:p>
                              </w:tc>
                              <w:tc>
                                <w:tcPr>
                                  <w:tcW w:w="1390" w:type="dxa"/>
                                  <w:tcBorders/>
                                  <w:shd w:fill="auto" w:val="clear"/>
                                </w:tcPr>
                                <w:p>
                                  <w:pPr>
                                    <w:pStyle w:val="TableContents"/>
                                    <w:spacing w:before="0" w:after="283"/>
                                    <w:jc w:val="right"/>
                                    <w:rPr>
                                      <w:sz w:val="20"/>
                                    </w:rPr>
                                  </w:pPr>
                                  <w:r>
                                    <w:rPr>
                                      <w:sz w:val="20"/>
                                    </w:rPr>
                                    <w:t>29,172,176</w:t>
                                  </w:r>
                                </w:p>
                              </w:tc>
                              <w:tc>
                                <w:tcPr>
                                  <w:tcW w:w="1466" w:type="dxa"/>
                                  <w:tcBorders/>
                                  <w:shd w:fill="auto" w:val="clear"/>
                                </w:tcPr>
                                <w:p>
                                  <w:pPr>
                                    <w:pStyle w:val="TableContents"/>
                                    <w:spacing w:before="0" w:after="283"/>
                                    <w:jc w:val="right"/>
                                    <w:rPr>
                                      <w:sz w:val="20"/>
                                    </w:rPr>
                                  </w:pPr>
                                  <w:r>
                                    <w:rPr>
                                      <w:sz w:val="20"/>
                                    </w:rPr>
                                    <w:t>$        29,172</w:t>
                                  </w:r>
                                </w:p>
                              </w:tc>
                              <w:tc>
                                <w:tcPr>
                                  <w:tcW w:w="1499" w:type="dxa"/>
                                  <w:tcBorders/>
                                  <w:shd w:fill="auto" w:val="clear"/>
                                </w:tcPr>
                                <w:p>
                                  <w:pPr>
                                    <w:pStyle w:val="TableContents"/>
                                    <w:spacing w:before="0" w:after="283"/>
                                    <w:jc w:val="right"/>
                                    <w:rPr>
                                      <w:sz w:val="20"/>
                                    </w:rPr>
                                  </w:pPr>
                                  <w:r>
                                    <w:rPr>
                                      <w:sz w:val="20"/>
                                    </w:rPr>
                                    <w:t>$ 10,379,913</w:t>
                                  </w:r>
                                </w:p>
                              </w:tc>
                              <w:tc>
                                <w:tcPr>
                                  <w:tcW w:w="1432" w:type="dxa"/>
                                  <w:gridSpan w:val="2"/>
                                  <w:tcBorders/>
                                  <w:shd w:fill="auto" w:val="clear"/>
                                </w:tcPr>
                                <w:p>
                                  <w:pPr>
                                    <w:pStyle w:val="TableContents"/>
                                    <w:spacing w:before="0" w:after="283"/>
                                    <w:jc w:val="right"/>
                                    <w:rPr>
                                      <w:sz w:val="20"/>
                                    </w:rPr>
                                  </w:pPr>
                                  <w:r>
                                    <w:rPr>
                                      <w:sz w:val="20"/>
                                    </w:rPr>
                                    <w:t>$    857,656</w:t>
                                  </w:r>
                                </w:p>
                              </w:tc>
                              <w:tc>
                                <w:tcPr>
                                  <w:tcW w:w="1688" w:type="dxa"/>
                                  <w:gridSpan w:val="2"/>
                                  <w:tcBorders/>
                                  <w:shd w:fill="auto" w:val="clear"/>
                                </w:tcPr>
                                <w:p>
                                  <w:pPr>
                                    <w:pStyle w:val="TableContents"/>
                                    <w:spacing w:before="0" w:after="283"/>
                                    <w:jc w:val="right"/>
                                    <w:rPr>
                                      <w:sz w:val="20"/>
                                    </w:rPr>
                                  </w:pPr>
                                  <w:r>
                                    <w:rPr>
                                      <w:sz w:val="20"/>
                                    </w:rPr>
                                    <w:t>$(13,420,369)</w:t>
                                  </w:r>
                                </w:p>
                              </w:tc>
                              <w:tc>
                                <w:tcPr>
                                  <w:tcW w:w="1581" w:type="dxa"/>
                                  <w:gridSpan w:val="2"/>
                                  <w:tcBorders/>
                                  <w:shd w:fill="auto" w:val="clear"/>
                                </w:tcPr>
                                <w:p>
                                  <w:pPr>
                                    <w:pStyle w:val="TableContents"/>
                                    <w:spacing w:before="0" w:after="283"/>
                                    <w:jc w:val="right"/>
                                    <w:rPr>
                                      <w:sz w:val="20"/>
                                    </w:rPr>
                                  </w:pPr>
                                  <w:r>
                                    <w:rPr>
                                      <w:sz w:val="20"/>
                                    </w:rPr>
                                    <w:t>$         (66,120)</w:t>
                                  </w:r>
                                </w:p>
                              </w:tc>
                              <w:tc>
                                <w:tcPr>
                                  <w:tcW w:w="1508" w:type="dxa"/>
                                  <w:tcBorders/>
                                  <w:shd w:fill="auto" w:val="clear"/>
                                </w:tcPr>
                                <w:p>
                                  <w:pPr>
                                    <w:pStyle w:val="TableContents"/>
                                    <w:spacing w:before="0" w:after="283"/>
                                    <w:jc w:val="right"/>
                                    <w:rPr>
                                      <w:sz w:val="20"/>
                                    </w:rPr>
                                  </w:pPr>
                                  <w:r>
                                    <w:rPr>
                                      <w:sz w:val="20"/>
                                    </w:rPr>
                                    <w:t>$(2,219,748)</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432" w:type="dxa"/>
                                  <w:gridSpan w:val="2"/>
                                  <w:tcBorders/>
                                  <w:shd w:fill="auto" w:val="clear"/>
                                </w:tcPr>
                                <w:p>
                                  <w:pPr>
                                    <w:pStyle w:val="TableContents"/>
                                    <w:spacing w:before="0" w:after="283"/>
                                    <w:rPr/>
                                  </w:pPr>
                                  <w:r>
                                    <w:rPr/>
                                    <w:t> </w:t>
                                  </w:r>
                                </w:p>
                              </w:tc>
                              <w:tc>
                                <w:tcPr>
                                  <w:tcW w:w="1688" w:type="dxa"/>
                                  <w:gridSpan w:val="2"/>
                                  <w:tcBorders/>
                                  <w:shd w:fill="auto" w:val="clear"/>
                                </w:tcPr>
                                <w:p>
                                  <w:pPr>
                                    <w:pStyle w:val="TableContents"/>
                                    <w:spacing w:before="0" w:after="283"/>
                                    <w:rPr/>
                                  </w:pPr>
                                  <w:r>
                                    <w:rPr/>
                                    <w:t> </w:t>
                                  </w:r>
                                </w:p>
                              </w:tc>
                              <w:tc>
                                <w:tcPr>
                                  <w:tcW w:w="1581" w:type="dxa"/>
                                  <w:gridSpan w:val="2"/>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Fair value of beneficial conversion feature of 2006 convertible notes (Note 5)</w:t>
                                  </w:r>
                                </w:p>
                              </w:tc>
                              <w:tc>
                                <w:tcPr>
                                  <w:tcW w:w="1390" w:type="dxa"/>
                                  <w:tcBorders/>
                                  <w:shd w:fill="auto" w:val="clear"/>
                                </w:tcPr>
                                <w:p>
                                  <w:pPr>
                                    <w:pStyle w:val="TableContents"/>
                                    <w:spacing w:before="0" w:after="283"/>
                                    <w:jc w:val="right"/>
                                    <w:rPr>
                                      <w:sz w:val="20"/>
                                    </w:rPr>
                                  </w:pPr>
                                  <w:r>
                                    <w:rPr>
                                      <w:sz w:val="20"/>
                                    </w:rPr>
                                    <w:br/>
                                    <w:t>- -</w:t>
                                  </w:r>
                                </w:p>
                              </w:tc>
                              <w:tc>
                                <w:tcPr>
                                  <w:tcW w:w="1466" w:type="dxa"/>
                                  <w:tcBorders/>
                                  <w:shd w:fill="auto" w:val="clear"/>
                                </w:tcPr>
                                <w:p>
                                  <w:pPr>
                                    <w:pStyle w:val="TableContents"/>
                                    <w:spacing w:before="0" w:after="283"/>
                                    <w:jc w:val="right"/>
                                    <w:rPr>
                                      <w:sz w:val="20"/>
                                    </w:rPr>
                                  </w:pPr>
                                  <w:r>
                                    <w:rPr>
                                      <w:sz w:val="20"/>
                                    </w:rPr>
                                    <w:br/>
                                    <w:t>- -</w:t>
                                  </w:r>
                                </w:p>
                              </w:tc>
                              <w:tc>
                                <w:tcPr>
                                  <w:tcW w:w="1499" w:type="dxa"/>
                                  <w:tcBorders/>
                                  <w:shd w:fill="auto" w:val="clear"/>
                                </w:tcPr>
                                <w:p>
                                  <w:pPr>
                                    <w:pStyle w:val="TableContents"/>
                                    <w:spacing w:before="0" w:after="283"/>
                                    <w:jc w:val="right"/>
                                    <w:rPr>
                                      <w:sz w:val="20"/>
                                    </w:rPr>
                                  </w:pPr>
                                  <w:r>
                                    <w:rPr>
                                      <w:sz w:val="20"/>
                                    </w:rPr>
                                    <w:br/>
                                    <w:t>205,579</w:t>
                                  </w:r>
                                </w:p>
                              </w:tc>
                              <w:tc>
                                <w:tcPr>
                                  <w:tcW w:w="1432" w:type="dxa"/>
                                  <w:gridSpan w:val="2"/>
                                  <w:tcBorders/>
                                  <w:shd w:fill="auto" w:val="clear"/>
                                </w:tcPr>
                                <w:p>
                                  <w:pPr>
                                    <w:pStyle w:val="TableContents"/>
                                    <w:spacing w:before="0" w:after="283"/>
                                    <w:jc w:val="right"/>
                                    <w:rPr>
                                      <w:sz w:val="20"/>
                                    </w:rPr>
                                  </w:pPr>
                                  <w:r>
                                    <w:rPr>
                                      <w:sz w:val="20"/>
                                    </w:rPr>
                                    <w:br/>
                                    <w:t>- -</w:t>
                                  </w:r>
                                </w:p>
                              </w:tc>
                              <w:tc>
                                <w:tcPr>
                                  <w:tcW w:w="1688" w:type="dxa"/>
                                  <w:gridSpan w:val="2"/>
                                  <w:tcBorders/>
                                  <w:shd w:fill="auto" w:val="clear"/>
                                </w:tcPr>
                                <w:p>
                                  <w:pPr>
                                    <w:pStyle w:val="TableContents"/>
                                    <w:spacing w:before="0" w:after="283"/>
                                    <w:jc w:val="right"/>
                                    <w:rPr>
                                      <w:sz w:val="20"/>
                                    </w:rPr>
                                  </w:pPr>
                                  <w:r>
                                    <w:rPr>
                                      <w:sz w:val="20"/>
                                    </w:rPr>
                                    <w:br/>
                                    <w:t>- -</w:t>
                                  </w:r>
                                </w:p>
                              </w:tc>
                              <w:tc>
                                <w:tcPr>
                                  <w:tcW w:w="1581" w:type="dxa"/>
                                  <w:gridSpan w:val="2"/>
                                  <w:tcBorders/>
                                  <w:shd w:fill="auto" w:val="clear"/>
                                </w:tcPr>
                                <w:p>
                                  <w:pPr>
                                    <w:pStyle w:val="TableContents"/>
                                    <w:spacing w:before="0" w:after="283"/>
                                    <w:jc w:val="right"/>
                                    <w:rPr>
                                      <w:sz w:val="20"/>
                                    </w:rPr>
                                  </w:pPr>
                                  <w:r>
                                    <w:rPr>
                                      <w:sz w:val="20"/>
                                    </w:rPr>
                                    <w:br/>
                                    <w:t>- -</w:t>
                                  </w:r>
                                </w:p>
                              </w:tc>
                              <w:tc>
                                <w:tcPr>
                                  <w:tcW w:w="1508" w:type="dxa"/>
                                  <w:tcBorders/>
                                  <w:shd w:fill="auto" w:val="clear"/>
                                </w:tcPr>
                                <w:p>
                                  <w:pPr>
                                    <w:pStyle w:val="TableContents"/>
                                    <w:spacing w:before="0" w:after="283"/>
                                    <w:jc w:val="right"/>
                                    <w:rPr>
                                      <w:sz w:val="20"/>
                                    </w:rPr>
                                  </w:pPr>
                                  <w:r>
                                    <w:rPr>
                                      <w:sz w:val="20"/>
                                    </w:rPr>
                                    <w:br/>
                                    <w:t>205,579</w:t>
                                  </w:r>
                                </w:p>
                              </w:tc>
                            </w:tr>
                            <w:tr>
                              <w:trPr/>
                              <w:tc>
                                <w:tcPr>
                                  <w:tcW w:w="2756" w:type="dxa"/>
                                  <w:tcBorders/>
                                  <w:shd w:fill="auto" w:val="clear"/>
                                </w:tcPr>
                                <w:p>
                                  <w:pPr>
                                    <w:pStyle w:val="TableContents"/>
                                    <w:spacing w:before="0" w:after="283"/>
                                    <w:jc w:val="both"/>
                                    <w:rPr>
                                      <w:sz w:val="20"/>
                                    </w:rPr>
                                  </w:pPr>
                                  <w:r>
                                    <w:rPr>
                                      <w:sz w:val="20"/>
                                    </w:rPr>
                                    <w:t>Fair value of warrants issued in connection with 2006 convertible notes (Note 5)</w:t>
                                  </w:r>
                                </w:p>
                              </w:tc>
                              <w:tc>
                                <w:tcPr>
                                  <w:tcW w:w="1390" w:type="dxa"/>
                                  <w:tcBorders/>
                                  <w:shd w:fill="auto" w:val="clear"/>
                                </w:tcPr>
                                <w:p>
                                  <w:pPr>
                                    <w:pStyle w:val="TableContents"/>
                                    <w:spacing w:before="0" w:after="283"/>
                                    <w:jc w:val="right"/>
                                    <w:rPr>
                                      <w:sz w:val="20"/>
                                    </w:rPr>
                                  </w:pPr>
                                  <w:r>
                                    <w:rPr>
                                      <w:sz w:val="20"/>
                                    </w:rPr>
                                    <w:br/>
                                    <w:t>- -</w:t>
                                  </w:r>
                                </w:p>
                              </w:tc>
                              <w:tc>
                                <w:tcPr>
                                  <w:tcW w:w="1466" w:type="dxa"/>
                                  <w:tcBorders/>
                                  <w:shd w:fill="auto" w:val="clear"/>
                                </w:tcPr>
                                <w:p>
                                  <w:pPr>
                                    <w:pStyle w:val="TableContents"/>
                                    <w:spacing w:before="0" w:after="283"/>
                                    <w:jc w:val="right"/>
                                    <w:rPr>
                                      <w:sz w:val="20"/>
                                    </w:rPr>
                                  </w:pPr>
                                  <w:r>
                                    <w:rPr>
                                      <w:sz w:val="20"/>
                                    </w:rPr>
                                    <w:br/>
                                    <w:t>- -</w:t>
                                  </w:r>
                                </w:p>
                              </w:tc>
                              <w:tc>
                                <w:tcPr>
                                  <w:tcW w:w="1499" w:type="dxa"/>
                                  <w:tcBorders/>
                                  <w:shd w:fill="auto" w:val="clear"/>
                                </w:tcPr>
                                <w:p>
                                  <w:pPr>
                                    <w:pStyle w:val="TableContents"/>
                                    <w:spacing w:before="0" w:after="283"/>
                                    <w:jc w:val="right"/>
                                    <w:rPr>
                                      <w:sz w:val="20"/>
                                    </w:rPr>
                                  </w:pPr>
                                  <w:r>
                                    <w:rPr>
                                      <w:sz w:val="20"/>
                                    </w:rPr>
                                    <w:br/>
                                    <w:t>- -</w:t>
                                  </w:r>
                                </w:p>
                              </w:tc>
                              <w:tc>
                                <w:tcPr>
                                  <w:tcW w:w="1432" w:type="dxa"/>
                                  <w:gridSpan w:val="2"/>
                                  <w:tcBorders/>
                                  <w:shd w:fill="auto" w:val="clear"/>
                                </w:tcPr>
                                <w:p>
                                  <w:pPr>
                                    <w:pStyle w:val="TableContents"/>
                                    <w:spacing w:before="0" w:after="283"/>
                                    <w:jc w:val="right"/>
                                    <w:rPr>
                                      <w:sz w:val="20"/>
                                    </w:rPr>
                                  </w:pPr>
                                  <w:r>
                                    <w:rPr>
                                      <w:sz w:val="20"/>
                                    </w:rPr>
                                    <w:br/>
                                    <w:t>288,921</w:t>
                                  </w:r>
                                </w:p>
                              </w:tc>
                              <w:tc>
                                <w:tcPr>
                                  <w:tcW w:w="1688" w:type="dxa"/>
                                  <w:gridSpan w:val="2"/>
                                  <w:tcBorders/>
                                  <w:shd w:fill="auto" w:val="clear"/>
                                </w:tcPr>
                                <w:p>
                                  <w:pPr>
                                    <w:pStyle w:val="TableContents"/>
                                    <w:spacing w:before="0" w:after="283"/>
                                    <w:jc w:val="right"/>
                                    <w:rPr>
                                      <w:sz w:val="20"/>
                                    </w:rPr>
                                  </w:pPr>
                                  <w:r>
                                    <w:rPr>
                                      <w:sz w:val="20"/>
                                    </w:rPr>
                                    <w:br/>
                                    <w:t>- -</w:t>
                                  </w:r>
                                </w:p>
                              </w:tc>
                              <w:tc>
                                <w:tcPr>
                                  <w:tcW w:w="1581" w:type="dxa"/>
                                  <w:gridSpan w:val="2"/>
                                  <w:tcBorders/>
                                  <w:shd w:fill="auto" w:val="clear"/>
                                </w:tcPr>
                                <w:p>
                                  <w:pPr>
                                    <w:pStyle w:val="TableContents"/>
                                    <w:spacing w:before="0" w:after="283"/>
                                    <w:jc w:val="right"/>
                                    <w:rPr>
                                      <w:sz w:val="20"/>
                                    </w:rPr>
                                  </w:pPr>
                                  <w:r>
                                    <w:rPr>
                                      <w:sz w:val="20"/>
                                    </w:rPr>
                                    <w:br/>
                                    <w:t>- -</w:t>
                                  </w:r>
                                </w:p>
                              </w:tc>
                              <w:tc>
                                <w:tcPr>
                                  <w:tcW w:w="1508" w:type="dxa"/>
                                  <w:tcBorders/>
                                  <w:shd w:fill="auto" w:val="clear"/>
                                </w:tcPr>
                                <w:p>
                                  <w:pPr>
                                    <w:pStyle w:val="TableContents"/>
                                    <w:spacing w:before="0" w:after="283"/>
                                    <w:jc w:val="right"/>
                                    <w:rPr>
                                      <w:sz w:val="20"/>
                                    </w:rPr>
                                  </w:pPr>
                                  <w:r>
                                    <w:rPr>
                                      <w:sz w:val="20"/>
                                    </w:rPr>
                                    <w:br/>
                                    <w:t>288,921</w:t>
                                  </w:r>
                                </w:p>
                              </w:tc>
                            </w:tr>
                            <w:tr>
                              <w:trPr/>
                              <w:tc>
                                <w:tcPr>
                                  <w:tcW w:w="2756" w:type="dxa"/>
                                  <w:tcBorders/>
                                  <w:shd w:fill="auto" w:val="clear"/>
                                </w:tcPr>
                                <w:p>
                                  <w:pPr>
                                    <w:pStyle w:val="TableContents"/>
                                    <w:spacing w:before="0" w:after="283"/>
                                    <w:jc w:val="both"/>
                                    <w:rPr>
                                      <w:sz w:val="20"/>
                                    </w:rPr>
                                  </w:pPr>
                                  <w:r>
                                    <w:rPr>
                                      <w:sz w:val="20"/>
                                    </w:rPr>
                                    <w:t>Common stock purchase warrants expired</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280,700</w:t>
                                  </w:r>
                                </w:p>
                              </w:tc>
                              <w:tc>
                                <w:tcPr>
                                  <w:tcW w:w="1432" w:type="dxa"/>
                                  <w:gridSpan w:val="2"/>
                                  <w:tcBorders/>
                                  <w:shd w:fill="auto" w:val="clear"/>
                                </w:tcPr>
                                <w:p>
                                  <w:pPr>
                                    <w:pStyle w:val="TableContents"/>
                                    <w:spacing w:before="0" w:after="283"/>
                                    <w:jc w:val="right"/>
                                    <w:rPr>
                                      <w:sz w:val="20"/>
                                    </w:rPr>
                                  </w:pPr>
                                  <w:r>
                                    <w:rPr>
                                      <w:sz w:val="20"/>
                                    </w:rPr>
                                    <w:t>(280,700)</w:t>
                                  </w:r>
                                </w:p>
                              </w:tc>
                              <w:tc>
                                <w:tcPr>
                                  <w:tcW w:w="1688" w:type="dxa"/>
                                  <w:gridSpan w:val="2"/>
                                  <w:tcBorders/>
                                  <w:shd w:fill="auto" w:val="clear"/>
                                </w:tcPr>
                                <w:p>
                                  <w:pPr>
                                    <w:pStyle w:val="TableContents"/>
                                    <w:spacing w:before="0" w:after="283"/>
                                    <w:jc w:val="right"/>
                                    <w:rPr>
                                      <w:sz w:val="20"/>
                                    </w:rPr>
                                  </w:pPr>
                                  <w:r>
                                    <w:rPr>
                                      <w:sz w:val="20"/>
                                    </w:rPr>
                                    <w:t>-</w:t>
                                  </w:r>
                                </w:p>
                              </w:tc>
                              <w:tc>
                                <w:tcPr>
                                  <w:tcW w:w="1581" w:type="dxa"/>
                                  <w:gridSpan w:val="2"/>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w:t>
                                  </w:r>
                                </w:p>
                              </w:tc>
                            </w:tr>
                            <w:tr>
                              <w:trPr/>
                              <w:tc>
                                <w:tcPr>
                                  <w:tcW w:w="2756" w:type="dxa"/>
                                  <w:tcBorders/>
                                  <w:shd w:fill="auto" w:val="clear"/>
                                </w:tcPr>
                                <w:p>
                                  <w:pPr>
                                    <w:pStyle w:val="TableContents"/>
                                    <w:spacing w:before="0" w:after="283"/>
                                    <w:jc w:val="both"/>
                                    <w:rPr>
                                      <w:sz w:val="20"/>
                                    </w:rPr>
                                  </w:pPr>
                                  <w:r>
                                    <w:rPr>
                                      <w:sz w:val="20"/>
                                    </w:rPr>
                                    <w:t>Net loss</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w:t>
                                  </w:r>
                                </w:p>
                              </w:tc>
                              <w:tc>
                                <w:tcPr>
                                  <w:tcW w:w="1432" w:type="dxa"/>
                                  <w:gridSpan w:val="2"/>
                                  <w:tcBorders/>
                                  <w:shd w:fill="auto" w:val="clear"/>
                                </w:tcPr>
                                <w:p>
                                  <w:pPr>
                                    <w:pStyle w:val="TableContents"/>
                                    <w:spacing w:before="0" w:after="283"/>
                                    <w:jc w:val="right"/>
                                    <w:rPr>
                                      <w:sz w:val="20"/>
                                    </w:rPr>
                                  </w:pPr>
                                  <w:r>
                                    <w:rPr>
                                      <w:sz w:val="20"/>
                                    </w:rPr>
                                    <w:t>-</w:t>
                                  </w:r>
                                </w:p>
                              </w:tc>
                              <w:tc>
                                <w:tcPr>
                                  <w:tcW w:w="1688" w:type="dxa"/>
                                  <w:gridSpan w:val="2"/>
                                  <w:tcBorders/>
                                  <w:shd w:fill="auto" w:val="clear"/>
                                </w:tcPr>
                                <w:p>
                                  <w:pPr>
                                    <w:pStyle w:val="TableContents"/>
                                    <w:spacing w:before="0" w:after="283"/>
                                    <w:jc w:val="right"/>
                                    <w:rPr>
                                      <w:sz w:val="20"/>
                                    </w:rPr>
                                  </w:pPr>
                                  <w:r>
                                    <w:rPr>
                                      <w:sz w:val="20"/>
                                    </w:rPr>
                                    <w:t>(365,779)</w:t>
                                  </w:r>
                                </w:p>
                              </w:tc>
                              <w:tc>
                                <w:tcPr>
                                  <w:tcW w:w="1581" w:type="dxa"/>
                                  <w:gridSpan w:val="2"/>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(365,779)</w:t>
                                  </w:r>
                                </w:p>
                              </w:tc>
                            </w:tr>
                            <w:tr>
                              <w:trPr/>
                              <w:tc>
                                <w:tcPr>
                                  <w:tcW w:w="2756" w:type="dxa"/>
                                  <w:tcBorders/>
                                  <w:shd w:fill="auto" w:val="clear"/>
                                </w:tcPr>
                                <w:p>
                                  <w:pPr>
                                    <w:pStyle w:val="TableContents"/>
                                    <w:spacing w:before="0" w:after="283"/>
                                    <w:jc w:val="both"/>
                                    <w:rPr>
                                      <w:sz w:val="20"/>
                                    </w:rPr>
                                  </w:pPr>
                                  <w:r>
                                    <w:rPr>
                                      <w:sz w:val="20"/>
                                    </w:rPr>
                                    <w:t>Currency translation adjustment</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w:t>
                                  </w:r>
                                </w:p>
                              </w:tc>
                              <w:tc>
                                <w:tcPr>
                                  <w:tcW w:w="1432" w:type="dxa"/>
                                  <w:gridSpan w:val="2"/>
                                  <w:tcBorders/>
                                  <w:shd w:fill="auto" w:val="clear"/>
                                </w:tcPr>
                                <w:p>
                                  <w:pPr>
                                    <w:pStyle w:val="TableContents"/>
                                    <w:spacing w:before="0" w:after="283"/>
                                    <w:jc w:val="right"/>
                                    <w:rPr>
                                      <w:sz w:val="20"/>
                                    </w:rPr>
                                  </w:pPr>
                                  <w:r>
                                    <w:rPr>
                                      <w:sz w:val="20"/>
                                    </w:rPr>
                                    <w:t>-</w:t>
                                  </w:r>
                                </w:p>
                              </w:tc>
                              <w:tc>
                                <w:tcPr>
                                  <w:tcW w:w="1688" w:type="dxa"/>
                                  <w:gridSpan w:val="2"/>
                                  <w:tcBorders/>
                                  <w:shd w:fill="auto" w:val="clear"/>
                                </w:tcPr>
                                <w:p>
                                  <w:pPr>
                                    <w:pStyle w:val="TableContents"/>
                                    <w:spacing w:before="0" w:after="283"/>
                                    <w:jc w:val="right"/>
                                    <w:rPr>
                                      <w:sz w:val="20"/>
                                    </w:rPr>
                                  </w:pPr>
                                  <w:r>
                                    <w:rPr>
                                      <w:sz w:val="20"/>
                                    </w:rPr>
                                    <w:t>-</w:t>
                                  </w:r>
                                </w:p>
                              </w:tc>
                              <w:tc>
                                <w:tcPr>
                                  <w:tcW w:w="1581" w:type="dxa"/>
                                  <w:gridSpan w:val="2"/>
                                  <w:tcBorders/>
                                  <w:shd w:fill="auto" w:val="clear"/>
                                </w:tcPr>
                                <w:p>
                                  <w:pPr>
                                    <w:pStyle w:val="TableContents"/>
                                    <w:spacing w:before="0" w:after="283"/>
                                    <w:jc w:val="right"/>
                                    <w:rPr>
                                      <w:sz w:val="20"/>
                                    </w:rPr>
                                  </w:pPr>
                                  <w:r>
                                    <w:rPr>
                                      <w:sz w:val="20"/>
                                    </w:rPr>
                                    <w:t>684</w:t>
                                  </w:r>
                                </w:p>
                              </w:tc>
                              <w:tc>
                                <w:tcPr>
                                  <w:tcW w:w="1508" w:type="dxa"/>
                                  <w:tcBorders/>
                                  <w:shd w:fill="auto" w:val="clear"/>
                                </w:tcPr>
                                <w:p>
                                  <w:pPr>
                                    <w:pStyle w:val="TableContents"/>
                                    <w:spacing w:before="0" w:after="283"/>
                                    <w:jc w:val="right"/>
                                    <w:rPr>
                                      <w:sz w:val="20"/>
                                    </w:rPr>
                                  </w:pPr>
                                  <w:r>
                                    <w:rPr>
                                      <w:sz w:val="20"/>
                                    </w:rPr>
                                    <w:t>684</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432" w:type="dxa"/>
                                  <w:gridSpan w:val="2"/>
                                  <w:tcBorders/>
                                  <w:shd w:fill="auto" w:val="clear"/>
                                </w:tcPr>
                                <w:p>
                                  <w:pPr>
                                    <w:pStyle w:val="TableContents"/>
                                    <w:spacing w:before="0" w:after="283"/>
                                    <w:rPr/>
                                  </w:pPr>
                                  <w:r>
                                    <w:rPr/>
                                    <w:t> </w:t>
                                  </w:r>
                                </w:p>
                              </w:tc>
                              <w:tc>
                                <w:tcPr>
                                  <w:tcW w:w="1688" w:type="dxa"/>
                                  <w:gridSpan w:val="2"/>
                                  <w:tcBorders/>
                                  <w:shd w:fill="auto" w:val="clear"/>
                                </w:tcPr>
                                <w:p>
                                  <w:pPr>
                                    <w:pStyle w:val="TableContents"/>
                                    <w:spacing w:before="0" w:after="283"/>
                                    <w:rPr/>
                                  </w:pPr>
                                  <w:r>
                                    <w:rPr/>
                                    <w:t> </w:t>
                                  </w:r>
                                </w:p>
                              </w:tc>
                              <w:tc>
                                <w:tcPr>
                                  <w:tcW w:w="1581" w:type="dxa"/>
                                  <w:gridSpan w:val="2"/>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Balance, March 31, 2006 (unaudited)</w:t>
                                  </w:r>
                                </w:p>
                              </w:tc>
                              <w:tc>
                                <w:tcPr>
                                  <w:tcW w:w="1390" w:type="dxa"/>
                                  <w:tcBorders/>
                                  <w:shd w:fill="auto" w:val="clear"/>
                                </w:tcPr>
                                <w:p>
                                  <w:pPr>
                                    <w:pStyle w:val="TableContents"/>
                                    <w:spacing w:before="0" w:after="283"/>
                                    <w:jc w:val="right"/>
                                    <w:rPr>
                                      <w:sz w:val="20"/>
                                    </w:rPr>
                                  </w:pPr>
                                  <w:r>
                                    <w:rPr>
                                      <w:sz w:val="20"/>
                                    </w:rPr>
                                    <w:t>29,172,176</w:t>
                                  </w:r>
                                </w:p>
                              </w:tc>
                              <w:tc>
                                <w:tcPr>
                                  <w:tcW w:w="1466" w:type="dxa"/>
                                  <w:tcBorders/>
                                  <w:shd w:fill="auto" w:val="clear"/>
                                </w:tcPr>
                                <w:p>
                                  <w:pPr>
                                    <w:pStyle w:val="TableContents"/>
                                    <w:spacing w:before="0" w:after="283"/>
                                    <w:jc w:val="right"/>
                                    <w:rPr>
                                      <w:sz w:val="20"/>
                                    </w:rPr>
                                  </w:pPr>
                                  <w:r>
                                    <w:rPr>
                                      <w:sz w:val="20"/>
                                    </w:rPr>
                                    <w:t>$       29,172</w:t>
                                  </w:r>
                                </w:p>
                              </w:tc>
                              <w:tc>
                                <w:tcPr>
                                  <w:tcW w:w="1499" w:type="dxa"/>
                                  <w:tcBorders/>
                                  <w:shd w:fill="auto" w:val="clear"/>
                                </w:tcPr>
                                <w:p>
                                  <w:pPr>
                                    <w:pStyle w:val="TableContents"/>
                                    <w:spacing w:before="0" w:after="283"/>
                                    <w:jc w:val="right"/>
                                    <w:rPr>
                                      <w:sz w:val="20"/>
                                    </w:rPr>
                                  </w:pPr>
                                  <w:r>
                                    <w:rPr>
                                      <w:sz w:val="20"/>
                                    </w:rPr>
                                    <w:t>$ 10,866,192</w:t>
                                  </w:r>
                                </w:p>
                              </w:tc>
                              <w:tc>
                                <w:tcPr>
                                  <w:tcW w:w="1432" w:type="dxa"/>
                                  <w:gridSpan w:val="2"/>
                                  <w:tcBorders/>
                                  <w:shd w:fill="auto" w:val="clear"/>
                                </w:tcPr>
                                <w:p>
                                  <w:pPr>
                                    <w:pStyle w:val="TableContents"/>
                                    <w:spacing w:before="0" w:after="283"/>
                                    <w:jc w:val="right"/>
                                    <w:rPr>
                                      <w:sz w:val="20"/>
                                    </w:rPr>
                                  </w:pPr>
                                  <w:r>
                                    <w:rPr>
                                      <w:sz w:val="20"/>
                                    </w:rPr>
                                    <w:t>$    865,877</w:t>
                                  </w:r>
                                </w:p>
                              </w:tc>
                              <w:tc>
                                <w:tcPr>
                                  <w:tcW w:w="1688" w:type="dxa"/>
                                  <w:gridSpan w:val="2"/>
                                  <w:tcBorders/>
                                  <w:shd w:fill="auto" w:val="clear"/>
                                </w:tcPr>
                                <w:p>
                                  <w:pPr>
                                    <w:pStyle w:val="TableContents"/>
                                    <w:spacing w:before="0" w:after="283"/>
                                    <w:jc w:val="right"/>
                                    <w:rPr>
                                      <w:sz w:val="20"/>
                                    </w:rPr>
                                  </w:pPr>
                                  <w:r>
                                    <w:rPr>
                                      <w:sz w:val="20"/>
                                    </w:rPr>
                                    <w:t>$(13,786,148)</w:t>
                                  </w:r>
                                </w:p>
                              </w:tc>
                              <w:tc>
                                <w:tcPr>
                                  <w:tcW w:w="1581" w:type="dxa"/>
                                  <w:gridSpan w:val="2"/>
                                  <w:tcBorders/>
                                  <w:shd w:fill="auto" w:val="clear"/>
                                </w:tcPr>
                                <w:p>
                                  <w:pPr>
                                    <w:pStyle w:val="TableContents"/>
                                    <w:spacing w:before="0" w:after="283"/>
                                    <w:jc w:val="right"/>
                                    <w:rPr>
                                      <w:sz w:val="20"/>
                                    </w:rPr>
                                  </w:pPr>
                                  <w:r>
                                    <w:rPr>
                                      <w:sz w:val="20"/>
                                    </w:rPr>
                                    <w:t>$        (65,436)</w:t>
                                  </w:r>
                                </w:p>
                              </w:tc>
                              <w:tc>
                                <w:tcPr>
                                  <w:tcW w:w="1508" w:type="dxa"/>
                                  <w:tcBorders/>
                                  <w:shd w:fill="auto" w:val="clear"/>
                                </w:tcPr>
                                <w:p>
                                  <w:pPr>
                                    <w:pStyle w:val="TableContents"/>
                                    <w:spacing w:before="0" w:after="283"/>
                                    <w:jc w:val="right"/>
                                    <w:rPr>
                                      <w:sz w:val="20"/>
                                    </w:rPr>
                                  </w:pPr>
                                  <w:r>
                                    <w:rPr>
                                      <w:sz w:val="20"/>
                                    </w:rPr>
                                    <w:t>$(2,090,343)</w:t>
                                  </w:r>
                                </w:p>
                              </w:tc>
                            </w:tr>
                          </w:tbl>
                        </w:txbxContent>
                      </wps:txbx>
                      <wps:bodyPr anchor="t" lIns="0" tIns="0" rIns="0" bIns="0">
                        <a:noAutofit/>
                      </wps:bodyPr>
                    </wps:wsp>
                  </a:graphicData>
                </a:graphic>
              </wp:anchor>
            </w:drawing>
          </mc:Choice>
          <mc:Fallback>
            <w:pict>
              <v:rect style="position:absolute;rotation:0;width:595.3pt;height:556.65pt;mso-wrap-distance-left:9pt;mso-wrap-distance-right:9pt;mso-wrap-distance-top:0pt;mso-wrap-distance-bottom:0pt;margin-top:0pt;mso-position-vertical:top;mso-position-vertical-relative:text;margin-left:-56.7pt;mso-position-horizontal:left;mso-position-horizontal-relative:text">
                <v:textbox>
                  <w:txbxContent>
                    <w:tbl>
                      <w:tblPr>
                        <w:tblW w:w="13320" w:type="dxa"/>
                        <w:jc w:val="left"/>
                        <w:tblInd w:w="0" w:type="dxa"/>
                        <w:tblCellMar>
                          <w:top w:w="105" w:type="dxa"/>
                          <w:left w:w="105" w:type="dxa"/>
                          <w:bottom w:w="105" w:type="dxa"/>
                          <w:right w:w="105" w:type="dxa"/>
                        </w:tblCellMar>
                      </w:tblPr>
                      <w:tblGrid>
                        <w:gridCol w:w="2756"/>
                        <w:gridCol w:w="1390"/>
                        <w:gridCol w:w="1466"/>
                        <w:gridCol w:w="1499"/>
                        <w:gridCol w:w="1357"/>
                        <w:gridCol w:w="75"/>
                        <w:gridCol w:w="849"/>
                        <w:gridCol w:w="839"/>
                        <w:gridCol w:w="861"/>
                        <w:gridCol w:w="720"/>
                        <w:gridCol w:w="1508"/>
                      </w:tblGrid>
                      <w:tr>
                        <w:trPr>
                          <w:trHeight w:val="705" w:hRule="atLeast"/>
                        </w:trPr>
                        <w:tc>
                          <w:tcPr>
                            <w:tcW w:w="2756" w:type="dxa"/>
                            <w:tcBorders/>
                            <w:shd w:fill="auto" w:val="clear"/>
                          </w:tcPr>
                          <w:p>
                            <w:pPr>
                              <w:pStyle w:val="TableContents"/>
                              <w:spacing w:before="0" w:after="283"/>
                              <w:rPr>
                                <w:sz w:val="4"/>
                                <w:szCs w:val="4"/>
                              </w:rPr>
                            </w:pPr>
                            <w:r>
                              <w:rPr>
                                <w:sz w:val="4"/>
                                <w:szCs w:val="4"/>
                              </w:rPr>
                            </w:r>
                          </w:p>
                        </w:tc>
                        <w:tc>
                          <w:tcPr>
                            <w:tcW w:w="2856" w:type="dxa"/>
                            <w:gridSpan w:val="2"/>
                            <w:tcBorders/>
                            <w:shd w:fill="auto" w:val="clear"/>
                          </w:tcPr>
                          <w:p>
                            <w:pPr>
                              <w:pStyle w:val="TableContents"/>
                              <w:spacing w:before="0" w:after="283"/>
                              <w:jc w:val="center"/>
                              <w:rPr>
                                <w:sz w:val="20"/>
                              </w:rPr>
                            </w:pPr>
                            <w:r>
                              <w:rPr>
                                <w:sz w:val="20"/>
                              </w:rPr>
                              <w:br/>
                              <w:br/>
                              <w:t>Common Stock</w:t>
                            </w:r>
                          </w:p>
                        </w:tc>
                        <w:tc>
                          <w:tcPr>
                            <w:tcW w:w="1499" w:type="dxa"/>
                            <w:tcBorders/>
                            <w:shd w:fill="auto" w:val="clear"/>
                          </w:tcPr>
                          <w:p>
                            <w:pPr>
                              <w:pStyle w:val="TableContents"/>
                              <w:spacing w:before="0" w:after="283"/>
                              <w:jc w:val="center"/>
                              <w:rPr>
                                <w:sz w:val="20"/>
                              </w:rPr>
                            </w:pPr>
                            <w:r>
                              <w:rPr>
                                <w:sz w:val="20"/>
                              </w:rPr>
                              <w:br/>
                              <w:br/>
                              <w:t xml:space="preserve">Additional </w:t>
                            </w:r>
                          </w:p>
                        </w:tc>
                        <w:tc>
                          <w:tcPr>
                            <w:tcW w:w="1432" w:type="dxa"/>
                            <w:gridSpan w:val="2"/>
                            <w:tcBorders/>
                            <w:shd w:fill="auto" w:val="clear"/>
                          </w:tcPr>
                          <w:p>
                            <w:pPr>
                              <w:pStyle w:val="TableContents"/>
                              <w:spacing w:before="0" w:after="283"/>
                              <w:jc w:val="center"/>
                              <w:rPr>
                                <w:sz w:val="20"/>
                              </w:rPr>
                            </w:pPr>
                            <w:r>
                              <w:rPr>
                                <w:sz w:val="20"/>
                              </w:rPr>
                              <w:br/>
                              <w:t xml:space="preserve">Common Stock </w:t>
                            </w:r>
                          </w:p>
                        </w:tc>
                        <w:tc>
                          <w:tcPr>
                            <w:tcW w:w="1688" w:type="dxa"/>
                            <w:gridSpan w:val="2"/>
                            <w:tcBorders/>
                            <w:shd w:fill="auto" w:val="clear"/>
                          </w:tcPr>
                          <w:p>
                            <w:pPr>
                              <w:pStyle w:val="TableContents"/>
                              <w:spacing w:before="0" w:after="283"/>
                              <w:jc w:val="center"/>
                              <w:rPr>
                                <w:sz w:val="20"/>
                              </w:rPr>
                            </w:pPr>
                            <w:r>
                              <w:rPr>
                                <w:sz w:val="20"/>
                              </w:rPr>
                              <w:t>Deficit Accumulated During the</w:t>
                            </w:r>
                          </w:p>
                        </w:tc>
                        <w:tc>
                          <w:tcPr>
                            <w:tcW w:w="1581" w:type="dxa"/>
                            <w:gridSpan w:val="2"/>
                            <w:tcBorders/>
                            <w:shd w:fill="auto" w:val="clear"/>
                          </w:tcPr>
                          <w:p>
                            <w:pPr>
                              <w:pStyle w:val="TableContents"/>
                              <w:spacing w:before="0" w:after="283"/>
                              <w:jc w:val="center"/>
                              <w:rPr>
                                <w:sz w:val="20"/>
                              </w:rPr>
                            </w:pPr>
                            <w:r>
                              <w:rPr>
                                <w:sz w:val="20"/>
                              </w:rPr>
                              <w:br/>
                              <w:t xml:space="preserve">Accumulated Other </w:t>
                            </w:r>
                          </w:p>
                        </w:tc>
                        <w:tc>
                          <w:tcPr>
                            <w:tcW w:w="1508" w:type="dxa"/>
                            <w:tcBorders/>
                            <w:shd w:fill="auto" w:val="clear"/>
                          </w:tcPr>
                          <w:p>
                            <w:pPr>
                              <w:pStyle w:val="TableContents"/>
                              <w:spacing w:before="0" w:after="283"/>
                              <w:jc w:val="center"/>
                              <w:rPr>
                                <w:sz w:val="20"/>
                              </w:rPr>
                            </w:pPr>
                            <w:r>
                              <w:rPr>
                                <w:sz w:val="20"/>
                              </w:rPr>
                            </w:r>
                          </w:p>
                        </w:tc>
                      </w:tr>
                      <w:tr>
                        <w:trPr>
                          <w:trHeight w:val="690" w:hRule="atLeast"/>
                        </w:trPr>
                        <w:tc>
                          <w:tcPr>
                            <w:tcW w:w="2756" w:type="dxa"/>
                            <w:tcBorders/>
                            <w:shd w:fill="auto" w:val="clear"/>
                          </w:tcPr>
                          <w:p>
                            <w:pPr>
                              <w:pStyle w:val="TableContents"/>
                              <w:spacing w:before="0" w:after="283"/>
                              <w:rPr>
                                <w:sz w:val="4"/>
                                <w:szCs w:val="4"/>
                              </w:rPr>
                            </w:pPr>
                            <w:r>
                              <w:rPr>
                                <w:sz w:val="4"/>
                                <w:szCs w:val="4"/>
                              </w:rPr>
                            </w:r>
                          </w:p>
                        </w:tc>
                        <w:tc>
                          <w:tcPr>
                            <w:tcW w:w="1390" w:type="dxa"/>
                            <w:tcBorders/>
                            <w:shd w:fill="auto" w:val="clear"/>
                          </w:tcPr>
                          <w:p>
                            <w:pPr>
                              <w:pStyle w:val="TableContents"/>
                              <w:spacing w:before="0" w:after="283"/>
                              <w:jc w:val="center"/>
                              <w:rPr>
                                <w:sz w:val="20"/>
                              </w:rPr>
                            </w:pPr>
                            <w:r>
                              <w:rPr>
                                <w:sz w:val="20"/>
                              </w:rPr>
                              <w:t>Number of shares</w:t>
                            </w:r>
                          </w:p>
                        </w:tc>
                        <w:tc>
                          <w:tcPr>
                            <w:tcW w:w="1466" w:type="dxa"/>
                            <w:tcBorders/>
                            <w:shd w:fill="auto" w:val="clear"/>
                          </w:tcPr>
                          <w:p>
                            <w:pPr>
                              <w:pStyle w:val="TableContents"/>
                              <w:spacing w:before="0" w:after="283"/>
                              <w:jc w:val="center"/>
                              <w:rPr>
                                <w:sz w:val="20"/>
                              </w:rPr>
                            </w:pPr>
                            <w:r>
                              <w:rPr>
                                <w:sz w:val="20"/>
                              </w:rPr>
                              <w:br/>
                              <w:t>Amount</w:t>
                            </w:r>
                          </w:p>
                        </w:tc>
                        <w:tc>
                          <w:tcPr>
                            <w:tcW w:w="1499" w:type="dxa"/>
                            <w:tcBorders/>
                            <w:shd w:fill="auto" w:val="clear"/>
                          </w:tcPr>
                          <w:p>
                            <w:pPr>
                              <w:pStyle w:val="TableContents"/>
                              <w:spacing w:before="0" w:after="283"/>
                              <w:jc w:val="center"/>
                              <w:rPr>
                                <w:sz w:val="20"/>
                              </w:rPr>
                            </w:pPr>
                            <w:r>
                              <w:rPr>
                                <w:sz w:val="20"/>
                              </w:rPr>
                              <w:t>Paid-in</w:t>
                              <w:br/>
                              <w:t>Capital</w:t>
                            </w:r>
                          </w:p>
                        </w:tc>
                        <w:tc>
                          <w:tcPr>
                            <w:tcW w:w="1432" w:type="dxa"/>
                            <w:gridSpan w:val="2"/>
                            <w:tcBorders/>
                            <w:shd w:fill="auto" w:val="clear"/>
                          </w:tcPr>
                          <w:p>
                            <w:pPr>
                              <w:pStyle w:val="TableContents"/>
                              <w:spacing w:before="0" w:after="283"/>
                              <w:jc w:val="center"/>
                              <w:rPr>
                                <w:sz w:val="20"/>
                              </w:rPr>
                            </w:pPr>
                            <w:r>
                              <w:rPr>
                                <w:sz w:val="20"/>
                              </w:rPr>
                              <w:t>Purchase Warrants</w:t>
                            </w:r>
                          </w:p>
                        </w:tc>
                        <w:tc>
                          <w:tcPr>
                            <w:tcW w:w="1688" w:type="dxa"/>
                            <w:gridSpan w:val="2"/>
                            <w:tcBorders/>
                            <w:shd w:fill="auto" w:val="clear"/>
                          </w:tcPr>
                          <w:p>
                            <w:pPr>
                              <w:pStyle w:val="TableContents"/>
                              <w:spacing w:before="0" w:after="283"/>
                              <w:jc w:val="center"/>
                              <w:rPr>
                                <w:sz w:val="20"/>
                              </w:rPr>
                            </w:pPr>
                            <w:r>
                              <w:rPr>
                                <w:sz w:val="20"/>
                              </w:rPr>
                              <w:t>Development Stage</w:t>
                            </w:r>
                          </w:p>
                        </w:tc>
                        <w:tc>
                          <w:tcPr>
                            <w:tcW w:w="1581" w:type="dxa"/>
                            <w:gridSpan w:val="2"/>
                            <w:tcBorders/>
                            <w:shd w:fill="auto" w:val="clear"/>
                          </w:tcPr>
                          <w:p>
                            <w:pPr>
                              <w:pStyle w:val="TableContents"/>
                              <w:spacing w:before="0" w:after="283"/>
                              <w:jc w:val="center"/>
                              <w:rPr>
                                <w:sz w:val="20"/>
                              </w:rPr>
                            </w:pPr>
                            <w:r>
                              <w:rPr>
                                <w:sz w:val="20"/>
                              </w:rPr>
                              <w:t>Comprehensive</w:t>
                              <w:br/>
                              <w:t>Loss</w:t>
                            </w:r>
                          </w:p>
                        </w:tc>
                        <w:tc>
                          <w:tcPr>
                            <w:tcW w:w="1508" w:type="dxa"/>
                            <w:tcBorders/>
                            <w:shd w:fill="auto" w:val="clear"/>
                          </w:tcPr>
                          <w:p>
                            <w:pPr>
                              <w:pStyle w:val="TableContents"/>
                              <w:spacing w:before="0" w:after="283"/>
                              <w:jc w:val="center"/>
                              <w:rPr>
                                <w:sz w:val="20"/>
                              </w:rPr>
                            </w:pPr>
                            <w:r>
                              <w:rPr>
                                <w:sz w:val="20"/>
                              </w:rPr>
                              <w:br/>
                              <w:t>Total</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357" w:type="dxa"/>
                            <w:tcBorders/>
                            <w:shd w:fill="auto" w:val="clear"/>
                          </w:tcPr>
                          <w:p>
                            <w:pPr>
                              <w:pStyle w:val="TableContents"/>
                              <w:spacing w:before="0" w:after="283"/>
                              <w:rPr/>
                            </w:pPr>
                            <w:r>
                              <w:rPr/>
                              <w:t> </w:t>
                            </w:r>
                          </w:p>
                        </w:tc>
                        <w:tc>
                          <w:tcPr>
                            <w:tcW w:w="924" w:type="dxa"/>
                            <w:gridSpan w:val="2"/>
                            <w:tcBorders/>
                            <w:shd w:fill="auto" w:val="clear"/>
                          </w:tcPr>
                          <w:p>
                            <w:pPr>
                              <w:pStyle w:val="TableContents"/>
                              <w:spacing w:before="0" w:after="283"/>
                              <w:rPr/>
                            </w:pPr>
                            <w:r>
                              <w:rPr/>
                              <w:t> </w:t>
                            </w:r>
                          </w:p>
                        </w:tc>
                        <w:tc>
                          <w:tcPr>
                            <w:tcW w:w="1700" w:type="dxa"/>
                            <w:gridSpan w:val="2"/>
                            <w:tcBorders/>
                            <w:shd w:fill="auto" w:val="clear"/>
                          </w:tcPr>
                          <w:p>
                            <w:pPr>
                              <w:pStyle w:val="TableContents"/>
                              <w:spacing w:before="0" w:after="283"/>
                              <w:rPr/>
                            </w:pPr>
                            <w:r>
                              <w:rPr/>
                              <w:t> </w:t>
                            </w:r>
                          </w:p>
                        </w:tc>
                        <w:tc>
                          <w:tcPr>
                            <w:tcW w:w="2228" w:type="dxa"/>
                            <w:gridSpan w:val="2"/>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Balance, December 31, 2005</w:t>
                            </w:r>
                          </w:p>
                        </w:tc>
                        <w:tc>
                          <w:tcPr>
                            <w:tcW w:w="1390" w:type="dxa"/>
                            <w:tcBorders/>
                            <w:shd w:fill="auto" w:val="clear"/>
                          </w:tcPr>
                          <w:p>
                            <w:pPr>
                              <w:pStyle w:val="TableContents"/>
                              <w:spacing w:before="0" w:after="283"/>
                              <w:jc w:val="right"/>
                              <w:rPr>
                                <w:sz w:val="20"/>
                              </w:rPr>
                            </w:pPr>
                            <w:r>
                              <w:rPr>
                                <w:sz w:val="20"/>
                              </w:rPr>
                              <w:t>29,172,176</w:t>
                            </w:r>
                          </w:p>
                        </w:tc>
                        <w:tc>
                          <w:tcPr>
                            <w:tcW w:w="1466" w:type="dxa"/>
                            <w:tcBorders/>
                            <w:shd w:fill="auto" w:val="clear"/>
                          </w:tcPr>
                          <w:p>
                            <w:pPr>
                              <w:pStyle w:val="TableContents"/>
                              <w:spacing w:before="0" w:after="283"/>
                              <w:jc w:val="right"/>
                              <w:rPr>
                                <w:sz w:val="20"/>
                              </w:rPr>
                            </w:pPr>
                            <w:r>
                              <w:rPr>
                                <w:sz w:val="20"/>
                              </w:rPr>
                              <w:t>$        29,172</w:t>
                            </w:r>
                          </w:p>
                        </w:tc>
                        <w:tc>
                          <w:tcPr>
                            <w:tcW w:w="1499" w:type="dxa"/>
                            <w:tcBorders/>
                            <w:shd w:fill="auto" w:val="clear"/>
                          </w:tcPr>
                          <w:p>
                            <w:pPr>
                              <w:pStyle w:val="TableContents"/>
                              <w:spacing w:before="0" w:after="283"/>
                              <w:jc w:val="right"/>
                              <w:rPr>
                                <w:sz w:val="20"/>
                              </w:rPr>
                            </w:pPr>
                            <w:r>
                              <w:rPr>
                                <w:sz w:val="20"/>
                              </w:rPr>
                              <w:t>$ 10,379,913</w:t>
                            </w:r>
                          </w:p>
                        </w:tc>
                        <w:tc>
                          <w:tcPr>
                            <w:tcW w:w="1432" w:type="dxa"/>
                            <w:gridSpan w:val="2"/>
                            <w:tcBorders/>
                            <w:shd w:fill="auto" w:val="clear"/>
                          </w:tcPr>
                          <w:p>
                            <w:pPr>
                              <w:pStyle w:val="TableContents"/>
                              <w:spacing w:before="0" w:after="283"/>
                              <w:jc w:val="right"/>
                              <w:rPr>
                                <w:sz w:val="20"/>
                              </w:rPr>
                            </w:pPr>
                            <w:r>
                              <w:rPr>
                                <w:sz w:val="20"/>
                              </w:rPr>
                              <w:t>$    857,656</w:t>
                            </w:r>
                          </w:p>
                        </w:tc>
                        <w:tc>
                          <w:tcPr>
                            <w:tcW w:w="1688" w:type="dxa"/>
                            <w:gridSpan w:val="2"/>
                            <w:tcBorders/>
                            <w:shd w:fill="auto" w:val="clear"/>
                          </w:tcPr>
                          <w:p>
                            <w:pPr>
                              <w:pStyle w:val="TableContents"/>
                              <w:spacing w:before="0" w:after="283"/>
                              <w:jc w:val="right"/>
                              <w:rPr>
                                <w:sz w:val="20"/>
                              </w:rPr>
                            </w:pPr>
                            <w:r>
                              <w:rPr>
                                <w:sz w:val="20"/>
                              </w:rPr>
                              <w:t>$(13,420,369)</w:t>
                            </w:r>
                          </w:p>
                        </w:tc>
                        <w:tc>
                          <w:tcPr>
                            <w:tcW w:w="1581" w:type="dxa"/>
                            <w:gridSpan w:val="2"/>
                            <w:tcBorders/>
                            <w:shd w:fill="auto" w:val="clear"/>
                          </w:tcPr>
                          <w:p>
                            <w:pPr>
                              <w:pStyle w:val="TableContents"/>
                              <w:spacing w:before="0" w:after="283"/>
                              <w:jc w:val="right"/>
                              <w:rPr>
                                <w:sz w:val="20"/>
                              </w:rPr>
                            </w:pPr>
                            <w:r>
                              <w:rPr>
                                <w:sz w:val="20"/>
                              </w:rPr>
                              <w:t>$         (66,120)</w:t>
                            </w:r>
                          </w:p>
                        </w:tc>
                        <w:tc>
                          <w:tcPr>
                            <w:tcW w:w="1508" w:type="dxa"/>
                            <w:tcBorders/>
                            <w:shd w:fill="auto" w:val="clear"/>
                          </w:tcPr>
                          <w:p>
                            <w:pPr>
                              <w:pStyle w:val="TableContents"/>
                              <w:spacing w:before="0" w:after="283"/>
                              <w:jc w:val="right"/>
                              <w:rPr>
                                <w:sz w:val="20"/>
                              </w:rPr>
                            </w:pPr>
                            <w:r>
                              <w:rPr>
                                <w:sz w:val="20"/>
                              </w:rPr>
                              <w:t>$(2,219,748)</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432" w:type="dxa"/>
                            <w:gridSpan w:val="2"/>
                            <w:tcBorders/>
                            <w:shd w:fill="auto" w:val="clear"/>
                          </w:tcPr>
                          <w:p>
                            <w:pPr>
                              <w:pStyle w:val="TableContents"/>
                              <w:spacing w:before="0" w:after="283"/>
                              <w:rPr/>
                            </w:pPr>
                            <w:r>
                              <w:rPr/>
                              <w:t> </w:t>
                            </w:r>
                          </w:p>
                        </w:tc>
                        <w:tc>
                          <w:tcPr>
                            <w:tcW w:w="1688" w:type="dxa"/>
                            <w:gridSpan w:val="2"/>
                            <w:tcBorders/>
                            <w:shd w:fill="auto" w:val="clear"/>
                          </w:tcPr>
                          <w:p>
                            <w:pPr>
                              <w:pStyle w:val="TableContents"/>
                              <w:spacing w:before="0" w:after="283"/>
                              <w:rPr/>
                            </w:pPr>
                            <w:r>
                              <w:rPr/>
                              <w:t> </w:t>
                            </w:r>
                          </w:p>
                        </w:tc>
                        <w:tc>
                          <w:tcPr>
                            <w:tcW w:w="1581" w:type="dxa"/>
                            <w:gridSpan w:val="2"/>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Fair value of beneficial conversion feature of 2006 convertible notes (Note 5)</w:t>
                            </w:r>
                          </w:p>
                        </w:tc>
                        <w:tc>
                          <w:tcPr>
                            <w:tcW w:w="1390" w:type="dxa"/>
                            <w:tcBorders/>
                            <w:shd w:fill="auto" w:val="clear"/>
                          </w:tcPr>
                          <w:p>
                            <w:pPr>
                              <w:pStyle w:val="TableContents"/>
                              <w:spacing w:before="0" w:after="283"/>
                              <w:jc w:val="right"/>
                              <w:rPr>
                                <w:sz w:val="20"/>
                              </w:rPr>
                            </w:pPr>
                            <w:r>
                              <w:rPr>
                                <w:sz w:val="20"/>
                              </w:rPr>
                              <w:br/>
                              <w:t>- -</w:t>
                            </w:r>
                          </w:p>
                        </w:tc>
                        <w:tc>
                          <w:tcPr>
                            <w:tcW w:w="1466" w:type="dxa"/>
                            <w:tcBorders/>
                            <w:shd w:fill="auto" w:val="clear"/>
                          </w:tcPr>
                          <w:p>
                            <w:pPr>
                              <w:pStyle w:val="TableContents"/>
                              <w:spacing w:before="0" w:after="283"/>
                              <w:jc w:val="right"/>
                              <w:rPr>
                                <w:sz w:val="20"/>
                              </w:rPr>
                            </w:pPr>
                            <w:r>
                              <w:rPr>
                                <w:sz w:val="20"/>
                              </w:rPr>
                              <w:br/>
                              <w:t>- -</w:t>
                            </w:r>
                          </w:p>
                        </w:tc>
                        <w:tc>
                          <w:tcPr>
                            <w:tcW w:w="1499" w:type="dxa"/>
                            <w:tcBorders/>
                            <w:shd w:fill="auto" w:val="clear"/>
                          </w:tcPr>
                          <w:p>
                            <w:pPr>
                              <w:pStyle w:val="TableContents"/>
                              <w:spacing w:before="0" w:after="283"/>
                              <w:jc w:val="right"/>
                              <w:rPr>
                                <w:sz w:val="20"/>
                              </w:rPr>
                            </w:pPr>
                            <w:r>
                              <w:rPr>
                                <w:sz w:val="20"/>
                              </w:rPr>
                              <w:br/>
                              <w:t>205,579</w:t>
                            </w:r>
                          </w:p>
                        </w:tc>
                        <w:tc>
                          <w:tcPr>
                            <w:tcW w:w="1432" w:type="dxa"/>
                            <w:gridSpan w:val="2"/>
                            <w:tcBorders/>
                            <w:shd w:fill="auto" w:val="clear"/>
                          </w:tcPr>
                          <w:p>
                            <w:pPr>
                              <w:pStyle w:val="TableContents"/>
                              <w:spacing w:before="0" w:after="283"/>
                              <w:jc w:val="right"/>
                              <w:rPr>
                                <w:sz w:val="20"/>
                              </w:rPr>
                            </w:pPr>
                            <w:r>
                              <w:rPr>
                                <w:sz w:val="20"/>
                              </w:rPr>
                              <w:br/>
                              <w:t>- -</w:t>
                            </w:r>
                          </w:p>
                        </w:tc>
                        <w:tc>
                          <w:tcPr>
                            <w:tcW w:w="1688" w:type="dxa"/>
                            <w:gridSpan w:val="2"/>
                            <w:tcBorders/>
                            <w:shd w:fill="auto" w:val="clear"/>
                          </w:tcPr>
                          <w:p>
                            <w:pPr>
                              <w:pStyle w:val="TableContents"/>
                              <w:spacing w:before="0" w:after="283"/>
                              <w:jc w:val="right"/>
                              <w:rPr>
                                <w:sz w:val="20"/>
                              </w:rPr>
                            </w:pPr>
                            <w:r>
                              <w:rPr>
                                <w:sz w:val="20"/>
                              </w:rPr>
                              <w:br/>
                              <w:t>- -</w:t>
                            </w:r>
                          </w:p>
                        </w:tc>
                        <w:tc>
                          <w:tcPr>
                            <w:tcW w:w="1581" w:type="dxa"/>
                            <w:gridSpan w:val="2"/>
                            <w:tcBorders/>
                            <w:shd w:fill="auto" w:val="clear"/>
                          </w:tcPr>
                          <w:p>
                            <w:pPr>
                              <w:pStyle w:val="TableContents"/>
                              <w:spacing w:before="0" w:after="283"/>
                              <w:jc w:val="right"/>
                              <w:rPr>
                                <w:sz w:val="20"/>
                              </w:rPr>
                            </w:pPr>
                            <w:r>
                              <w:rPr>
                                <w:sz w:val="20"/>
                              </w:rPr>
                              <w:br/>
                              <w:t>- -</w:t>
                            </w:r>
                          </w:p>
                        </w:tc>
                        <w:tc>
                          <w:tcPr>
                            <w:tcW w:w="1508" w:type="dxa"/>
                            <w:tcBorders/>
                            <w:shd w:fill="auto" w:val="clear"/>
                          </w:tcPr>
                          <w:p>
                            <w:pPr>
                              <w:pStyle w:val="TableContents"/>
                              <w:spacing w:before="0" w:after="283"/>
                              <w:jc w:val="right"/>
                              <w:rPr>
                                <w:sz w:val="20"/>
                              </w:rPr>
                            </w:pPr>
                            <w:r>
                              <w:rPr>
                                <w:sz w:val="20"/>
                              </w:rPr>
                              <w:br/>
                              <w:t>205,579</w:t>
                            </w:r>
                          </w:p>
                        </w:tc>
                      </w:tr>
                      <w:tr>
                        <w:trPr/>
                        <w:tc>
                          <w:tcPr>
                            <w:tcW w:w="2756" w:type="dxa"/>
                            <w:tcBorders/>
                            <w:shd w:fill="auto" w:val="clear"/>
                          </w:tcPr>
                          <w:p>
                            <w:pPr>
                              <w:pStyle w:val="TableContents"/>
                              <w:spacing w:before="0" w:after="283"/>
                              <w:jc w:val="both"/>
                              <w:rPr>
                                <w:sz w:val="20"/>
                              </w:rPr>
                            </w:pPr>
                            <w:r>
                              <w:rPr>
                                <w:sz w:val="20"/>
                              </w:rPr>
                              <w:t>Fair value of warrants issued in connection with 2006 convertible notes (Note 5)</w:t>
                            </w:r>
                          </w:p>
                        </w:tc>
                        <w:tc>
                          <w:tcPr>
                            <w:tcW w:w="1390" w:type="dxa"/>
                            <w:tcBorders/>
                            <w:shd w:fill="auto" w:val="clear"/>
                          </w:tcPr>
                          <w:p>
                            <w:pPr>
                              <w:pStyle w:val="TableContents"/>
                              <w:spacing w:before="0" w:after="283"/>
                              <w:jc w:val="right"/>
                              <w:rPr>
                                <w:sz w:val="20"/>
                              </w:rPr>
                            </w:pPr>
                            <w:r>
                              <w:rPr>
                                <w:sz w:val="20"/>
                              </w:rPr>
                              <w:br/>
                              <w:t>- -</w:t>
                            </w:r>
                          </w:p>
                        </w:tc>
                        <w:tc>
                          <w:tcPr>
                            <w:tcW w:w="1466" w:type="dxa"/>
                            <w:tcBorders/>
                            <w:shd w:fill="auto" w:val="clear"/>
                          </w:tcPr>
                          <w:p>
                            <w:pPr>
                              <w:pStyle w:val="TableContents"/>
                              <w:spacing w:before="0" w:after="283"/>
                              <w:jc w:val="right"/>
                              <w:rPr>
                                <w:sz w:val="20"/>
                              </w:rPr>
                            </w:pPr>
                            <w:r>
                              <w:rPr>
                                <w:sz w:val="20"/>
                              </w:rPr>
                              <w:br/>
                              <w:t>- -</w:t>
                            </w:r>
                          </w:p>
                        </w:tc>
                        <w:tc>
                          <w:tcPr>
                            <w:tcW w:w="1499" w:type="dxa"/>
                            <w:tcBorders/>
                            <w:shd w:fill="auto" w:val="clear"/>
                          </w:tcPr>
                          <w:p>
                            <w:pPr>
                              <w:pStyle w:val="TableContents"/>
                              <w:spacing w:before="0" w:after="283"/>
                              <w:jc w:val="right"/>
                              <w:rPr>
                                <w:sz w:val="20"/>
                              </w:rPr>
                            </w:pPr>
                            <w:r>
                              <w:rPr>
                                <w:sz w:val="20"/>
                              </w:rPr>
                              <w:br/>
                              <w:t>- -</w:t>
                            </w:r>
                          </w:p>
                        </w:tc>
                        <w:tc>
                          <w:tcPr>
                            <w:tcW w:w="1432" w:type="dxa"/>
                            <w:gridSpan w:val="2"/>
                            <w:tcBorders/>
                            <w:shd w:fill="auto" w:val="clear"/>
                          </w:tcPr>
                          <w:p>
                            <w:pPr>
                              <w:pStyle w:val="TableContents"/>
                              <w:spacing w:before="0" w:after="283"/>
                              <w:jc w:val="right"/>
                              <w:rPr>
                                <w:sz w:val="20"/>
                              </w:rPr>
                            </w:pPr>
                            <w:r>
                              <w:rPr>
                                <w:sz w:val="20"/>
                              </w:rPr>
                              <w:br/>
                              <w:t>288,921</w:t>
                            </w:r>
                          </w:p>
                        </w:tc>
                        <w:tc>
                          <w:tcPr>
                            <w:tcW w:w="1688" w:type="dxa"/>
                            <w:gridSpan w:val="2"/>
                            <w:tcBorders/>
                            <w:shd w:fill="auto" w:val="clear"/>
                          </w:tcPr>
                          <w:p>
                            <w:pPr>
                              <w:pStyle w:val="TableContents"/>
                              <w:spacing w:before="0" w:after="283"/>
                              <w:jc w:val="right"/>
                              <w:rPr>
                                <w:sz w:val="20"/>
                              </w:rPr>
                            </w:pPr>
                            <w:r>
                              <w:rPr>
                                <w:sz w:val="20"/>
                              </w:rPr>
                              <w:br/>
                              <w:t>- -</w:t>
                            </w:r>
                          </w:p>
                        </w:tc>
                        <w:tc>
                          <w:tcPr>
                            <w:tcW w:w="1581" w:type="dxa"/>
                            <w:gridSpan w:val="2"/>
                            <w:tcBorders/>
                            <w:shd w:fill="auto" w:val="clear"/>
                          </w:tcPr>
                          <w:p>
                            <w:pPr>
                              <w:pStyle w:val="TableContents"/>
                              <w:spacing w:before="0" w:after="283"/>
                              <w:jc w:val="right"/>
                              <w:rPr>
                                <w:sz w:val="20"/>
                              </w:rPr>
                            </w:pPr>
                            <w:r>
                              <w:rPr>
                                <w:sz w:val="20"/>
                              </w:rPr>
                              <w:br/>
                              <w:t>- -</w:t>
                            </w:r>
                          </w:p>
                        </w:tc>
                        <w:tc>
                          <w:tcPr>
                            <w:tcW w:w="1508" w:type="dxa"/>
                            <w:tcBorders/>
                            <w:shd w:fill="auto" w:val="clear"/>
                          </w:tcPr>
                          <w:p>
                            <w:pPr>
                              <w:pStyle w:val="TableContents"/>
                              <w:spacing w:before="0" w:after="283"/>
                              <w:jc w:val="right"/>
                              <w:rPr>
                                <w:sz w:val="20"/>
                              </w:rPr>
                            </w:pPr>
                            <w:r>
                              <w:rPr>
                                <w:sz w:val="20"/>
                              </w:rPr>
                              <w:br/>
                              <w:t>288,921</w:t>
                            </w:r>
                          </w:p>
                        </w:tc>
                      </w:tr>
                      <w:tr>
                        <w:trPr/>
                        <w:tc>
                          <w:tcPr>
                            <w:tcW w:w="2756" w:type="dxa"/>
                            <w:tcBorders/>
                            <w:shd w:fill="auto" w:val="clear"/>
                          </w:tcPr>
                          <w:p>
                            <w:pPr>
                              <w:pStyle w:val="TableContents"/>
                              <w:spacing w:before="0" w:after="283"/>
                              <w:jc w:val="both"/>
                              <w:rPr>
                                <w:sz w:val="20"/>
                              </w:rPr>
                            </w:pPr>
                            <w:r>
                              <w:rPr>
                                <w:sz w:val="20"/>
                              </w:rPr>
                              <w:t>Common stock purchase warrants expired</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280,700</w:t>
                            </w:r>
                          </w:p>
                        </w:tc>
                        <w:tc>
                          <w:tcPr>
                            <w:tcW w:w="1432" w:type="dxa"/>
                            <w:gridSpan w:val="2"/>
                            <w:tcBorders/>
                            <w:shd w:fill="auto" w:val="clear"/>
                          </w:tcPr>
                          <w:p>
                            <w:pPr>
                              <w:pStyle w:val="TableContents"/>
                              <w:spacing w:before="0" w:after="283"/>
                              <w:jc w:val="right"/>
                              <w:rPr>
                                <w:sz w:val="20"/>
                              </w:rPr>
                            </w:pPr>
                            <w:r>
                              <w:rPr>
                                <w:sz w:val="20"/>
                              </w:rPr>
                              <w:t>(280,700)</w:t>
                            </w:r>
                          </w:p>
                        </w:tc>
                        <w:tc>
                          <w:tcPr>
                            <w:tcW w:w="1688" w:type="dxa"/>
                            <w:gridSpan w:val="2"/>
                            <w:tcBorders/>
                            <w:shd w:fill="auto" w:val="clear"/>
                          </w:tcPr>
                          <w:p>
                            <w:pPr>
                              <w:pStyle w:val="TableContents"/>
                              <w:spacing w:before="0" w:after="283"/>
                              <w:jc w:val="right"/>
                              <w:rPr>
                                <w:sz w:val="20"/>
                              </w:rPr>
                            </w:pPr>
                            <w:r>
                              <w:rPr>
                                <w:sz w:val="20"/>
                              </w:rPr>
                              <w:t>-</w:t>
                            </w:r>
                          </w:p>
                        </w:tc>
                        <w:tc>
                          <w:tcPr>
                            <w:tcW w:w="1581" w:type="dxa"/>
                            <w:gridSpan w:val="2"/>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w:t>
                            </w:r>
                          </w:p>
                        </w:tc>
                      </w:tr>
                      <w:tr>
                        <w:trPr/>
                        <w:tc>
                          <w:tcPr>
                            <w:tcW w:w="2756" w:type="dxa"/>
                            <w:tcBorders/>
                            <w:shd w:fill="auto" w:val="clear"/>
                          </w:tcPr>
                          <w:p>
                            <w:pPr>
                              <w:pStyle w:val="TableContents"/>
                              <w:spacing w:before="0" w:after="283"/>
                              <w:jc w:val="both"/>
                              <w:rPr>
                                <w:sz w:val="20"/>
                              </w:rPr>
                            </w:pPr>
                            <w:r>
                              <w:rPr>
                                <w:sz w:val="20"/>
                              </w:rPr>
                              <w:t>Net loss</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w:t>
                            </w:r>
                          </w:p>
                        </w:tc>
                        <w:tc>
                          <w:tcPr>
                            <w:tcW w:w="1432" w:type="dxa"/>
                            <w:gridSpan w:val="2"/>
                            <w:tcBorders/>
                            <w:shd w:fill="auto" w:val="clear"/>
                          </w:tcPr>
                          <w:p>
                            <w:pPr>
                              <w:pStyle w:val="TableContents"/>
                              <w:spacing w:before="0" w:after="283"/>
                              <w:jc w:val="right"/>
                              <w:rPr>
                                <w:sz w:val="20"/>
                              </w:rPr>
                            </w:pPr>
                            <w:r>
                              <w:rPr>
                                <w:sz w:val="20"/>
                              </w:rPr>
                              <w:t>-</w:t>
                            </w:r>
                          </w:p>
                        </w:tc>
                        <w:tc>
                          <w:tcPr>
                            <w:tcW w:w="1688" w:type="dxa"/>
                            <w:gridSpan w:val="2"/>
                            <w:tcBorders/>
                            <w:shd w:fill="auto" w:val="clear"/>
                          </w:tcPr>
                          <w:p>
                            <w:pPr>
                              <w:pStyle w:val="TableContents"/>
                              <w:spacing w:before="0" w:after="283"/>
                              <w:jc w:val="right"/>
                              <w:rPr>
                                <w:sz w:val="20"/>
                              </w:rPr>
                            </w:pPr>
                            <w:r>
                              <w:rPr>
                                <w:sz w:val="20"/>
                              </w:rPr>
                              <w:t>(365,779)</w:t>
                            </w:r>
                          </w:p>
                        </w:tc>
                        <w:tc>
                          <w:tcPr>
                            <w:tcW w:w="1581" w:type="dxa"/>
                            <w:gridSpan w:val="2"/>
                            <w:tcBorders/>
                            <w:shd w:fill="auto" w:val="clear"/>
                          </w:tcPr>
                          <w:p>
                            <w:pPr>
                              <w:pStyle w:val="TableContents"/>
                              <w:spacing w:before="0" w:after="283"/>
                              <w:jc w:val="right"/>
                              <w:rPr>
                                <w:sz w:val="20"/>
                              </w:rPr>
                            </w:pPr>
                            <w:r>
                              <w:rPr>
                                <w:sz w:val="20"/>
                              </w:rPr>
                              <w:t>-</w:t>
                            </w:r>
                          </w:p>
                        </w:tc>
                        <w:tc>
                          <w:tcPr>
                            <w:tcW w:w="1508" w:type="dxa"/>
                            <w:tcBorders/>
                            <w:shd w:fill="auto" w:val="clear"/>
                          </w:tcPr>
                          <w:p>
                            <w:pPr>
                              <w:pStyle w:val="TableContents"/>
                              <w:spacing w:before="0" w:after="283"/>
                              <w:jc w:val="right"/>
                              <w:rPr>
                                <w:sz w:val="20"/>
                              </w:rPr>
                            </w:pPr>
                            <w:r>
                              <w:rPr>
                                <w:sz w:val="20"/>
                              </w:rPr>
                              <w:t>(365,779)</w:t>
                            </w:r>
                          </w:p>
                        </w:tc>
                      </w:tr>
                      <w:tr>
                        <w:trPr/>
                        <w:tc>
                          <w:tcPr>
                            <w:tcW w:w="2756" w:type="dxa"/>
                            <w:tcBorders/>
                            <w:shd w:fill="auto" w:val="clear"/>
                          </w:tcPr>
                          <w:p>
                            <w:pPr>
                              <w:pStyle w:val="TableContents"/>
                              <w:spacing w:before="0" w:after="283"/>
                              <w:jc w:val="both"/>
                              <w:rPr>
                                <w:sz w:val="20"/>
                              </w:rPr>
                            </w:pPr>
                            <w:r>
                              <w:rPr>
                                <w:sz w:val="20"/>
                              </w:rPr>
                              <w:t>Currency translation adjustment</w:t>
                            </w:r>
                          </w:p>
                        </w:tc>
                        <w:tc>
                          <w:tcPr>
                            <w:tcW w:w="1390" w:type="dxa"/>
                            <w:tcBorders/>
                            <w:shd w:fill="auto" w:val="clear"/>
                          </w:tcPr>
                          <w:p>
                            <w:pPr>
                              <w:pStyle w:val="TableContents"/>
                              <w:spacing w:before="0" w:after="283"/>
                              <w:jc w:val="right"/>
                              <w:rPr>
                                <w:sz w:val="20"/>
                              </w:rPr>
                            </w:pPr>
                            <w:r>
                              <w:rPr>
                                <w:sz w:val="20"/>
                              </w:rPr>
                              <w:t>-</w:t>
                            </w:r>
                          </w:p>
                        </w:tc>
                        <w:tc>
                          <w:tcPr>
                            <w:tcW w:w="1466" w:type="dxa"/>
                            <w:tcBorders/>
                            <w:shd w:fill="auto" w:val="clear"/>
                          </w:tcPr>
                          <w:p>
                            <w:pPr>
                              <w:pStyle w:val="TableContents"/>
                              <w:spacing w:before="0" w:after="283"/>
                              <w:jc w:val="right"/>
                              <w:rPr>
                                <w:sz w:val="20"/>
                              </w:rPr>
                            </w:pPr>
                            <w:r>
                              <w:rPr>
                                <w:sz w:val="20"/>
                              </w:rPr>
                              <w:t>-</w:t>
                            </w:r>
                          </w:p>
                        </w:tc>
                        <w:tc>
                          <w:tcPr>
                            <w:tcW w:w="1499" w:type="dxa"/>
                            <w:tcBorders/>
                            <w:shd w:fill="auto" w:val="clear"/>
                          </w:tcPr>
                          <w:p>
                            <w:pPr>
                              <w:pStyle w:val="TableContents"/>
                              <w:spacing w:before="0" w:after="283"/>
                              <w:jc w:val="right"/>
                              <w:rPr>
                                <w:sz w:val="20"/>
                              </w:rPr>
                            </w:pPr>
                            <w:r>
                              <w:rPr>
                                <w:sz w:val="20"/>
                              </w:rPr>
                              <w:t>-</w:t>
                            </w:r>
                          </w:p>
                        </w:tc>
                        <w:tc>
                          <w:tcPr>
                            <w:tcW w:w="1432" w:type="dxa"/>
                            <w:gridSpan w:val="2"/>
                            <w:tcBorders/>
                            <w:shd w:fill="auto" w:val="clear"/>
                          </w:tcPr>
                          <w:p>
                            <w:pPr>
                              <w:pStyle w:val="TableContents"/>
                              <w:spacing w:before="0" w:after="283"/>
                              <w:jc w:val="right"/>
                              <w:rPr>
                                <w:sz w:val="20"/>
                              </w:rPr>
                            </w:pPr>
                            <w:r>
                              <w:rPr>
                                <w:sz w:val="20"/>
                              </w:rPr>
                              <w:t>-</w:t>
                            </w:r>
                          </w:p>
                        </w:tc>
                        <w:tc>
                          <w:tcPr>
                            <w:tcW w:w="1688" w:type="dxa"/>
                            <w:gridSpan w:val="2"/>
                            <w:tcBorders/>
                            <w:shd w:fill="auto" w:val="clear"/>
                          </w:tcPr>
                          <w:p>
                            <w:pPr>
                              <w:pStyle w:val="TableContents"/>
                              <w:spacing w:before="0" w:after="283"/>
                              <w:jc w:val="right"/>
                              <w:rPr>
                                <w:sz w:val="20"/>
                              </w:rPr>
                            </w:pPr>
                            <w:r>
                              <w:rPr>
                                <w:sz w:val="20"/>
                              </w:rPr>
                              <w:t>-</w:t>
                            </w:r>
                          </w:p>
                        </w:tc>
                        <w:tc>
                          <w:tcPr>
                            <w:tcW w:w="1581" w:type="dxa"/>
                            <w:gridSpan w:val="2"/>
                            <w:tcBorders/>
                            <w:shd w:fill="auto" w:val="clear"/>
                          </w:tcPr>
                          <w:p>
                            <w:pPr>
                              <w:pStyle w:val="TableContents"/>
                              <w:spacing w:before="0" w:after="283"/>
                              <w:jc w:val="right"/>
                              <w:rPr>
                                <w:sz w:val="20"/>
                              </w:rPr>
                            </w:pPr>
                            <w:r>
                              <w:rPr>
                                <w:sz w:val="20"/>
                              </w:rPr>
                              <w:t>684</w:t>
                            </w:r>
                          </w:p>
                        </w:tc>
                        <w:tc>
                          <w:tcPr>
                            <w:tcW w:w="1508" w:type="dxa"/>
                            <w:tcBorders/>
                            <w:shd w:fill="auto" w:val="clear"/>
                          </w:tcPr>
                          <w:p>
                            <w:pPr>
                              <w:pStyle w:val="TableContents"/>
                              <w:spacing w:before="0" w:after="283"/>
                              <w:jc w:val="right"/>
                              <w:rPr>
                                <w:sz w:val="20"/>
                              </w:rPr>
                            </w:pPr>
                            <w:r>
                              <w:rPr>
                                <w:sz w:val="20"/>
                              </w:rPr>
                              <w:t>684</w:t>
                            </w:r>
                          </w:p>
                        </w:tc>
                      </w:tr>
                      <w:tr>
                        <w:trPr/>
                        <w:tc>
                          <w:tcPr>
                            <w:tcW w:w="2756" w:type="dxa"/>
                            <w:tcBorders/>
                            <w:shd w:fill="auto" w:val="clear"/>
                          </w:tcPr>
                          <w:p>
                            <w:pPr>
                              <w:pStyle w:val="TableContents"/>
                              <w:spacing w:before="0" w:after="283"/>
                              <w:rPr/>
                            </w:pPr>
                            <w:r>
                              <w:rPr/>
                              <w:t> </w:t>
                            </w:r>
                          </w:p>
                        </w:tc>
                        <w:tc>
                          <w:tcPr>
                            <w:tcW w:w="1390" w:type="dxa"/>
                            <w:tcBorders/>
                            <w:shd w:fill="auto" w:val="clear"/>
                          </w:tcPr>
                          <w:p>
                            <w:pPr>
                              <w:pStyle w:val="TableContents"/>
                              <w:spacing w:before="0" w:after="283"/>
                              <w:rPr/>
                            </w:pPr>
                            <w:r>
                              <w:rPr/>
                              <w:t> </w:t>
                            </w:r>
                          </w:p>
                        </w:tc>
                        <w:tc>
                          <w:tcPr>
                            <w:tcW w:w="1466"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432" w:type="dxa"/>
                            <w:gridSpan w:val="2"/>
                            <w:tcBorders/>
                            <w:shd w:fill="auto" w:val="clear"/>
                          </w:tcPr>
                          <w:p>
                            <w:pPr>
                              <w:pStyle w:val="TableContents"/>
                              <w:spacing w:before="0" w:after="283"/>
                              <w:rPr/>
                            </w:pPr>
                            <w:r>
                              <w:rPr/>
                              <w:t> </w:t>
                            </w:r>
                          </w:p>
                        </w:tc>
                        <w:tc>
                          <w:tcPr>
                            <w:tcW w:w="1688" w:type="dxa"/>
                            <w:gridSpan w:val="2"/>
                            <w:tcBorders/>
                            <w:shd w:fill="auto" w:val="clear"/>
                          </w:tcPr>
                          <w:p>
                            <w:pPr>
                              <w:pStyle w:val="TableContents"/>
                              <w:spacing w:before="0" w:after="283"/>
                              <w:rPr/>
                            </w:pPr>
                            <w:r>
                              <w:rPr/>
                              <w:t> </w:t>
                            </w:r>
                          </w:p>
                        </w:tc>
                        <w:tc>
                          <w:tcPr>
                            <w:tcW w:w="1581" w:type="dxa"/>
                            <w:gridSpan w:val="2"/>
                            <w:tcBorders/>
                            <w:shd w:fill="auto" w:val="clear"/>
                          </w:tcPr>
                          <w:p>
                            <w:pPr>
                              <w:pStyle w:val="TableContents"/>
                              <w:spacing w:before="0" w:after="283"/>
                              <w:rPr/>
                            </w:pPr>
                            <w:r>
                              <w:rPr/>
                              <w:t> </w:t>
                            </w:r>
                          </w:p>
                        </w:tc>
                        <w:tc>
                          <w:tcPr>
                            <w:tcW w:w="1508" w:type="dxa"/>
                            <w:tcBorders/>
                            <w:shd w:fill="auto" w:val="clear"/>
                          </w:tcPr>
                          <w:p>
                            <w:pPr>
                              <w:pStyle w:val="TableContents"/>
                              <w:spacing w:before="0" w:after="283"/>
                              <w:rPr/>
                            </w:pPr>
                            <w:r>
                              <w:rPr/>
                              <w:t> </w:t>
                            </w:r>
                          </w:p>
                        </w:tc>
                      </w:tr>
                      <w:tr>
                        <w:trPr/>
                        <w:tc>
                          <w:tcPr>
                            <w:tcW w:w="2756" w:type="dxa"/>
                            <w:tcBorders/>
                            <w:shd w:fill="auto" w:val="clear"/>
                          </w:tcPr>
                          <w:p>
                            <w:pPr>
                              <w:pStyle w:val="TableContents"/>
                              <w:spacing w:before="0" w:after="283"/>
                              <w:jc w:val="both"/>
                              <w:rPr>
                                <w:sz w:val="20"/>
                              </w:rPr>
                            </w:pPr>
                            <w:r>
                              <w:rPr>
                                <w:sz w:val="20"/>
                              </w:rPr>
                              <w:t>Balance, March 31, 2006 (unaudited)</w:t>
                            </w:r>
                          </w:p>
                        </w:tc>
                        <w:tc>
                          <w:tcPr>
                            <w:tcW w:w="1390" w:type="dxa"/>
                            <w:tcBorders/>
                            <w:shd w:fill="auto" w:val="clear"/>
                          </w:tcPr>
                          <w:p>
                            <w:pPr>
                              <w:pStyle w:val="TableContents"/>
                              <w:spacing w:before="0" w:after="283"/>
                              <w:jc w:val="right"/>
                              <w:rPr>
                                <w:sz w:val="20"/>
                              </w:rPr>
                            </w:pPr>
                            <w:r>
                              <w:rPr>
                                <w:sz w:val="20"/>
                              </w:rPr>
                              <w:t>29,172,176</w:t>
                            </w:r>
                          </w:p>
                        </w:tc>
                        <w:tc>
                          <w:tcPr>
                            <w:tcW w:w="1466" w:type="dxa"/>
                            <w:tcBorders/>
                            <w:shd w:fill="auto" w:val="clear"/>
                          </w:tcPr>
                          <w:p>
                            <w:pPr>
                              <w:pStyle w:val="TableContents"/>
                              <w:spacing w:before="0" w:after="283"/>
                              <w:jc w:val="right"/>
                              <w:rPr>
                                <w:sz w:val="20"/>
                              </w:rPr>
                            </w:pPr>
                            <w:r>
                              <w:rPr>
                                <w:sz w:val="20"/>
                              </w:rPr>
                              <w:t>$       29,172</w:t>
                            </w:r>
                          </w:p>
                        </w:tc>
                        <w:tc>
                          <w:tcPr>
                            <w:tcW w:w="1499" w:type="dxa"/>
                            <w:tcBorders/>
                            <w:shd w:fill="auto" w:val="clear"/>
                          </w:tcPr>
                          <w:p>
                            <w:pPr>
                              <w:pStyle w:val="TableContents"/>
                              <w:spacing w:before="0" w:after="283"/>
                              <w:jc w:val="right"/>
                              <w:rPr>
                                <w:sz w:val="20"/>
                              </w:rPr>
                            </w:pPr>
                            <w:r>
                              <w:rPr>
                                <w:sz w:val="20"/>
                              </w:rPr>
                              <w:t>$ 10,866,192</w:t>
                            </w:r>
                          </w:p>
                        </w:tc>
                        <w:tc>
                          <w:tcPr>
                            <w:tcW w:w="1432" w:type="dxa"/>
                            <w:gridSpan w:val="2"/>
                            <w:tcBorders/>
                            <w:shd w:fill="auto" w:val="clear"/>
                          </w:tcPr>
                          <w:p>
                            <w:pPr>
                              <w:pStyle w:val="TableContents"/>
                              <w:spacing w:before="0" w:after="283"/>
                              <w:jc w:val="right"/>
                              <w:rPr>
                                <w:sz w:val="20"/>
                              </w:rPr>
                            </w:pPr>
                            <w:r>
                              <w:rPr>
                                <w:sz w:val="20"/>
                              </w:rPr>
                              <w:t>$    865,877</w:t>
                            </w:r>
                          </w:p>
                        </w:tc>
                        <w:tc>
                          <w:tcPr>
                            <w:tcW w:w="1688" w:type="dxa"/>
                            <w:gridSpan w:val="2"/>
                            <w:tcBorders/>
                            <w:shd w:fill="auto" w:val="clear"/>
                          </w:tcPr>
                          <w:p>
                            <w:pPr>
                              <w:pStyle w:val="TableContents"/>
                              <w:spacing w:before="0" w:after="283"/>
                              <w:jc w:val="right"/>
                              <w:rPr>
                                <w:sz w:val="20"/>
                              </w:rPr>
                            </w:pPr>
                            <w:r>
                              <w:rPr>
                                <w:sz w:val="20"/>
                              </w:rPr>
                              <w:t>$(13,786,148)</w:t>
                            </w:r>
                          </w:p>
                        </w:tc>
                        <w:tc>
                          <w:tcPr>
                            <w:tcW w:w="1581" w:type="dxa"/>
                            <w:gridSpan w:val="2"/>
                            <w:tcBorders/>
                            <w:shd w:fill="auto" w:val="clear"/>
                          </w:tcPr>
                          <w:p>
                            <w:pPr>
                              <w:pStyle w:val="TableContents"/>
                              <w:spacing w:before="0" w:after="283"/>
                              <w:jc w:val="right"/>
                              <w:rPr>
                                <w:sz w:val="20"/>
                              </w:rPr>
                            </w:pPr>
                            <w:r>
                              <w:rPr>
                                <w:sz w:val="20"/>
                              </w:rPr>
                              <w:t>$        (65,436)</w:t>
                            </w:r>
                          </w:p>
                        </w:tc>
                        <w:tc>
                          <w:tcPr>
                            <w:tcW w:w="1508" w:type="dxa"/>
                            <w:tcBorders/>
                            <w:shd w:fill="auto" w:val="clear"/>
                          </w:tcPr>
                          <w:p>
                            <w:pPr>
                              <w:pStyle w:val="TableContents"/>
                              <w:spacing w:before="0" w:after="283"/>
                              <w:jc w:val="right"/>
                              <w:rPr>
                                <w:sz w:val="20"/>
                              </w:rPr>
                            </w:pPr>
                            <w:r>
                              <w:rPr>
                                <w:sz w:val="20"/>
                              </w:rPr>
                              <w:t>$(2,090,343)</w:t>
                            </w:r>
                          </w:p>
                        </w:tc>
                      </w:tr>
                    </w:tbl>
                  </w:txbxContent>
                </v:textbox>
                <w10:wrap type="square" side="right"/>
              </v:rect>
            </w:pict>
          </mc:Fallback>
        </mc:AlternateConten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consolidated financial statements.</w:t>
      </w:r>
    </w:p>
    <w:p>
      <w:pPr>
        <w:pStyle w:val="TextBody"/>
        <w:jc w:val="center"/>
        <w:rPr/>
      </w:pPr>
      <w:r>
        <w:rPr/>
        <w:t>- 4 -</w:t>
      </w:r>
    </w:p>
    <w:p>
      <w:pPr>
        <w:pStyle w:val="HorizontalLine"/>
        <w:pBdr>
          <w:bottom w:val="single" w:sz="18" w:space="0" w:color="808080"/>
        </w:pBdr>
        <w:rPr/>
      </w:pPr>
      <w:r>
        <w:rPr/>
      </w:r>
    </w:p>
    <w:p>
      <w:pPr>
        <w:pStyle w:val="TextBody"/>
        <w:jc w:val="center"/>
        <w:rPr>
          <w:b/>
        </w:rPr>
      </w:pPr>
      <w:r>
        <w:rPr>
          <w:b/>
        </w:rPr>
        <w:t>GENEMAX CORP.</w:t>
        <w:br/>
        <w:t>(a development stage company)</w:t>
        <w:br/>
      </w:r>
      <w:r>
        <w:rPr>
          <w:b/>
          <w:i/>
        </w:rPr>
        <w:t>CONSOLIDATED STATEMENTS OF CASH FLOWS</w:t>
        <w:br/>
      </w:r>
      <w:r>
        <w:rPr>
          <w:b/>
        </w:rPr>
        <w:t>(Unaudited)</w:t>
      </w:r>
    </w:p>
    <w:tbl>
      <w:tblPr>
        <w:tblW w:w="10620" w:type="dxa"/>
        <w:jc w:val="left"/>
        <w:tblInd w:w="0" w:type="dxa"/>
        <w:tblCellMar>
          <w:top w:w="105" w:type="dxa"/>
          <w:left w:w="105" w:type="dxa"/>
          <w:bottom w:w="105" w:type="dxa"/>
          <w:right w:w="105" w:type="dxa"/>
        </w:tblCellMar>
      </w:tblPr>
      <w:tblGrid>
        <w:gridCol w:w="6122"/>
        <w:gridCol w:w="1498"/>
        <w:gridCol w:w="1498"/>
        <w:gridCol w:w="1502"/>
      </w:tblGrid>
      <w:tr>
        <w:trPr/>
        <w:tc>
          <w:tcPr>
            <w:tcW w:w="6122" w:type="dxa"/>
            <w:tcBorders/>
            <w:shd w:fill="auto" w:val="clear"/>
          </w:tcPr>
          <w:p>
            <w:pPr>
              <w:pStyle w:val="TableContents"/>
              <w:spacing w:before="0" w:after="283"/>
              <w:rPr/>
            </w:pPr>
            <w:r>
              <w:rPr/>
              <w:t> </w:t>
            </w:r>
          </w:p>
        </w:tc>
        <w:tc>
          <w:tcPr>
            <w:tcW w:w="2996" w:type="dxa"/>
            <w:gridSpan w:val="2"/>
            <w:tcBorders/>
            <w:shd w:fill="auto" w:val="clear"/>
          </w:tcPr>
          <w:p>
            <w:pPr>
              <w:pStyle w:val="TableContents"/>
              <w:spacing w:before="0" w:after="283"/>
              <w:jc w:val="center"/>
              <w:rPr>
                <w:sz w:val="20"/>
              </w:rPr>
            </w:pPr>
            <w:r>
              <w:rPr>
                <w:sz w:val="20"/>
              </w:rPr>
              <w:br/>
              <w:br/>
              <w:t>Three months ended March 31</w:t>
            </w:r>
          </w:p>
        </w:tc>
        <w:tc>
          <w:tcPr>
            <w:tcW w:w="1502" w:type="dxa"/>
            <w:tcBorders/>
            <w:shd w:fill="auto" w:val="clear"/>
          </w:tcPr>
          <w:p>
            <w:pPr>
              <w:pStyle w:val="TableContents"/>
              <w:spacing w:before="0" w:after="283"/>
              <w:jc w:val="center"/>
              <w:rPr>
                <w:sz w:val="20"/>
              </w:rPr>
            </w:pPr>
            <w:r>
              <w:rPr>
                <w:sz w:val="20"/>
              </w:rPr>
              <w:t>July 27, 1999 (inception) to March 31,</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jc w:val="center"/>
              <w:rPr>
                <w:sz w:val="20"/>
              </w:rPr>
            </w:pPr>
            <w:r>
              <w:rPr>
                <w:sz w:val="20"/>
              </w:rPr>
              <w:t>2006</w:t>
            </w:r>
          </w:p>
        </w:tc>
        <w:tc>
          <w:tcPr>
            <w:tcW w:w="1498" w:type="dxa"/>
            <w:tcBorders/>
            <w:shd w:fill="auto" w:val="clear"/>
          </w:tcPr>
          <w:p>
            <w:pPr>
              <w:pStyle w:val="TableContents"/>
              <w:spacing w:before="0" w:after="283"/>
              <w:jc w:val="center"/>
              <w:rPr>
                <w:sz w:val="20"/>
              </w:rPr>
            </w:pPr>
            <w:r>
              <w:rPr>
                <w:sz w:val="20"/>
              </w:rPr>
              <w:t>2005</w:t>
            </w:r>
          </w:p>
        </w:tc>
        <w:tc>
          <w:tcPr>
            <w:tcW w:w="1502" w:type="dxa"/>
            <w:tcBorders/>
            <w:shd w:fill="auto" w:val="clear"/>
          </w:tcPr>
          <w:p>
            <w:pPr>
              <w:pStyle w:val="TableContents"/>
              <w:spacing w:before="0" w:after="283"/>
              <w:jc w:val="center"/>
              <w:rPr>
                <w:sz w:val="20"/>
              </w:rPr>
            </w:pPr>
            <w:r>
              <w:rPr>
                <w:sz w:val="20"/>
              </w:rPr>
              <w:t>2006</w:t>
            </w:r>
          </w:p>
        </w:tc>
      </w:tr>
      <w:tr>
        <w:trPr>
          <w:trHeight w:val="645" w:hRule="atLeast"/>
        </w:trPr>
        <w:tc>
          <w:tcPr>
            <w:tcW w:w="6122" w:type="dxa"/>
            <w:tcBorders/>
            <w:shd w:fill="auto" w:val="clear"/>
            <w:vAlign w:val="bottom"/>
          </w:tcPr>
          <w:p>
            <w:pPr>
              <w:pStyle w:val="TableContents"/>
              <w:spacing w:before="0" w:after="283"/>
              <w:jc w:val="left"/>
              <w:rPr>
                <w:b/>
                <w:sz w:val="20"/>
              </w:rPr>
            </w:pPr>
            <w:r>
              <w:rPr>
                <w:b/>
                <w:sz w:val="20"/>
              </w:rPr>
              <w:t>CASH FLOWS FROM OPERATING ACTIVITIES</w:t>
            </w:r>
          </w:p>
        </w:tc>
        <w:tc>
          <w:tcPr>
            <w:tcW w:w="1498" w:type="dxa"/>
            <w:tcBorders/>
            <w:shd w:fill="auto" w:val="clear"/>
          </w:tcPr>
          <w:p>
            <w:pPr>
              <w:pStyle w:val="TableContents"/>
              <w:spacing w:before="0" w:after="283"/>
              <w:rPr>
                <w:sz w:val="4"/>
                <w:szCs w:val="4"/>
              </w:rPr>
            </w:pPr>
            <w:r>
              <w:rPr>
                <w:sz w:val="4"/>
                <w:szCs w:val="4"/>
              </w:rPr>
            </w:r>
          </w:p>
        </w:tc>
        <w:tc>
          <w:tcPr>
            <w:tcW w:w="1498" w:type="dxa"/>
            <w:tcBorders/>
            <w:shd w:fill="auto" w:val="clear"/>
          </w:tcPr>
          <w:p>
            <w:pPr>
              <w:pStyle w:val="TableContents"/>
              <w:spacing w:before="0" w:after="283"/>
              <w:rPr>
                <w:sz w:val="4"/>
                <w:szCs w:val="4"/>
              </w:rPr>
            </w:pPr>
            <w:r>
              <w:rPr>
                <w:sz w:val="4"/>
                <w:szCs w:val="4"/>
              </w:rPr>
            </w:r>
          </w:p>
        </w:tc>
        <w:tc>
          <w:tcPr>
            <w:tcW w:w="1502" w:type="dxa"/>
            <w:tcBorders/>
            <w:shd w:fill="auto" w:val="clear"/>
          </w:tcPr>
          <w:p>
            <w:pPr>
              <w:pStyle w:val="TableContents"/>
              <w:spacing w:before="0" w:after="283"/>
              <w:rPr>
                <w:sz w:val="4"/>
                <w:szCs w:val="4"/>
              </w:rPr>
            </w:pPr>
            <w:r>
              <w:rPr>
                <w:sz w:val="4"/>
                <w:szCs w:val="4"/>
              </w:rPr>
            </w:r>
          </w:p>
        </w:tc>
      </w:tr>
      <w:tr>
        <w:trPr/>
        <w:tc>
          <w:tcPr>
            <w:tcW w:w="6122" w:type="dxa"/>
            <w:tcBorders/>
            <w:shd w:fill="auto" w:val="clear"/>
          </w:tcPr>
          <w:p>
            <w:pPr>
              <w:pStyle w:val="TableContents"/>
              <w:spacing w:before="0" w:after="283"/>
              <w:jc w:val="left"/>
              <w:rPr/>
            </w:pPr>
            <w:r>
              <w:rPr/>
              <w:t>   </w:t>
            </w:r>
            <w:r>
              <w:rPr>
                <w:sz w:val="20"/>
              </w:rPr>
              <w:t>Net loss</w:t>
            </w:r>
          </w:p>
        </w:tc>
        <w:tc>
          <w:tcPr>
            <w:tcW w:w="1498" w:type="dxa"/>
            <w:tcBorders/>
            <w:shd w:fill="auto" w:val="clear"/>
          </w:tcPr>
          <w:p>
            <w:pPr>
              <w:pStyle w:val="TableContents"/>
              <w:spacing w:before="0" w:after="283"/>
              <w:jc w:val="right"/>
              <w:rPr>
                <w:sz w:val="20"/>
              </w:rPr>
            </w:pPr>
            <w:r>
              <w:rPr>
                <w:sz w:val="20"/>
              </w:rPr>
              <w:t>$        (365,779)</w:t>
            </w:r>
          </w:p>
        </w:tc>
        <w:tc>
          <w:tcPr>
            <w:tcW w:w="1498" w:type="dxa"/>
            <w:tcBorders/>
            <w:shd w:fill="auto" w:val="clear"/>
          </w:tcPr>
          <w:p>
            <w:pPr>
              <w:pStyle w:val="TableContents"/>
              <w:spacing w:before="0" w:after="283"/>
              <w:jc w:val="right"/>
              <w:rPr>
                <w:sz w:val="20"/>
              </w:rPr>
            </w:pPr>
            <w:r>
              <w:rPr>
                <w:sz w:val="20"/>
              </w:rPr>
              <w:t>$        (24,940)</w:t>
            </w:r>
          </w:p>
        </w:tc>
        <w:tc>
          <w:tcPr>
            <w:tcW w:w="1502" w:type="dxa"/>
            <w:tcBorders/>
            <w:shd w:fill="auto" w:val="clear"/>
          </w:tcPr>
          <w:p>
            <w:pPr>
              <w:pStyle w:val="TableContents"/>
              <w:spacing w:before="0" w:after="283"/>
              <w:jc w:val="right"/>
              <w:rPr>
                <w:sz w:val="20"/>
              </w:rPr>
            </w:pPr>
            <w:r>
              <w:rPr>
                <w:sz w:val="20"/>
              </w:rPr>
              <w:t>$   (13,786,148)</w:t>
            </w:r>
          </w:p>
        </w:tc>
      </w:tr>
      <w:tr>
        <w:trPr/>
        <w:tc>
          <w:tcPr>
            <w:tcW w:w="6122" w:type="dxa"/>
            <w:tcBorders/>
            <w:shd w:fill="auto" w:val="clear"/>
          </w:tcPr>
          <w:p>
            <w:pPr>
              <w:pStyle w:val="TableContents"/>
              <w:spacing w:before="0" w:after="283"/>
              <w:jc w:val="left"/>
              <w:rPr/>
            </w:pPr>
            <w:r>
              <w:rPr/>
              <w:t>   </w:t>
            </w:r>
            <w:r>
              <w:rPr>
                <w:sz w:val="20"/>
              </w:rPr>
              <w:t>Adjustments to reconcile net loss to net cash from operating activities:</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pPr>
            <w:r>
              <w:rPr/>
              <w:t>   </w:t>
            </w:r>
            <w:r>
              <w:rPr>
                <w:sz w:val="20"/>
              </w:rPr>
              <w:t>- amortization of deferred finance fees</w:t>
            </w:r>
          </w:p>
        </w:tc>
        <w:tc>
          <w:tcPr>
            <w:tcW w:w="1498" w:type="dxa"/>
            <w:tcBorders/>
            <w:shd w:fill="auto" w:val="clear"/>
          </w:tcPr>
          <w:p>
            <w:pPr>
              <w:pStyle w:val="TableContents"/>
              <w:spacing w:before="0" w:after="283"/>
              <w:jc w:val="right"/>
              <w:rPr>
                <w:sz w:val="20"/>
              </w:rPr>
            </w:pPr>
            <w:r>
              <w:rPr>
                <w:sz w:val="20"/>
              </w:rPr>
              <w:t>-</w:t>
            </w:r>
          </w:p>
        </w:tc>
        <w:tc>
          <w:tcPr>
            <w:tcW w:w="1498" w:type="dxa"/>
            <w:tcBorders/>
            <w:shd w:fill="auto" w:val="clear"/>
          </w:tcPr>
          <w:p>
            <w:pPr>
              <w:pStyle w:val="TableContents"/>
              <w:spacing w:before="0" w:after="283"/>
              <w:jc w:val="right"/>
              <w:rPr>
                <w:sz w:val="20"/>
              </w:rPr>
            </w:pPr>
            <w:r>
              <w:rPr>
                <w:sz w:val="20"/>
              </w:rPr>
              <w:t>-</w:t>
            </w:r>
          </w:p>
        </w:tc>
        <w:tc>
          <w:tcPr>
            <w:tcW w:w="1502" w:type="dxa"/>
            <w:tcBorders/>
            <w:shd w:fill="auto" w:val="clear"/>
          </w:tcPr>
          <w:p>
            <w:pPr>
              <w:pStyle w:val="TableContents"/>
              <w:spacing w:before="0" w:after="283"/>
              <w:jc w:val="right"/>
              <w:rPr>
                <w:sz w:val="20"/>
              </w:rPr>
            </w:pPr>
            <w:r>
              <w:rPr>
                <w:sz w:val="20"/>
              </w:rPr>
              <w:t>(33,300)</w:t>
            </w:r>
          </w:p>
        </w:tc>
      </w:tr>
      <w:tr>
        <w:trPr/>
        <w:tc>
          <w:tcPr>
            <w:tcW w:w="6122" w:type="dxa"/>
            <w:tcBorders/>
            <w:shd w:fill="auto" w:val="clear"/>
          </w:tcPr>
          <w:p>
            <w:pPr>
              <w:pStyle w:val="TableContents"/>
              <w:spacing w:before="0" w:after="283"/>
              <w:jc w:val="left"/>
              <w:rPr/>
            </w:pPr>
            <w:r>
              <w:rPr/>
              <w:t>   </w:t>
            </w:r>
            <w:r>
              <w:rPr>
                <w:sz w:val="20"/>
              </w:rPr>
              <w:t>- depreciation</w:t>
            </w:r>
          </w:p>
        </w:tc>
        <w:tc>
          <w:tcPr>
            <w:tcW w:w="1498" w:type="dxa"/>
            <w:tcBorders/>
            <w:shd w:fill="auto" w:val="clear"/>
          </w:tcPr>
          <w:p>
            <w:pPr>
              <w:pStyle w:val="TableContents"/>
              <w:spacing w:before="0" w:after="283"/>
              <w:jc w:val="right"/>
              <w:rPr>
                <w:sz w:val="20"/>
              </w:rPr>
            </w:pPr>
            <w:r>
              <w:rPr>
                <w:sz w:val="20"/>
              </w:rPr>
              <w:t>2,922 </w:t>
            </w:r>
          </w:p>
        </w:tc>
        <w:tc>
          <w:tcPr>
            <w:tcW w:w="1498" w:type="dxa"/>
            <w:tcBorders/>
            <w:shd w:fill="auto" w:val="clear"/>
          </w:tcPr>
          <w:p>
            <w:pPr>
              <w:pStyle w:val="TableContents"/>
              <w:spacing w:before="0" w:after="283"/>
              <w:jc w:val="right"/>
              <w:rPr>
                <w:sz w:val="20"/>
              </w:rPr>
            </w:pPr>
            <w:r>
              <w:rPr>
                <w:sz w:val="20"/>
              </w:rPr>
              <w:t>8,753 </w:t>
            </w:r>
          </w:p>
        </w:tc>
        <w:tc>
          <w:tcPr>
            <w:tcW w:w="1502" w:type="dxa"/>
            <w:tcBorders/>
            <w:shd w:fill="auto" w:val="clear"/>
          </w:tcPr>
          <w:p>
            <w:pPr>
              <w:pStyle w:val="TableContents"/>
              <w:spacing w:before="0" w:after="283"/>
              <w:jc w:val="right"/>
              <w:rPr>
                <w:sz w:val="20"/>
              </w:rPr>
            </w:pPr>
            <w:r>
              <w:rPr>
                <w:sz w:val="20"/>
              </w:rPr>
              <w:t>192,585 </w:t>
            </w:r>
          </w:p>
        </w:tc>
      </w:tr>
      <w:tr>
        <w:trPr/>
        <w:tc>
          <w:tcPr>
            <w:tcW w:w="6122" w:type="dxa"/>
            <w:tcBorders/>
            <w:shd w:fill="auto" w:val="clear"/>
          </w:tcPr>
          <w:p>
            <w:pPr>
              <w:pStyle w:val="TableContents"/>
              <w:spacing w:before="0" w:after="283"/>
              <w:jc w:val="left"/>
              <w:rPr/>
            </w:pPr>
            <w:r>
              <w:rPr/>
              <w:t>   </w:t>
            </w:r>
            <w:r>
              <w:rPr>
                <w:sz w:val="20"/>
              </w:rPr>
              <w:t>- non-cash interest and finance fees</w:t>
            </w:r>
          </w:p>
        </w:tc>
        <w:tc>
          <w:tcPr>
            <w:tcW w:w="1498" w:type="dxa"/>
            <w:tcBorders/>
            <w:shd w:fill="auto" w:val="clear"/>
          </w:tcPr>
          <w:p>
            <w:pPr>
              <w:pStyle w:val="TableContents"/>
              <w:spacing w:before="0" w:after="283"/>
              <w:jc w:val="right"/>
              <w:rPr>
                <w:sz w:val="20"/>
              </w:rPr>
            </w:pPr>
            <w:r>
              <w:rPr>
                <w:sz w:val="20"/>
              </w:rPr>
              <w:t>224,912 </w:t>
            </w:r>
          </w:p>
        </w:tc>
        <w:tc>
          <w:tcPr>
            <w:tcW w:w="1498" w:type="dxa"/>
            <w:tcBorders/>
            <w:shd w:fill="auto" w:val="clear"/>
          </w:tcPr>
          <w:p>
            <w:pPr>
              <w:pStyle w:val="TableContents"/>
              <w:spacing w:before="0" w:after="283"/>
              <w:jc w:val="right"/>
              <w:rPr>
                <w:sz w:val="20"/>
              </w:rPr>
            </w:pPr>
            <w:r>
              <w:rPr>
                <w:sz w:val="20"/>
              </w:rPr>
              <w:t>35,117 </w:t>
            </w:r>
          </w:p>
        </w:tc>
        <w:tc>
          <w:tcPr>
            <w:tcW w:w="1502" w:type="dxa"/>
            <w:tcBorders/>
            <w:shd w:fill="auto" w:val="clear"/>
          </w:tcPr>
          <w:p>
            <w:pPr>
              <w:pStyle w:val="TableContents"/>
              <w:spacing w:before="0" w:after="283"/>
              <w:jc w:val="right"/>
              <w:rPr>
                <w:sz w:val="20"/>
              </w:rPr>
            </w:pPr>
            <w:r>
              <w:rPr>
                <w:sz w:val="20"/>
              </w:rPr>
              <w:t>300,312 </w:t>
            </w:r>
          </w:p>
        </w:tc>
      </w:tr>
      <w:tr>
        <w:trPr/>
        <w:tc>
          <w:tcPr>
            <w:tcW w:w="6122" w:type="dxa"/>
            <w:tcBorders/>
            <w:shd w:fill="auto" w:val="clear"/>
          </w:tcPr>
          <w:p>
            <w:pPr>
              <w:pStyle w:val="TableContents"/>
              <w:spacing w:before="0" w:after="283"/>
              <w:jc w:val="left"/>
              <w:rPr/>
            </w:pPr>
            <w:r>
              <w:rPr/>
              <w:t>   </w:t>
            </w:r>
            <w:r>
              <w:rPr>
                <w:sz w:val="20"/>
              </w:rPr>
              <w:t xml:space="preserve">- non-cash consulting fees </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5,750 </w:t>
            </w:r>
          </w:p>
        </w:tc>
      </w:tr>
      <w:tr>
        <w:trPr/>
        <w:tc>
          <w:tcPr>
            <w:tcW w:w="6122" w:type="dxa"/>
            <w:tcBorders/>
            <w:shd w:fill="auto" w:val="clear"/>
          </w:tcPr>
          <w:p>
            <w:pPr>
              <w:pStyle w:val="TableContents"/>
              <w:spacing w:before="0" w:after="283"/>
              <w:jc w:val="left"/>
              <w:rPr/>
            </w:pPr>
            <w:r>
              <w:rPr/>
              <w:t>   </w:t>
            </w:r>
            <w:r>
              <w:rPr>
                <w:sz w:val="20"/>
              </w:rPr>
              <w:t xml:space="preserve">- non-cash license fees </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10,500 </w:t>
            </w:r>
          </w:p>
        </w:tc>
      </w:tr>
      <w:tr>
        <w:trPr/>
        <w:tc>
          <w:tcPr>
            <w:tcW w:w="6122" w:type="dxa"/>
            <w:tcBorders/>
            <w:shd w:fill="auto" w:val="clear"/>
          </w:tcPr>
          <w:p>
            <w:pPr>
              <w:pStyle w:val="TableContents"/>
              <w:spacing w:before="0" w:after="283"/>
              <w:jc w:val="left"/>
              <w:rPr/>
            </w:pPr>
            <w:r>
              <w:rPr/>
              <w:t>   </w:t>
            </w:r>
            <w:r>
              <w:rPr>
                <w:sz w:val="20"/>
              </w:rPr>
              <w:t>- stock-based compensation</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3,436,775 </w:t>
            </w:r>
          </w:p>
        </w:tc>
      </w:tr>
      <w:tr>
        <w:trPr/>
        <w:tc>
          <w:tcPr>
            <w:tcW w:w="6122" w:type="dxa"/>
            <w:tcBorders/>
            <w:shd w:fill="auto" w:val="clear"/>
          </w:tcPr>
          <w:p>
            <w:pPr>
              <w:pStyle w:val="TableContents"/>
              <w:spacing w:before="0" w:after="283"/>
              <w:jc w:val="left"/>
              <w:rPr/>
            </w:pPr>
            <w:r>
              <w:rPr/>
              <w:t>   </w:t>
            </w:r>
            <w:r>
              <w:rPr>
                <w:sz w:val="20"/>
              </w:rPr>
              <w:t xml:space="preserve">- non-cash gain on settlement of debts </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(142,549)</w:t>
            </w:r>
          </w:p>
        </w:tc>
        <w:tc>
          <w:tcPr>
            <w:tcW w:w="1502" w:type="dxa"/>
            <w:tcBorders/>
            <w:shd w:fill="auto" w:val="clear"/>
          </w:tcPr>
          <w:p>
            <w:pPr>
              <w:pStyle w:val="TableContents"/>
              <w:spacing w:before="0" w:after="283"/>
              <w:jc w:val="right"/>
              <w:rPr>
                <w:sz w:val="20"/>
              </w:rPr>
            </w:pPr>
            <w:r>
              <w:rPr>
                <w:sz w:val="20"/>
              </w:rPr>
              <w:t>(142,549)</w:t>
            </w:r>
          </w:p>
        </w:tc>
      </w:tr>
      <w:tr>
        <w:trPr/>
        <w:tc>
          <w:tcPr>
            <w:tcW w:w="6122" w:type="dxa"/>
            <w:tcBorders/>
            <w:shd w:fill="auto" w:val="clear"/>
          </w:tcPr>
          <w:p>
            <w:pPr>
              <w:pStyle w:val="TableContents"/>
              <w:spacing w:before="0" w:after="283"/>
              <w:jc w:val="left"/>
              <w:rPr/>
            </w:pPr>
            <w:r>
              <w:rPr/>
              <w:t>   </w:t>
            </w:r>
            <w:r>
              <w:rPr>
                <w:sz w:val="20"/>
              </w:rPr>
              <w:t>- prepaid expenses, accounts receivable and deposits</w:t>
            </w:r>
          </w:p>
        </w:tc>
        <w:tc>
          <w:tcPr>
            <w:tcW w:w="1498" w:type="dxa"/>
            <w:tcBorders/>
            <w:shd w:fill="auto" w:val="clear"/>
          </w:tcPr>
          <w:p>
            <w:pPr>
              <w:pStyle w:val="TableContents"/>
              <w:spacing w:before="0" w:after="283"/>
              <w:jc w:val="right"/>
              <w:rPr>
                <w:sz w:val="20"/>
              </w:rPr>
            </w:pPr>
            <w:r>
              <w:rPr>
                <w:sz w:val="20"/>
              </w:rPr>
              <w:t>1,218  </w:t>
            </w:r>
          </w:p>
        </w:tc>
        <w:tc>
          <w:tcPr>
            <w:tcW w:w="1498" w:type="dxa"/>
            <w:tcBorders/>
            <w:shd w:fill="auto" w:val="clear"/>
          </w:tcPr>
          <w:p>
            <w:pPr>
              <w:pStyle w:val="TableContents"/>
              <w:spacing w:before="0" w:after="283"/>
              <w:jc w:val="right"/>
              <w:rPr>
                <w:sz w:val="20"/>
              </w:rPr>
            </w:pPr>
            <w:r>
              <w:rPr>
                <w:sz w:val="20"/>
              </w:rPr>
              <w:t>(252,444)</w:t>
            </w:r>
          </w:p>
        </w:tc>
        <w:tc>
          <w:tcPr>
            <w:tcW w:w="1502" w:type="dxa"/>
            <w:tcBorders/>
            <w:shd w:fill="auto" w:val="clear"/>
          </w:tcPr>
          <w:p>
            <w:pPr>
              <w:pStyle w:val="TableContents"/>
              <w:spacing w:before="0" w:after="283"/>
              <w:jc w:val="right"/>
              <w:rPr>
                <w:sz w:val="20"/>
              </w:rPr>
            </w:pPr>
            <w:r>
              <w:rPr>
                <w:sz w:val="20"/>
              </w:rPr>
              <w:t>(19,860)</w:t>
            </w:r>
          </w:p>
        </w:tc>
      </w:tr>
      <w:tr>
        <w:trPr/>
        <w:tc>
          <w:tcPr>
            <w:tcW w:w="6122" w:type="dxa"/>
            <w:tcBorders/>
            <w:shd w:fill="auto" w:val="clear"/>
          </w:tcPr>
          <w:p>
            <w:pPr>
              <w:pStyle w:val="TableContents"/>
              <w:spacing w:before="0" w:after="283"/>
              <w:jc w:val="left"/>
              <w:rPr/>
            </w:pPr>
            <w:r>
              <w:rPr/>
              <w:t>   </w:t>
            </w:r>
            <w:r>
              <w:rPr>
                <w:sz w:val="20"/>
              </w:rPr>
              <w:t>- accounts payable</w:t>
            </w:r>
          </w:p>
        </w:tc>
        <w:tc>
          <w:tcPr>
            <w:tcW w:w="1498" w:type="dxa"/>
            <w:tcBorders/>
            <w:shd w:fill="auto" w:val="clear"/>
          </w:tcPr>
          <w:p>
            <w:pPr>
              <w:pStyle w:val="TableContents"/>
              <w:spacing w:before="0" w:after="283"/>
              <w:jc w:val="right"/>
              <w:rPr>
                <w:sz w:val="20"/>
              </w:rPr>
            </w:pPr>
            <w:r>
              <w:rPr>
                <w:sz w:val="20"/>
              </w:rPr>
              <w:t>39,976 </w:t>
            </w:r>
          </w:p>
        </w:tc>
        <w:tc>
          <w:tcPr>
            <w:tcW w:w="1498" w:type="dxa"/>
            <w:tcBorders/>
            <w:shd w:fill="auto" w:val="clear"/>
          </w:tcPr>
          <w:p>
            <w:pPr>
              <w:pStyle w:val="TableContents"/>
              <w:spacing w:before="0" w:after="283"/>
              <w:jc w:val="right"/>
              <w:rPr>
                <w:sz w:val="20"/>
              </w:rPr>
            </w:pPr>
            <w:r>
              <w:rPr>
                <w:sz w:val="20"/>
              </w:rPr>
              <w:t>(25,893)</w:t>
            </w:r>
          </w:p>
        </w:tc>
        <w:tc>
          <w:tcPr>
            <w:tcW w:w="1502" w:type="dxa"/>
            <w:tcBorders/>
            <w:shd w:fill="auto" w:val="clear"/>
          </w:tcPr>
          <w:p>
            <w:pPr>
              <w:pStyle w:val="TableContents"/>
              <w:spacing w:before="0" w:after="283"/>
              <w:jc w:val="right"/>
              <w:rPr>
                <w:sz w:val="20"/>
              </w:rPr>
            </w:pPr>
            <w:r>
              <w:rPr>
                <w:sz w:val="20"/>
              </w:rPr>
              <w:t>1,162,863 </w:t>
            </w:r>
          </w:p>
        </w:tc>
      </w:tr>
      <w:tr>
        <w:trPr/>
        <w:tc>
          <w:tcPr>
            <w:tcW w:w="6122" w:type="dxa"/>
            <w:tcBorders/>
            <w:shd w:fill="auto" w:val="clear"/>
          </w:tcPr>
          <w:p>
            <w:pPr>
              <w:pStyle w:val="TableContents"/>
              <w:spacing w:before="0" w:after="283"/>
              <w:jc w:val="left"/>
              <w:rPr/>
            </w:pPr>
            <w:r>
              <w:rPr/>
              <w:t>   </w:t>
            </w:r>
            <w:r>
              <w:rPr>
                <w:sz w:val="20"/>
              </w:rPr>
              <w:t>- research agreement obligations</w:t>
            </w:r>
          </w:p>
        </w:tc>
        <w:tc>
          <w:tcPr>
            <w:tcW w:w="1498" w:type="dxa"/>
            <w:tcBorders/>
            <w:shd w:fill="auto" w:val="clear"/>
          </w:tcPr>
          <w:p>
            <w:pPr>
              <w:pStyle w:val="TableContents"/>
              <w:spacing w:before="0" w:after="283"/>
              <w:jc w:val="right"/>
              <w:rPr>
                <w:sz w:val="20"/>
              </w:rPr>
            </w:pPr>
            <w:r>
              <w:rPr>
                <w:sz w:val="20"/>
              </w:rPr>
              <w:t>(258,538)</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413,994 </w:t>
            </w:r>
          </w:p>
        </w:tc>
      </w:tr>
      <w:tr>
        <w:trPr>
          <w:trHeight w:val="525" w:hRule="atLeast"/>
        </w:trPr>
        <w:tc>
          <w:tcPr>
            <w:tcW w:w="6122" w:type="dxa"/>
            <w:tcBorders/>
            <w:shd w:fill="auto" w:val="clear"/>
            <w:vAlign w:val="bottom"/>
          </w:tcPr>
          <w:p>
            <w:pPr>
              <w:pStyle w:val="TableContents"/>
              <w:spacing w:before="0" w:after="283"/>
              <w:jc w:val="left"/>
              <w:rPr>
                <w:b/>
                <w:sz w:val="20"/>
              </w:rPr>
            </w:pPr>
            <w:r>
              <w:rPr>
                <w:b/>
                <w:sz w:val="20"/>
              </w:rPr>
              <w:t>NET CASH USED IN OPERATING ACTIVITIES</w:t>
            </w:r>
          </w:p>
        </w:tc>
        <w:tc>
          <w:tcPr>
            <w:tcW w:w="1498" w:type="dxa"/>
            <w:tcBorders/>
            <w:shd w:fill="auto" w:val="clear"/>
            <w:vAlign w:val="bottom"/>
          </w:tcPr>
          <w:p>
            <w:pPr>
              <w:pStyle w:val="TableContents"/>
              <w:spacing w:before="0" w:after="283"/>
              <w:jc w:val="right"/>
              <w:rPr>
                <w:sz w:val="20"/>
              </w:rPr>
            </w:pPr>
            <w:r>
              <w:rPr>
                <w:sz w:val="20"/>
              </w:rPr>
              <w:t>(355,289)</w:t>
            </w:r>
          </w:p>
        </w:tc>
        <w:tc>
          <w:tcPr>
            <w:tcW w:w="1498" w:type="dxa"/>
            <w:tcBorders/>
            <w:shd w:fill="auto" w:val="clear"/>
            <w:vAlign w:val="bottom"/>
          </w:tcPr>
          <w:p>
            <w:pPr>
              <w:pStyle w:val="TableContents"/>
              <w:spacing w:before="0" w:after="283"/>
              <w:jc w:val="right"/>
              <w:rPr>
                <w:sz w:val="20"/>
              </w:rPr>
            </w:pPr>
            <w:r>
              <w:rPr>
                <w:sz w:val="20"/>
              </w:rPr>
              <w:t>(350,170)</w:t>
            </w:r>
          </w:p>
        </w:tc>
        <w:tc>
          <w:tcPr>
            <w:tcW w:w="1502" w:type="dxa"/>
            <w:tcBorders/>
            <w:shd w:fill="auto" w:val="clear"/>
            <w:vAlign w:val="bottom"/>
          </w:tcPr>
          <w:p>
            <w:pPr>
              <w:pStyle w:val="TableContents"/>
              <w:spacing w:before="0" w:after="283"/>
              <w:jc w:val="right"/>
              <w:rPr>
                <w:sz w:val="20"/>
              </w:rPr>
            </w:pPr>
            <w:r>
              <w:rPr>
                <w:sz w:val="20"/>
              </w:rPr>
              <w:t>(8,407,261)</w:t>
            </w:r>
          </w:p>
        </w:tc>
      </w:tr>
      <w:tr>
        <w:trPr>
          <w:trHeight w:val="555" w:hRule="atLeast"/>
        </w:trPr>
        <w:tc>
          <w:tcPr>
            <w:tcW w:w="6122" w:type="dxa"/>
            <w:tcBorders/>
            <w:shd w:fill="auto" w:val="clear"/>
            <w:vAlign w:val="bottom"/>
          </w:tcPr>
          <w:p>
            <w:pPr>
              <w:pStyle w:val="TableContents"/>
              <w:spacing w:before="0" w:after="283"/>
              <w:jc w:val="left"/>
              <w:rPr>
                <w:b/>
                <w:sz w:val="20"/>
              </w:rPr>
            </w:pPr>
            <w:r>
              <w:rPr>
                <w:b/>
                <w:sz w:val="20"/>
              </w:rPr>
              <w:t>CASH FLOWS FROM INVESTING ACTIVITIES</w:t>
            </w:r>
          </w:p>
        </w:tc>
        <w:tc>
          <w:tcPr>
            <w:tcW w:w="1498" w:type="dxa"/>
            <w:tcBorders/>
            <w:shd w:fill="auto" w:val="clear"/>
          </w:tcPr>
          <w:p>
            <w:pPr>
              <w:pStyle w:val="TableContents"/>
              <w:spacing w:before="0" w:after="283"/>
              <w:rPr>
                <w:sz w:val="4"/>
                <w:szCs w:val="4"/>
              </w:rPr>
            </w:pPr>
            <w:r>
              <w:rPr>
                <w:sz w:val="4"/>
                <w:szCs w:val="4"/>
              </w:rPr>
            </w:r>
          </w:p>
        </w:tc>
        <w:tc>
          <w:tcPr>
            <w:tcW w:w="1498" w:type="dxa"/>
            <w:tcBorders/>
            <w:shd w:fill="auto" w:val="clear"/>
          </w:tcPr>
          <w:p>
            <w:pPr>
              <w:pStyle w:val="TableContents"/>
              <w:spacing w:before="0" w:after="283"/>
              <w:rPr>
                <w:sz w:val="4"/>
                <w:szCs w:val="4"/>
              </w:rPr>
            </w:pPr>
            <w:r>
              <w:rPr>
                <w:sz w:val="4"/>
                <w:szCs w:val="4"/>
              </w:rPr>
            </w:r>
          </w:p>
        </w:tc>
        <w:tc>
          <w:tcPr>
            <w:tcW w:w="1502" w:type="dxa"/>
            <w:tcBorders/>
            <w:shd w:fill="auto" w:val="clear"/>
          </w:tcPr>
          <w:p>
            <w:pPr>
              <w:pStyle w:val="TableContents"/>
              <w:spacing w:before="0" w:after="283"/>
              <w:rPr>
                <w:sz w:val="4"/>
                <w:szCs w:val="4"/>
              </w:rPr>
            </w:pPr>
            <w:r>
              <w:rPr>
                <w:sz w:val="4"/>
                <w:szCs w:val="4"/>
              </w:rPr>
            </w:r>
          </w:p>
        </w:tc>
      </w:tr>
      <w:tr>
        <w:trPr/>
        <w:tc>
          <w:tcPr>
            <w:tcW w:w="6122" w:type="dxa"/>
            <w:tcBorders/>
            <w:shd w:fill="auto" w:val="clear"/>
          </w:tcPr>
          <w:p>
            <w:pPr>
              <w:pStyle w:val="TableContents"/>
              <w:spacing w:before="0" w:after="283"/>
              <w:jc w:val="left"/>
              <w:rPr/>
            </w:pPr>
            <w:r>
              <w:rPr/>
              <w:t>   </w:t>
            </w:r>
            <w:r>
              <w:rPr>
                <w:sz w:val="20"/>
              </w:rPr>
              <w:t>Purchase of furniture and equipment</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(1,972)</w:t>
            </w:r>
          </w:p>
        </w:tc>
        <w:tc>
          <w:tcPr>
            <w:tcW w:w="1502" w:type="dxa"/>
            <w:tcBorders/>
            <w:shd w:fill="auto" w:val="clear"/>
          </w:tcPr>
          <w:p>
            <w:pPr>
              <w:pStyle w:val="TableContents"/>
              <w:spacing w:before="0" w:after="283"/>
              <w:jc w:val="right"/>
              <w:rPr>
                <w:sz w:val="20"/>
              </w:rPr>
            </w:pPr>
            <w:r>
              <w:rPr>
                <w:sz w:val="20"/>
              </w:rPr>
              <w:t>(196,200)</w:t>
            </w:r>
          </w:p>
        </w:tc>
      </w:tr>
      <w:tr>
        <w:trPr/>
        <w:tc>
          <w:tcPr>
            <w:tcW w:w="6122" w:type="dxa"/>
            <w:tcBorders/>
            <w:shd w:fill="auto" w:val="clear"/>
          </w:tcPr>
          <w:p>
            <w:pPr>
              <w:pStyle w:val="TableContents"/>
              <w:spacing w:before="0" w:after="283"/>
              <w:jc w:val="left"/>
              <w:rPr/>
            </w:pPr>
            <w:r>
              <w:rPr/>
              <w:t>   </w:t>
            </w:r>
            <w:r>
              <w:rPr>
                <w:sz w:val="20"/>
              </w:rPr>
              <w:t xml:space="preserve">Pre reverse acquisition advances from GMC </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250,000 </w:t>
            </w:r>
          </w:p>
        </w:tc>
      </w:tr>
      <w:tr>
        <w:trPr/>
        <w:tc>
          <w:tcPr>
            <w:tcW w:w="6122" w:type="dxa"/>
            <w:tcBorders/>
            <w:shd w:fill="auto" w:val="clear"/>
          </w:tcPr>
          <w:p>
            <w:pPr>
              <w:pStyle w:val="TableContents"/>
              <w:spacing w:before="0" w:after="283"/>
              <w:jc w:val="left"/>
              <w:rPr/>
            </w:pPr>
            <w:r>
              <w:rPr/>
              <w:t>   </w:t>
            </w:r>
            <w:r>
              <w:rPr>
                <w:sz w:val="20"/>
              </w:rPr>
              <w:t>Cash acquired on reverse acquisition of GMC</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173,373 </w:t>
            </w:r>
          </w:p>
        </w:tc>
      </w:tr>
      <w:tr>
        <w:trPr>
          <w:trHeight w:val="585" w:hRule="atLeast"/>
        </w:trPr>
        <w:tc>
          <w:tcPr>
            <w:tcW w:w="6122" w:type="dxa"/>
            <w:tcBorders/>
            <w:shd w:fill="auto" w:val="clear"/>
            <w:vAlign w:val="bottom"/>
          </w:tcPr>
          <w:p>
            <w:pPr>
              <w:pStyle w:val="TableContents"/>
              <w:spacing w:before="0" w:after="283"/>
              <w:jc w:val="left"/>
              <w:rPr>
                <w:b/>
                <w:sz w:val="20"/>
              </w:rPr>
            </w:pPr>
            <w:r>
              <w:rPr>
                <w:b/>
                <w:sz w:val="20"/>
              </w:rPr>
              <w:t>NET CASH PROVIDED BY (USED IN) INVESTING ACTIVITIES</w:t>
            </w:r>
          </w:p>
        </w:tc>
        <w:tc>
          <w:tcPr>
            <w:tcW w:w="1498" w:type="dxa"/>
            <w:tcBorders/>
            <w:shd w:fill="auto" w:val="clear"/>
            <w:vAlign w:val="bottom"/>
          </w:tcPr>
          <w:p>
            <w:pPr>
              <w:pStyle w:val="TableContents"/>
              <w:spacing w:before="0" w:after="283"/>
              <w:jc w:val="right"/>
              <w:rPr>
                <w:sz w:val="20"/>
              </w:rPr>
            </w:pPr>
            <w:r>
              <w:rPr>
                <w:sz w:val="20"/>
              </w:rPr>
              <w:t>- </w:t>
            </w:r>
          </w:p>
        </w:tc>
        <w:tc>
          <w:tcPr>
            <w:tcW w:w="1498" w:type="dxa"/>
            <w:tcBorders/>
            <w:shd w:fill="auto" w:val="clear"/>
            <w:vAlign w:val="bottom"/>
          </w:tcPr>
          <w:p>
            <w:pPr>
              <w:pStyle w:val="TableContents"/>
              <w:spacing w:before="0" w:after="283"/>
              <w:jc w:val="right"/>
              <w:rPr>
                <w:sz w:val="20"/>
              </w:rPr>
            </w:pPr>
            <w:r>
              <w:rPr>
                <w:sz w:val="20"/>
              </w:rPr>
              <w:t>(1,972)</w:t>
            </w:r>
          </w:p>
        </w:tc>
        <w:tc>
          <w:tcPr>
            <w:tcW w:w="1502" w:type="dxa"/>
            <w:tcBorders/>
            <w:shd w:fill="auto" w:val="clear"/>
            <w:vAlign w:val="bottom"/>
          </w:tcPr>
          <w:p>
            <w:pPr>
              <w:pStyle w:val="TableContents"/>
              <w:spacing w:before="0" w:after="283"/>
              <w:jc w:val="right"/>
              <w:rPr>
                <w:sz w:val="20"/>
              </w:rPr>
            </w:pPr>
            <w:r>
              <w:rPr>
                <w:sz w:val="20"/>
              </w:rPr>
              <w:t>227,173 </w:t>
            </w:r>
          </w:p>
        </w:tc>
      </w:tr>
      <w:tr>
        <w:trPr>
          <w:trHeight w:val="315" w:hRule="atLeast"/>
        </w:trPr>
        <w:tc>
          <w:tcPr>
            <w:tcW w:w="6122" w:type="dxa"/>
            <w:tcBorders/>
            <w:shd w:fill="auto" w:val="clear"/>
          </w:tcPr>
          <w:p>
            <w:pPr>
              <w:pStyle w:val="TableContents"/>
              <w:spacing w:before="0" w:after="283"/>
              <w:rPr>
                <w:sz w:val="4"/>
                <w:szCs w:val="4"/>
              </w:rPr>
            </w:pPr>
            <w:r>
              <w:rPr>
                <w:sz w:val="4"/>
                <w:szCs w:val="4"/>
              </w:rPr>
            </w:r>
          </w:p>
        </w:tc>
        <w:tc>
          <w:tcPr>
            <w:tcW w:w="1498" w:type="dxa"/>
            <w:tcBorders/>
            <w:shd w:fill="auto" w:val="clear"/>
          </w:tcPr>
          <w:p>
            <w:pPr>
              <w:pStyle w:val="TableContents"/>
              <w:spacing w:before="0" w:after="283"/>
              <w:rPr>
                <w:sz w:val="4"/>
                <w:szCs w:val="4"/>
              </w:rPr>
            </w:pPr>
            <w:r>
              <w:rPr>
                <w:sz w:val="4"/>
                <w:szCs w:val="4"/>
              </w:rPr>
            </w:r>
          </w:p>
        </w:tc>
        <w:tc>
          <w:tcPr>
            <w:tcW w:w="1498" w:type="dxa"/>
            <w:tcBorders/>
            <w:shd w:fill="auto" w:val="clear"/>
          </w:tcPr>
          <w:p>
            <w:pPr>
              <w:pStyle w:val="TableContents"/>
              <w:spacing w:before="0" w:after="283"/>
              <w:rPr>
                <w:sz w:val="4"/>
                <w:szCs w:val="4"/>
              </w:rPr>
            </w:pPr>
            <w:r>
              <w:rPr>
                <w:sz w:val="4"/>
                <w:szCs w:val="4"/>
              </w:rPr>
            </w:r>
          </w:p>
        </w:tc>
        <w:tc>
          <w:tcPr>
            <w:tcW w:w="1502" w:type="dxa"/>
            <w:tcBorders/>
            <w:shd w:fill="auto" w:val="clear"/>
          </w:tcPr>
          <w:p>
            <w:pPr>
              <w:pStyle w:val="TableContents"/>
              <w:spacing w:before="0" w:after="283"/>
              <w:rPr>
                <w:sz w:val="4"/>
                <w:szCs w:val="4"/>
              </w:rPr>
            </w:pPr>
            <w:r>
              <w:rPr>
                <w:sz w:val="4"/>
                <w:szCs w:val="4"/>
              </w:rPr>
            </w:r>
          </w:p>
        </w:tc>
      </w:tr>
      <w:tr>
        <w:trPr/>
        <w:tc>
          <w:tcPr>
            <w:tcW w:w="6122" w:type="dxa"/>
            <w:tcBorders/>
            <w:shd w:fill="auto" w:val="clear"/>
          </w:tcPr>
          <w:p>
            <w:pPr>
              <w:pStyle w:val="TableContents"/>
              <w:spacing w:before="0" w:after="283"/>
              <w:jc w:val="left"/>
              <w:rPr>
                <w:b/>
                <w:sz w:val="20"/>
              </w:rPr>
            </w:pPr>
            <w:r>
              <w:rPr>
                <w:b/>
                <w:sz w:val="20"/>
              </w:rPr>
              <w:t>CASH FLOWS FROM FINANCING ACTIVITIES</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pPr>
            <w:r>
              <w:rPr/>
              <w:t>   </w:t>
            </w:r>
            <w:r>
              <w:rPr>
                <w:sz w:val="20"/>
              </w:rPr>
              <w:t xml:space="preserve">Proceeds on sale and subscriptions of common stock </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1,162,064 </w:t>
            </w:r>
          </w:p>
        </w:tc>
        <w:tc>
          <w:tcPr>
            <w:tcW w:w="1502" w:type="dxa"/>
            <w:tcBorders/>
            <w:shd w:fill="auto" w:val="clear"/>
          </w:tcPr>
          <w:p>
            <w:pPr>
              <w:pStyle w:val="TableContents"/>
              <w:spacing w:before="0" w:after="283"/>
              <w:jc w:val="right"/>
              <w:rPr>
                <w:sz w:val="20"/>
              </w:rPr>
            </w:pPr>
            <w:r>
              <w:rPr>
                <w:sz w:val="20"/>
              </w:rPr>
              <w:t>7,055,605 </w:t>
            </w:r>
          </w:p>
        </w:tc>
      </w:tr>
      <w:tr>
        <w:trPr/>
        <w:tc>
          <w:tcPr>
            <w:tcW w:w="6122" w:type="dxa"/>
            <w:tcBorders/>
            <w:shd w:fill="auto" w:val="clear"/>
          </w:tcPr>
          <w:p>
            <w:pPr>
              <w:pStyle w:val="TableContents"/>
              <w:spacing w:before="0" w:after="283"/>
              <w:jc w:val="left"/>
              <w:rPr/>
            </w:pPr>
            <w:r>
              <w:rPr/>
              <w:t>   </w:t>
            </w:r>
            <w:r>
              <w:rPr>
                <w:sz w:val="20"/>
              </w:rPr>
              <w:t>Deferred finance fees</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(198,181)</w:t>
            </w:r>
          </w:p>
        </w:tc>
      </w:tr>
      <w:tr>
        <w:trPr/>
        <w:tc>
          <w:tcPr>
            <w:tcW w:w="6122" w:type="dxa"/>
            <w:tcBorders/>
            <w:shd w:fill="auto" w:val="clear"/>
          </w:tcPr>
          <w:p>
            <w:pPr>
              <w:pStyle w:val="TableContents"/>
              <w:spacing w:before="0" w:after="283"/>
              <w:jc w:val="left"/>
              <w:rPr/>
            </w:pPr>
            <w:r>
              <w:rPr/>
              <w:t>   </w:t>
            </w:r>
            <w:r>
              <w:rPr>
                <w:sz w:val="20"/>
              </w:rPr>
              <w:t>Convertible loan subscriptions received</w:t>
            </w:r>
          </w:p>
        </w:tc>
        <w:tc>
          <w:tcPr>
            <w:tcW w:w="1498" w:type="dxa"/>
            <w:tcBorders/>
            <w:shd w:fill="auto" w:val="clear"/>
          </w:tcPr>
          <w:p>
            <w:pPr>
              <w:pStyle w:val="TableContents"/>
              <w:spacing w:before="0" w:after="283"/>
              <w:jc w:val="right"/>
              <w:rPr>
                <w:sz w:val="20"/>
              </w:rPr>
            </w:pPr>
            <w:r>
              <w:rPr>
                <w:sz w:val="20"/>
              </w:rPr>
              <w:t>-</w:t>
            </w:r>
          </w:p>
        </w:tc>
        <w:tc>
          <w:tcPr>
            <w:tcW w:w="1498" w:type="dxa"/>
            <w:tcBorders/>
            <w:shd w:fill="auto" w:val="clear"/>
          </w:tcPr>
          <w:p>
            <w:pPr>
              <w:pStyle w:val="TableContents"/>
              <w:spacing w:before="0" w:after="283"/>
              <w:jc w:val="right"/>
              <w:rPr>
                <w:sz w:val="20"/>
              </w:rPr>
            </w:pPr>
            <w:r>
              <w:rPr>
                <w:sz w:val="20"/>
              </w:rPr>
              <w:t>-</w:t>
            </w:r>
          </w:p>
        </w:tc>
        <w:tc>
          <w:tcPr>
            <w:tcW w:w="1502" w:type="dxa"/>
            <w:tcBorders/>
            <w:shd w:fill="auto" w:val="clear"/>
          </w:tcPr>
          <w:p>
            <w:pPr>
              <w:pStyle w:val="TableContents"/>
              <w:spacing w:before="0" w:after="283"/>
              <w:jc w:val="right"/>
              <w:rPr>
                <w:sz w:val="20"/>
              </w:rPr>
            </w:pPr>
            <w:r>
              <w:rPr>
                <w:sz w:val="20"/>
              </w:rPr>
              <w:t>60,000</w:t>
            </w:r>
          </w:p>
        </w:tc>
      </w:tr>
      <w:tr>
        <w:trPr/>
        <w:tc>
          <w:tcPr>
            <w:tcW w:w="6122" w:type="dxa"/>
            <w:tcBorders/>
            <w:shd w:fill="auto" w:val="clear"/>
          </w:tcPr>
          <w:p>
            <w:pPr>
              <w:pStyle w:val="TableContents"/>
              <w:spacing w:before="0" w:after="283"/>
              <w:jc w:val="left"/>
              <w:rPr/>
            </w:pPr>
            <w:r>
              <w:rPr/>
              <w:t>   </w:t>
            </w:r>
            <w:r>
              <w:rPr>
                <w:sz w:val="20"/>
              </w:rPr>
              <w:t>Proceeds from convertible loans payable</w:t>
            </w:r>
          </w:p>
        </w:tc>
        <w:tc>
          <w:tcPr>
            <w:tcW w:w="1498" w:type="dxa"/>
            <w:tcBorders/>
            <w:shd w:fill="auto" w:val="clear"/>
          </w:tcPr>
          <w:p>
            <w:pPr>
              <w:pStyle w:val="TableContents"/>
              <w:spacing w:before="0" w:after="283"/>
              <w:jc w:val="right"/>
              <w:rPr>
                <w:sz w:val="20"/>
              </w:rPr>
            </w:pPr>
            <w:r>
              <w:rPr>
                <w:sz w:val="20"/>
              </w:rPr>
              <w:t>485,000 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985,000 </w:t>
            </w:r>
          </w:p>
        </w:tc>
      </w:tr>
      <w:tr>
        <w:trPr/>
        <w:tc>
          <w:tcPr>
            <w:tcW w:w="6122" w:type="dxa"/>
            <w:tcBorders/>
            <w:shd w:fill="auto" w:val="clear"/>
          </w:tcPr>
          <w:p>
            <w:pPr>
              <w:pStyle w:val="TableContents"/>
              <w:spacing w:before="0" w:after="283"/>
              <w:jc w:val="left"/>
              <w:rPr/>
            </w:pPr>
            <w:r>
              <w:rPr/>
              <w:t>   </w:t>
            </w:r>
            <w:r>
              <w:rPr>
                <w:sz w:val="20"/>
              </w:rPr>
              <w:t>Loans payable</w:t>
            </w:r>
          </w:p>
        </w:tc>
        <w:tc>
          <w:tcPr>
            <w:tcW w:w="1498" w:type="dxa"/>
            <w:tcBorders/>
            <w:shd w:fill="auto" w:val="clear"/>
          </w:tcPr>
          <w:p>
            <w:pPr>
              <w:pStyle w:val="TableContents"/>
              <w:spacing w:before="0" w:after="283"/>
              <w:jc w:val="right"/>
              <w:rPr>
                <w:sz w:val="20"/>
              </w:rPr>
            </w:pPr>
            <w:r>
              <w:rPr>
                <w:sz w:val="20"/>
              </w:rPr>
              <w:t>- </w:t>
            </w:r>
          </w:p>
        </w:tc>
        <w:tc>
          <w:tcPr>
            <w:tcW w:w="1498"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136,245 </w:t>
            </w:r>
          </w:p>
        </w:tc>
      </w:tr>
      <w:tr>
        <w:trPr/>
        <w:tc>
          <w:tcPr>
            <w:tcW w:w="6122" w:type="dxa"/>
            <w:tcBorders/>
            <w:shd w:fill="auto" w:val="clear"/>
          </w:tcPr>
          <w:p>
            <w:pPr>
              <w:pStyle w:val="TableContents"/>
              <w:spacing w:before="0" w:after="283"/>
              <w:jc w:val="left"/>
              <w:rPr/>
            </w:pPr>
            <w:r>
              <w:rPr/>
              <w:t>   </w:t>
            </w:r>
            <w:r>
              <w:rPr>
                <w:sz w:val="20"/>
              </w:rPr>
              <w:t>Advances (to) from related parties</w:t>
            </w:r>
          </w:p>
        </w:tc>
        <w:tc>
          <w:tcPr>
            <w:tcW w:w="1498" w:type="dxa"/>
            <w:tcBorders/>
            <w:shd w:fill="auto" w:val="clear"/>
          </w:tcPr>
          <w:p>
            <w:pPr>
              <w:pStyle w:val="TableContents"/>
              <w:spacing w:before="0" w:after="283"/>
              <w:jc w:val="right"/>
              <w:rPr>
                <w:sz w:val="20"/>
              </w:rPr>
            </w:pPr>
            <w:r>
              <w:rPr>
                <w:sz w:val="20"/>
              </w:rPr>
              <w:t>27,221 </w:t>
            </w:r>
          </w:p>
        </w:tc>
        <w:tc>
          <w:tcPr>
            <w:tcW w:w="1498" w:type="dxa"/>
            <w:tcBorders/>
            <w:shd w:fill="auto" w:val="clear"/>
          </w:tcPr>
          <w:p>
            <w:pPr>
              <w:pStyle w:val="TableContents"/>
              <w:spacing w:before="0" w:after="283"/>
              <w:jc w:val="right"/>
              <w:rPr>
                <w:sz w:val="20"/>
              </w:rPr>
            </w:pPr>
            <w:r>
              <w:rPr>
                <w:sz w:val="20"/>
              </w:rPr>
              <w:t>(8,212) </w:t>
            </w:r>
          </w:p>
        </w:tc>
        <w:tc>
          <w:tcPr>
            <w:tcW w:w="1502" w:type="dxa"/>
            <w:tcBorders/>
            <w:shd w:fill="auto" w:val="clear"/>
          </w:tcPr>
          <w:p>
            <w:pPr>
              <w:pStyle w:val="TableContents"/>
              <w:spacing w:before="0" w:after="283"/>
              <w:jc w:val="right"/>
              <w:rPr>
                <w:sz w:val="20"/>
              </w:rPr>
            </w:pPr>
            <w:r>
              <w:rPr>
                <w:sz w:val="20"/>
              </w:rPr>
              <w:t>420,715 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NET CASH FLOWS PROVIDED BY FINANCING ACTIVITIES</w:t>
            </w:r>
          </w:p>
        </w:tc>
        <w:tc>
          <w:tcPr>
            <w:tcW w:w="1498" w:type="dxa"/>
            <w:tcBorders/>
            <w:shd w:fill="auto" w:val="clear"/>
          </w:tcPr>
          <w:p>
            <w:pPr>
              <w:pStyle w:val="TableContents"/>
              <w:spacing w:before="0" w:after="283"/>
              <w:jc w:val="right"/>
              <w:rPr>
                <w:sz w:val="20"/>
              </w:rPr>
            </w:pPr>
            <w:r>
              <w:rPr>
                <w:sz w:val="20"/>
              </w:rPr>
              <w:t>512,221 </w:t>
            </w:r>
          </w:p>
        </w:tc>
        <w:tc>
          <w:tcPr>
            <w:tcW w:w="1498" w:type="dxa"/>
            <w:tcBorders/>
            <w:shd w:fill="auto" w:val="clear"/>
          </w:tcPr>
          <w:p>
            <w:pPr>
              <w:pStyle w:val="TableContents"/>
              <w:spacing w:before="0" w:after="283"/>
              <w:jc w:val="right"/>
              <w:rPr>
                <w:sz w:val="20"/>
              </w:rPr>
            </w:pPr>
            <w:r>
              <w:rPr>
                <w:sz w:val="20"/>
              </w:rPr>
              <w:t>1,153,852 </w:t>
            </w:r>
          </w:p>
        </w:tc>
        <w:tc>
          <w:tcPr>
            <w:tcW w:w="1502" w:type="dxa"/>
            <w:tcBorders/>
            <w:shd w:fill="auto" w:val="clear"/>
          </w:tcPr>
          <w:p>
            <w:pPr>
              <w:pStyle w:val="TableContents"/>
              <w:spacing w:before="0" w:after="283"/>
              <w:jc w:val="right"/>
              <w:rPr>
                <w:sz w:val="20"/>
              </w:rPr>
            </w:pPr>
            <w:r>
              <w:rPr>
                <w:sz w:val="20"/>
              </w:rPr>
              <w:t>8,459,384 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 xml:space="preserve">EFFECT OF EXCHANGE RATE CHANGES </w:t>
            </w:r>
          </w:p>
        </w:tc>
        <w:tc>
          <w:tcPr>
            <w:tcW w:w="1498" w:type="dxa"/>
            <w:tcBorders/>
            <w:shd w:fill="auto" w:val="clear"/>
          </w:tcPr>
          <w:p>
            <w:pPr>
              <w:pStyle w:val="TableContents"/>
              <w:spacing w:before="0" w:after="283"/>
              <w:jc w:val="right"/>
              <w:rPr>
                <w:sz w:val="20"/>
              </w:rPr>
            </w:pPr>
            <w:r>
              <w:rPr>
                <w:sz w:val="20"/>
              </w:rPr>
              <w:t>684</w:t>
            </w:r>
          </w:p>
        </w:tc>
        <w:tc>
          <w:tcPr>
            <w:tcW w:w="1498" w:type="dxa"/>
            <w:tcBorders/>
            <w:shd w:fill="auto" w:val="clear"/>
          </w:tcPr>
          <w:p>
            <w:pPr>
              <w:pStyle w:val="TableContents"/>
              <w:spacing w:before="0" w:after="283"/>
              <w:jc w:val="right"/>
              <w:rPr>
                <w:sz w:val="20"/>
              </w:rPr>
            </w:pPr>
            <w:r>
              <w:rPr>
                <w:sz w:val="20"/>
              </w:rPr>
              <w:t>54</w:t>
            </w:r>
          </w:p>
        </w:tc>
        <w:tc>
          <w:tcPr>
            <w:tcW w:w="1502" w:type="dxa"/>
            <w:tcBorders/>
            <w:shd w:fill="auto" w:val="clear"/>
          </w:tcPr>
          <w:p>
            <w:pPr>
              <w:pStyle w:val="TableContents"/>
              <w:spacing w:before="0" w:after="283"/>
              <w:jc w:val="right"/>
              <w:rPr>
                <w:sz w:val="20"/>
              </w:rPr>
            </w:pPr>
            <w:r>
              <w:rPr>
                <w:sz w:val="20"/>
              </w:rPr>
              <w:t>(65,436)</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 xml:space="preserve">NET INCREASE IN CASH </w:t>
            </w:r>
          </w:p>
        </w:tc>
        <w:tc>
          <w:tcPr>
            <w:tcW w:w="1498" w:type="dxa"/>
            <w:tcBorders/>
            <w:shd w:fill="auto" w:val="clear"/>
          </w:tcPr>
          <w:p>
            <w:pPr>
              <w:pStyle w:val="TableContents"/>
              <w:spacing w:before="0" w:after="283"/>
              <w:jc w:val="right"/>
              <w:rPr>
                <w:sz w:val="20"/>
              </w:rPr>
            </w:pPr>
            <w:r>
              <w:rPr>
                <w:sz w:val="20"/>
              </w:rPr>
              <w:t>157,616 </w:t>
            </w:r>
          </w:p>
        </w:tc>
        <w:tc>
          <w:tcPr>
            <w:tcW w:w="1498" w:type="dxa"/>
            <w:tcBorders/>
            <w:shd w:fill="auto" w:val="clear"/>
          </w:tcPr>
          <w:p>
            <w:pPr>
              <w:pStyle w:val="TableContents"/>
              <w:spacing w:before="0" w:after="283"/>
              <w:jc w:val="right"/>
              <w:rPr>
                <w:sz w:val="20"/>
              </w:rPr>
            </w:pPr>
            <w:r>
              <w:rPr>
                <w:sz w:val="20"/>
              </w:rPr>
              <w:t>801,764 </w:t>
            </w:r>
          </w:p>
        </w:tc>
        <w:tc>
          <w:tcPr>
            <w:tcW w:w="1502" w:type="dxa"/>
            <w:tcBorders/>
            <w:shd w:fill="auto" w:val="clear"/>
          </w:tcPr>
          <w:p>
            <w:pPr>
              <w:pStyle w:val="TableContents"/>
              <w:spacing w:before="0" w:after="283"/>
              <w:jc w:val="right"/>
              <w:rPr>
                <w:sz w:val="20"/>
              </w:rPr>
            </w:pPr>
            <w:r>
              <w:rPr>
                <w:sz w:val="20"/>
              </w:rPr>
              <w:t>213,860 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CASH, BEGINNING OF PERIOD</w:t>
            </w:r>
          </w:p>
        </w:tc>
        <w:tc>
          <w:tcPr>
            <w:tcW w:w="1498" w:type="dxa"/>
            <w:tcBorders/>
            <w:shd w:fill="auto" w:val="clear"/>
          </w:tcPr>
          <w:p>
            <w:pPr>
              <w:pStyle w:val="TableContents"/>
              <w:spacing w:before="0" w:after="283"/>
              <w:jc w:val="right"/>
              <w:rPr>
                <w:sz w:val="20"/>
              </w:rPr>
            </w:pPr>
            <w:r>
              <w:rPr>
                <w:sz w:val="20"/>
              </w:rPr>
              <w:t>56,244 </w:t>
            </w:r>
          </w:p>
        </w:tc>
        <w:tc>
          <w:tcPr>
            <w:tcW w:w="1498" w:type="dxa"/>
            <w:tcBorders/>
            <w:shd w:fill="auto" w:val="clear"/>
          </w:tcPr>
          <w:p>
            <w:pPr>
              <w:pStyle w:val="TableContents"/>
              <w:spacing w:before="0" w:after="283"/>
              <w:jc w:val="right"/>
              <w:rPr>
                <w:sz w:val="20"/>
              </w:rPr>
            </w:pPr>
            <w:r>
              <w:rPr>
                <w:sz w:val="20"/>
              </w:rPr>
              <w:t>11,646 </w:t>
            </w:r>
          </w:p>
        </w:tc>
        <w:tc>
          <w:tcPr>
            <w:tcW w:w="1502" w:type="dxa"/>
            <w:tcBorders/>
            <w:shd w:fill="auto" w:val="clear"/>
          </w:tcPr>
          <w:p>
            <w:pPr>
              <w:pStyle w:val="TableContents"/>
              <w:spacing w:before="0" w:after="283"/>
              <w:jc w:val="right"/>
              <w:rPr>
                <w:sz w:val="20"/>
              </w:rPr>
            </w:pPr>
            <w:r>
              <w:rPr>
                <w:sz w:val="20"/>
              </w:rPr>
              <w:t>-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CASH, END OF PERIOD</w:t>
            </w:r>
          </w:p>
        </w:tc>
        <w:tc>
          <w:tcPr>
            <w:tcW w:w="1498" w:type="dxa"/>
            <w:tcBorders/>
            <w:shd w:fill="auto" w:val="clear"/>
          </w:tcPr>
          <w:p>
            <w:pPr>
              <w:pStyle w:val="TableContents"/>
              <w:spacing w:before="0" w:after="283"/>
              <w:jc w:val="right"/>
              <w:rPr>
                <w:sz w:val="20"/>
              </w:rPr>
            </w:pPr>
            <w:r>
              <w:rPr>
                <w:sz w:val="20"/>
              </w:rPr>
              <w:t>$        213,860 </w:t>
            </w:r>
          </w:p>
        </w:tc>
        <w:tc>
          <w:tcPr>
            <w:tcW w:w="1498" w:type="dxa"/>
            <w:tcBorders/>
            <w:shd w:fill="auto" w:val="clear"/>
          </w:tcPr>
          <w:p>
            <w:pPr>
              <w:pStyle w:val="TableContents"/>
              <w:spacing w:before="0" w:after="283"/>
              <w:jc w:val="right"/>
              <w:rPr>
                <w:sz w:val="20"/>
              </w:rPr>
            </w:pPr>
            <w:r>
              <w:rPr>
                <w:sz w:val="20"/>
              </w:rPr>
              <w:t>$        813,410 </w:t>
            </w:r>
          </w:p>
        </w:tc>
        <w:tc>
          <w:tcPr>
            <w:tcW w:w="1502" w:type="dxa"/>
            <w:tcBorders/>
            <w:shd w:fill="auto" w:val="clear"/>
          </w:tcPr>
          <w:p>
            <w:pPr>
              <w:pStyle w:val="TableContents"/>
              <w:spacing w:before="0" w:after="283"/>
              <w:jc w:val="right"/>
              <w:rPr>
                <w:sz w:val="20"/>
              </w:rPr>
            </w:pPr>
            <w:r>
              <w:rPr>
                <w:sz w:val="20"/>
              </w:rPr>
              <w:t>$        213,860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b/>
                <w:sz w:val="20"/>
              </w:rPr>
            </w:pPr>
            <w:r>
              <w:rPr>
                <w:b/>
                <w:sz w:val="20"/>
              </w:rPr>
              <w:t>SUPPLEMENTAL DISCLOSURES:</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6122" w:type="dxa"/>
            <w:tcBorders/>
            <w:shd w:fill="auto" w:val="clear"/>
          </w:tcPr>
          <w:p>
            <w:pPr>
              <w:pStyle w:val="TableContents"/>
              <w:spacing w:before="0" w:after="283"/>
              <w:jc w:val="left"/>
              <w:rPr/>
            </w:pPr>
            <w:r>
              <w:rPr/>
              <w:t>   </w:t>
            </w:r>
            <w:r>
              <w:rPr>
                <w:sz w:val="20"/>
              </w:rPr>
              <w:t>Interest paid</w:t>
            </w:r>
          </w:p>
        </w:tc>
        <w:tc>
          <w:tcPr>
            <w:tcW w:w="1498" w:type="dxa"/>
            <w:tcBorders/>
            <w:shd w:fill="auto" w:val="clear"/>
          </w:tcPr>
          <w:p>
            <w:pPr>
              <w:pStyle w:val="TableContents"/>
              <w:spacing w:before="0" w:after="283"/>
              <w:jc w:val="right"/>
              <w:rPr>
                <w:sz w:val="20"/>
              </w:rPr>
            </w:pPr>
            <w:r>
              <w:rPr>
                <w:sz w:val="20"/>
              </w:rPr>
              <w:t>$          8,133 </w:t>
            </w:r>
          </w:p>
        </w:tc>
        <w:tc>
          <w:tcPr>
            <w:tcW w:w="1498" w:type="dxa"/>
            <w:tcBorders/>
            <w:shd w:fill="auto" w:val="clear"/>
          </w:tcPr>
          <w:p>
            <w:pPr>
              <w:pStyle w:val="TableContents"/>
              <w:spacing w:before="0" w:after="283"/>
              <w:jc w:val="right"/>
              <w:rPr>
                <w:sz w:val="20"/>
              </w:rPr>
            </w:pPr>
            <w:r>
              <w:rPr>
                <w:sz w:val="20"/>
              </w:rPr>
              <w:t>$                    - </w:t>
            </w:r>
          </w:p>
        </w:tc>
        <w:tc>
          <w:tcPr>
            <w:tcW w:w="1502" w:type="dxa"/>
            <w:tcBorders/>
            <w:shd w:fill="auto" w:val="clear"/>
          </w:tcPr>
          <w:p>
            <w:pPr>
              <w:pStyle w:val="TableContents"/>
              <w:spacing w:before="0" w:after="283"/>
              <w:jc w:val="right"/>
              <w:rPr>
                <w:sz w:val="20"/>
              </w:rPr>
            </w:pPr>
            <w:r>
              <w:rPr>
                <w:sz w:val="20"/>
              </w:rPr>
              <w:t>$41,244</w:t>
            </w:r>
          </w:p>
        </w:tc>
      </w:tr>
      <w:tr>
        <w:trPr/>
        <w:tc>
          <w:tcPr>
            <w:tcW w:w="6122" w:type="dxa"/>
            <w:tcBorders/>
            <w:shd w:fill="auto" w:val="clear"/>
          </w:tcPr>
          <w:p>
            <w:pPr>
              <w:pStyle w:val="TableContents"/>
              <w:spacing w:before="0" w:after="283"/>
              <w:jc w:val="left"/>
              <w:rPr/>
            </w:pPr>
            <w:r>
              <w:rPr/>
              <w:t>   </w:t>
            </w:r>
            <w:r>
              <w:rPr>
                <w:sz w:val="20"/>
              </w:rPr>
              <w:t>Taxes paid</w:t>
            </w:r>
          </w:p>
        </w:tc>
        <w:tc>
          <w:tcPr>
            <w:tcW w:w="1498" w:type="dxa"/>
            <w:tcBorders/>
            <w:shd w:fill="auto" w:val="clear"/>
          </w:tcPr>
          <w:p>
            <w:pPr>
              <w:pStyle w:val="TableContents"/>
              <w:spacing w:before="0" w:after="283"/>
              <w:jc w:val="right"/>
              <w:rPr>
                <w:sz w:val="20"/>
              </w:rPr>
            </w:pPr>
            <w:r>
              <w:rPr>
                <w:sz w:val="20"/>
              </w:rPr>
              <w:t>$                    - </w:t>
            </w:r>
          </w:p>
        </w:tc>
        <w:tc>
          <w:tcPr>
            <w:tcW w:w="1498" w:type="dxa"/>
            <w:tcBorders/>
            <w:shd w:fill="auto" w:val="clear"/>
          </w:tcPr>
          <w:p>
            <w:pPr>
              <w:pStyle w:val="TableContents"/>
              <w:spacing w:before="0" w:after="283"/>
              <w:jc w:val="right"/>
              <w:rPr>
                <w:sz w:val="20"/>
              </w:rPr>
            </w:pPr>
            <w:r>
              <w:rPr>
                <w:sz w:val="20"/>
              </w:rPr>
              <w:t>$                    - </w:t>
            </w:r>
          </w:p>
        </w:tc>
        <w:tc>
          <w:tcPr>
            <w:tcW w:w="1502" w:type="dxa"/>
            <w:tcBorders/>
            <w:shd w:fill="auto" w:val="clear"/>
          </w:tcPr>
          <w:p>
            <w:pPr>
              <w:pStyle w:val="TableContents"/>
              <w:spacing w:before="0" w:after="283"/>
              <w:jc w:val="right"/>
              <w:rPr>
                <w:sz w:val="20"/>
              </w:rPr>
            </w:pPr>
            <w:r>
              <w:rPr>
                <w:sz w:val="20"/>
              </w:rPr>
              <w:t>$                    - </w:t>
            </w:r>
          </w:p>
        </w:tc>
      </w:tr>
      <w:tr>
        <w:trPr/>
        <w:tc>
          <w:tcPr>
            <w:tcW w:w="6122"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r>
      <w:tr>
        <w:trPr/>
        <w:tc>
          <w:tcPr>
            <w:tcW w:w="10620" w:type="dxa"/>
            <w:gridSpan w:val="4"/>
            <w:tcBorders/>
            <w:shd w:fill="auto" w:val="clear"/>
          </w:tcPr>
          <w:p>
            <w:pPr>
              <w:pStyle w:val="TableContents"/>
              <w:spacing w:before="0" w:after="283"/>
              <w:jc w:val="left"/>
              <w:rPr/>
            </w:pPr>
            <w:r>
              <w:rPr/>
              <w:t>   </w:t>
            </w:r>
            <w:r>
              <w:rPr>
                <w:b/>
                <w:sz w:val="20"/>
              </w:rPr>
              <w:t>Non-cash Financing Activities</w:t>
            </w:r>
            <w:r>
              <w:rPr>
                <w:sz w:val="20"/>
              </w:rPr>
              <w:t xml:space="preserve"> (Note 5)</w:t>
            </w:r>
          </w:p>
        </w:tc>
      </w:tr>
    </w:tbl>
    <w:p>
      <w:pPr>
        <w:pStyle w:val="TextBody"/>
        <w:jc w:val="center"/>
        <w:rPr/>
      </w:pPr>
      <w:r>
        <w:rPr/>
        <w:t>The accompanying notes are an integral part of these consolidated financial statements.</w:t>
      </w:r>
    </w:p>
    <w:p>
      <w:pPr>
        <w:pStyle w:val="TextBody"/>
        <w:jc w:val="center"/>
        <w:rPr/>
      </w:pPr>
      <w:r>
        <w:rPr/>
        <w:t>- 5 -</w:t>
      </w:r>
    </w:p>
    <w:p>
      <w:pPr>
        <w:pStyle w:val="HorizontalLine"/>
        <w:pBdr>
          <w:bottom w:val="single" w:sz="18" w:space="0" w:color="808080"/>
        </w:pBdr>
        <w:rPr/>
      </w:pPr>
      <w:r>
        <w:rPr/>
      </w:r>
    </w:p>
    <w:p>
      <w:pPr>
        <w:pStyle w:val="TextBody"/>
        <w:jc w:val="center"/>
        <w:rPr>
          <w:b/>
        </w:rPr>
      </w:pPr>
      <w:r>
        <w:rPr>
          <w:b/>
        </w:rPr>
        <w:t>GENEMAX CORP.</w:t>
        <w:br/>
        <w:t>(a development stage company)</w:t>
        <w:br/>
        <w:br/>
        <w:t>NOTES TO INTERIM CONSOLIDATED FINANCIAL STATEMENTS</w:t>
        <w:br/>
        <w:t>MARCH 31, 2006 (Unaudited)</w:t>
      </w:r>
    </w:p>
    <w:p>
      <w:pPr>
        <w:pStyle w:val="TextBody"/>
        <w:jc w:val="left"/>
        <w:rPr>
          <w:b/>
        </w:rPr>
      </w:pPr>
      <w:r>
        <w:rPr>
          <w:b/>
        </w:rPr>
        <w:t>NOTE 1 - NATURE OF OPERATIONS AND BASIS OF PRESENTATION</w:t>
      </w:r>
    </w:p>
    <w:p>
      <w:pPr>
        <w:pStyle w:val="TextBody"/>
        <w:jc w:val="both"/>
        <w:rPr/>
      </w:pPr>
      <w:r>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 tics aimed at the treatment and eradication of cancer, and therapies for infectious diseases, autoimmune disorders and transplant tissue rejection. 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 The consolidated financial statements have been prepared on the basis of a going concern which contemplates the realization of assets and the satisfaction of liabilities in the normal course of business. As at March 31, 2006, the Company has a working capital deficiency of $2,093,958, a capital deficiency of $2,090,343 and has incurred significant losses since inception and further losses are anticipated in the development of its products raising substantial doubt as to the Company's ability to continue as a going c 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be sufficient to fund development and commercialization of the Company's products,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 ialization activities. The Company's operations and financing requirements are expected to expand upon entering clinical trials with its TAP cancer vaccine.</w:t>
      </w:r>
    </w:p>
    <w:p>
      <w:pPr>
        <w:pStyle w:val="TextBody"/>
        <w:jc w:val="left"/>
        <w:rPr>
          <w:b/>
        </w:rPr>
      </w:pPr>
      <w:r>
        <w:rPr>
          <w:b/>
        </w:rPr>
        <w:t>Unaudited Interim Financial Statements</w:t>
      </w:r>
    </w:p>
    <w:p>
      <w:pPr>
        <w:pStyle w:val="TextBody"/>
        <w:jc w:val="both"/>
        <w:rPr/>
      </w:pPr>
      <w:r>
        <w:rPr/>
        <w:t>The accompanying unaudited interim consolidated financial statements have been prepared in accordance with generally accepted accounting principles for interim financial information and conforms with the instructions to Form 10-QSB of Regulation S-B.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2005 included in the Company's Annual Report on Form 10-KSB filed with the Securities and Exchange Commission. The interim unaudited consolidated financial statements should be read in conjunction with those financial statements included in the Form 10-KSB. In the opinion of Management, all adjustments considered necessary for a fair presentation, consisting solely of normal recurring adjustments, have been made. Opera ting results for the three months ended March 31, 2006 are not necessarily indicative of the results that may be expected for the year ending December 31, 2006.</w:t>
      </w:r>
    </w:p>
    <w:p>
      <w:pPr>
        <w:pStyle w:val="TextBody"/>
        <w:jc w:val="center"/>
        <w:rPr/>
      </w:pPr>
      <w:r>
        <w:rPr/>
        <w:t>- 6 -</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b/>
        </w:rPr>
      </w:pPr>
      <w:r>
        <w:rPr>
          <w:b/>
        </w:rPr>
        <w:t>NOTE 2 - STOCK-BASED COMPENSATION</w:t>
      </w:r>
    </w:p>
    <w:p>
      <w:pPr>
        <w:pStyle w:val="TextBody"/>
        <w:jc w:val="both"/>
        <w:rPr/>
      </w:pPr>
      <w:r>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instead of the next reporting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the requir ements of SFAS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pStyle w:val="TextBody"/>
        <w:jc w:val="both"/>
        <w:rPr/>
      </w:pPr>
      <w:r>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pStyle w:val="TextBody"/>
        <w:jc w:val="both"/>
        <w:rPr/>
      </w:pPr>
      <w:r>
        <w:rPr/>
        <w:t>During the three months ended March 31, 2006, the Company has not granted any stock options and has not recorded any stock-based compensation. Since there were no stock options granted in 2005</w:t>
      </w:r>
    </w:p>
    <w:p>
      <w:pPr>
        <w:pStyle w:val="TextBody"/>
        <w:jc w:val="both"/>
        <w:rPr/>
      </w:pPr>
      <w:r>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TextBody"/>
        <w:jc w:val="left"/>
        <w:rPr>
          <w:b/>
        </w:rPr>
      </w:pPr>
      <w:r>
        <w:rPr>
          <w:b/>
        </w:rPr>
        <w:t>NOTE 3 - RESEARCH AGREEMENTS</w:t>
      </w:r>
    </w:p>
    <w:p>
      <w:pPr>
        <w:pStyle w:val="TextBody"/>
        <w:jc w:val="left"/>
        <w:rPr>
          <w:b/>
        </w:rPr>
      </w:pPr>
      <w:r>
        <w:rPr>
          <w:b/>
        </w:rPr>
        <w:t>University of British Columbia ("UBC")</w:t>
      </w:r>
    </w:p>
    <w:p>
      <w:pPr>
        <w:pStyle w:val="TextBody"/>
        <w:jc w:val="both"/>
        <w:rPr/>
      </w:pPr>
      <w:r>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upon the expiration of the last patent obtained relating to the licensed technology. The cost of obtaining any patents will be the responsibility of GPI. The technology remains the property of UBC, however, it may be utilized and improved by GPI. Concurrent with the execution of the license, the head researcher at UBC became a director of GPI.</w:t>
      </w:r>
    </w:p>
    <w:p>
      <w:pPr>
        <w:pStyle w:val="TextBody"/>
        <w:jc w:val="center"/>
        <w:rPr/>
      </w:pPr>
      <w:r>
        <w:rPr/>
        <w:t>- 7 -</w:t>
      </w:r>
    </w:p>
    <w:p>
      <w:pPr>
        <w:pStyle w:val="HorizontalLine"/>
        <w:pBdr>
          <w:bottom w:val="single" w:sz="18" w:space="0" w:color="808080"/>
        </w:pBdr>
        <w:rPr/>
      </w:pPr>
      <w:r>
        <w:rPr/>
      </w:r>
    </w:p>
    <w:p>
      <w:pPr>
        <w:pStyle w:val="TextBody"/>
        <w:jc w:val="left"/>
        <w:rPr/>
      </w:pPr>
      <w:r>
        <w:rPr/>
        <w:t> </w:t>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pPr>
      <w:r>
        <w:rPr>
          <w:b/>
        </w:rPr>
        <w:t>NOTE 3 - RESEARCH AGREEMENTS</w:t>
      </w:r>
      <w:r>
        <w:rPr/>
        <w:t xml:space="preserve"> (continued)</w:t>
      </w:r>
    </w:p>
    <w:p>
      <w:pPr>
        <w:pStyle w:val="TextBody"/>
        <w:jc w:val="both"/>
        <w:rPr/>
      </w:pPr>
      <w:r>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March 31, 2001 of which $374,215 was paid. Through a series of amendments between November 28, 2000 and September 9, 2002, the funding commitment was increased to a total of CAN$2,973,049 of which CAN$991,515 was to be paid prior to December 31, 2002, CAN$1,135,801 to be paid in 2003 and CAN$471,518 to be paid in 2004. As at December 31, 2004, CAN$235,759 (2003 - CAN$471,518) was payable in connection with the original CRA terms. In addition, as required by the CRA, GPI has purchased certain laboratory equipment i 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pStyle w:val="TextBody"/>
        <w:jc w:val="both"/>
        <w:rPr/>
      </w:pPr>
      <w:r>
        <w:rPr/>
        <w:t>The Company and UBC negotiated a one-year extension of the CRA commencing March 1, 2005 with a total funding commitment by the Company of $294,696. In addition, the Company and UBC agreed on a payment schedule for the new CRA amount and the December 31, 2004 payable totaling CAN$1,098,650 as follows; CAN$408,674 on execution of the definite agreement; CAN$173,674 on each of May 1, August 1 and December 1, 2005; CAN$100,000 on March 1, 2006 and CAN$68,954 on May 1, 2006.</w:t>
      </w:r>
    </w:p>
    <w:p>
      <w:pPr>
        <w:pStyle w:val="TextBody"/>
        <w:jc w:val="both"/>
        <w:rPr/>
      </w:pPr>
      <w:r>
        <w:rPr/>
        <w:t>During the quarter ended March 31, 2004, the Company entered in to an exclusive worldwide license agreement with UBC for the use of a novel assay technology intended to be used to screen and select new drugs that regulate immune responses. The term of the license is for the longer of 20 years or the last expiry of a patent obtained in connection with the technology. In consideration for the license, the Company issued to UBC 10,000 restricted shares of common stock with a fair value of $10,000 and must pay an annual maintenance fee of $500 and all costs required to obtain any patents related thereto.</w:t>
      </w:r>
    </w:p>
    <w:p>
      <w:pPr>
        <w:pStyle w:val="TextBody"/>
        <w:jc w:val="both"/>
        <w:rPr/>
      </w:pPr>
      <w:r>
        <w:rPr/>
        <w:t>On December 23, 2005, the Company signed a letter of intent with UBC whereby all existing financial claims by UBC (collectively, the "UBC Financial Claims") would be satisfied (the "Settlement") in consideration of UBC providing GeneMax with an option to acquire outright all of UBC's right title and interest in the technologies licensed to Genemax. The letter of intent was followed by the completion of a definitive agreement on January 24, 2006 (see Note 11).</w:t>
      </w:r>
    </w:p>
    <w:p>
      <w:pPr>
        <w:pStyle w:val="TextBody"/>
        <w:jc w:val="left"/>
        <w:rPr/>
      </w:pPr>
      <w:r>
        <w:rPr/>
        <w:t>Under the terms of the agreement the Company is obligated to pay UBC CAN$556,533 as follows:</w:t>
      </w:r>
    </w:p>
    <w:p>
      <w:pPr>
        <w:pStyle w:val="TextBody"/>
        <w:numPr>
          <w:ilvl w:val="1"/>
          <w:numId w:val="2"/>
        </w:numPr>
        <w:tabs>
          <w:tab w:val="clear" w:pos="1134"/>
          <w:tab w:val="left" w:pos="1414" w:leader="none"/>
        </w:tabs>
        <w:ind w:left="1414" w:hanging="283"/>
        <w:rPr/>
      </w:pPr>
      <w:r>
        <w:rPr/>
        <w:t xml:space="preserve">CAN $50,000.00 (Paid); </w:t>
      </w:r>
    </w:p>
    <w:p>
      <w:pPr>
        <w:pStyle w:val="TextBody"/>
        <w:numPr>
          <w:ilvl w:val="1"/>
          <w:numId w:val="2"/>
        </w:numPr>
        <w:tabs>
          <w:tab w:val="clear" w:pos="1134"/>
          <w:tab w:val="left" w:pos="1414" w:leader="none"/>
        </w:tabs>
        <w:ind w:left="1414" w:hanging="283"/>
        <w:rPr/>
      </w:pPr>
      <w:r>
        <w:rPr/>
        <w:t>CAN $300,000 by March 31, 2006 (Paid); and</w:t>
      </w:r>
    </w:p>
    <w:p>
      <w:pPr>
        <w:pStyle w:val="TextBody"/>
        <w:numPr>
          <w:ilvl w:val="1"/>
          <w:numId w:val="2"/>
        </w:numPr>
        <w:tabs>
          <w:tab w:val="clear" w:pos="1134"/>
          <w:tab w:val="left" w:pos="1414" w:leader="none"/>
        </w:tabs>
        <w:ind w:left="1414" w:hanging="283"/>
        <w:rPr/>
      </w:pPr>
      <w:r>
        <w:rPr/>
        <w:t>CAN $206,533 on or before December 31, 2006; with the understanding that, should the Company complete an aggregate private and/or public financing of CAN$2,000,000 before December 31, 2006, this payment shall become immediately due and payable to UBC by the Company within five calendar days of the Company attaining such aggregate financing.</w:t>
      </w:r>
    </w:p>
    <w:p>
      <w:pPr>
        <w:pStyle w:val="TextBody"/>
        <w:jc w:val="both"/>
        <w:rPr/>
      </w:pPr>
      <w:r>
        <w:rPr/>
        <w:t>Under the terms of the agreement, the Company is also obligated to pay any other costs or expenses which may be due and owing by GeneMax to UBC under the license agreements and the CRA as at the effective date which, in the aggregate, shall not exceed CAN$10,000.</w:t>
      </w:r>
    </w:p>
    <w:p>
      <w:pPr>
        <w:pStyle w:val="TextBody"/>
        <w:jc w:val="both"/>
        <w:rPr/>
      </w:pPr>
      <w:r>
        <w:rPr/>
        <w:t>Under the terms of the agreement, the Company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the Company shall have no right, entitlement or interest, in and to any of the technology, and the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center"/>
        <w:rPr/>
      </w:pPr>
      <w:r>
        <w:rPr/>
        <w:t>- 8 -</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pPr>
      <w:r>
        <w:rPr>
          <w:b/>
        </w:rPr>
        <w:t>NOTE 3 - RESEARCH AGREEMENTS</w:t>
      </w:r>
      <w:r>
        <w:rPr/>
        <w:t xml:space="preserve"> (continued)</w:t>
      </w:r>
    </w:p>
    <w:p>
      <w:pPr>
        <w:pStyle w:val="TextBody"/>
        <w:jc w:val="left"/>
        <w:rPr>
          <w:b/>
        </w:rPr>
      </w:pPr>
      <w:r>
        <w:rPr>
          <w:b/>
        </w:rPr>
        <w:t>Crucell Holland B.V. ("Crucell") - Research License and Option Agreement</w:t>
      </w:r>
    </w:p>
    <w:p>
      <w:pPr>
        <w:pStyle w:val="TextBody"/>
        <w:jc w:val="both"/>
        <w:rPr/>
      </w:pPr>
      <w:r>
        <w:rPr/>
        <w:t xml:space="preserve">Effective August 7, 2003, Crucell and GPI entered into a five-year Research License and Option Agreement whereby Crucell granted to GPI a non-exclusive worldwide license for the research use of its adenovirus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five-year term totaling 450,000 Euros. To December 31, 2003, the Company had made all payments required totaling $115,490 (100,000 Euros). A further $120,697 (100,000 Euros) was incurred during 2004 (not paid), and an additional $126,355 (100,000 Euros) was incurred during 2005, leaving a total of $236,880 (200,000 Euros) owing as at December 31, 2005. </w:t>
      </w:r>
    </w:p>
    <w:p>
      <w:pPr>
        <w:pStyle w:val="TextBody"/>
        <w:jc w:val="both"/>
        <w:rPr/>
      </w:pPr>
      <w:r>
        <w:rPr/>
        <w:t>Effective June 6, 2005, Crucell gave the Company notice of default whereby the Company had 3 months to remedy the default. On November 16, 2005, Crucell provided notice of Termination by Default due the Company's failure to remedy the default within the required 3 month period. Subsequent to the quarter, the Company negotiated a reinstatement of the Research and License Option Agreement (Note 9).</w:t>
      </w:r>
    </w:p>
    <w:p>
      <w:pPr>
        <w:pStyle w:val="TextBody"/>
        <w:jc w:val="left"/>
        <w:rPr>
          <w:b/>
        </w:rPr>
      </w:pPr>
      <w:r>
        <w:rPr>
          <w:b/>
        </w:rPr>
        <w:t>Molecular Medicine BioServices, Inc. ("Molecular Medicine") - Production Service Agreement</w:t>
      </w:r>
    </w:p>
    <w:p>
      <w:pPr>
        <w:pStyle w:val="TextBody"/>
        <w:jc w:val="both"/>
        <w:rPr/>
      </w:pPr>
      <w:r>
        <w:rPr/>
        <w:t>Effective March 18, 2003 Molecular Medicine and GMC entered into a Production Service Agreement,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had made all payments required under the terms of the agreement totaling $108,500. 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 e production.</w:t>
      </w:r>
    </w:p>
    <w:p>
      <w:pPr>
        <w:pStyle w:val="TextBody"/>
        <w:jc w:val="left"/>
        <w:rPr>
          <w:b/>
        </w:rPr>
      </w:pPr>
      <w:r>
        <w:rPr>
          <w:b/>
        </w:rPr>
        <w:t>NOTE 4 - FURNITURE AND EQUIPMENT</w:t>
      </w:r>
    </w:p>
    <w:p>
      <w:pPr>
        <w:pStyle w:val="TextBody"/>
        <w:jc w:val="left"/>
        <w:rPr/>
      </w:pPr>
      <w:r>
        <w:rPr/>
        <w:t>Furniture and equipment consisted of the following:</w:t>
      </w:r>
    </w:p>
    <w:tbl>
      <w:tblPr>
        <w:tblW w:w="8820" w:type="dxa"/>
        <w:jc w:val="center"/>
        <w:tblInd w:w="0" w:type="dxa"/>
        <w:tblCellMar>
          <w:top w:w="105" w:type="dxa"/>
          <w:left w:w="105" w:type="dxa"/>
          <w:bottom w:w="105" w:type="dxa"/>
          <w:right w:w="105" w:type="dxa"/>
        </w:tblCellMar>
      </w:tblPr>
      <w:tblGrid>
        <w:gridCol w:w="5969"/>
        <w:gridCol w:w="1425"/>
        <w:gridCol w:w="1426"/>
      </w:tblGrid>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sz w:val="20"/>
              </w:rPr>
            </w:pPr>
            <w:r>
              <w:rPr>
                <w:sz w:val="20"/>
              </w:rPr>
              <w:t>March 31,</w:t>
              <w:br/>
              <w:t>2006</w:t>
            </w:r>
          </w:p>
        </w:tc>
        <w:tc>
          <w:tcPr>
            <w:tcW w:w="1426" w:type="dxa"/>
            <w:tcBorders/>
            <w:shd w:fill="auto" w:val="clear"/>
          </w:tcPr>
          <w:p>
            <w:pPr>
              <w:pStyle w:val="TableContents"/>
              <w:spacing w:before="0" w:after="283"/>
              <w:jc w:val="center"/>
              <w:rPr>
                <w:sz w:val="20"/>
              </w:rPr>
            </w:pPr>
            <w:r>
              <w:rPr>
                <w:sz w:val="20"/>
              </w:rPr>
              <w:t>December 31, 2005</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center"/>
              <w:rPr>
                <w:sz w:val="20"/>
              </w:rPr>
            </w:pPr>
            <w:r>
              <w:rPr>
                <w:sz w:val="20"/>
              </w:rPr>
              <w:t>(unaudited)</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jc w:val="left"/>
              <w:rPr>
                <w:sz w:val="20"/>
              </w:rPr>
            </w:pPr>
            <w:r>
              <w:rPr>
                <w:sz w:val="20"/>
              </w:rPr>
              <w:t>Office furniture and equipment</w:t>
            </w:r>
          </w:p>
        </w:tc>
        <w:tc>
          <w:tcPr>
            <w:tcW w:w="1425" w:type="dxa"/>
            <w:tcBorders/>
            <w:shd w:fill="auto" w:val="clear"/>
          </w:tcPr>
          <w:p>
            <w:pPr>
              <w:pStyle w:val="TableContents"/>
              <w:spacing w:before="0" w:after="283"/>
              <w:jc w:val="right"/>
              <w:rPr>
                <w:sz w:val="20"/>
              </w:rPr>
            </w:pPr>
            <w:r>
              <w:rPr>
                <w:sz w:val="20"/>
              </w:rPr>
              <w:t>$          10,425 </w:t>
            </w:r>
          </w:p>
        </w:tc>
        <w:tc>
          <w:tcPr>
            <w:tcW w:w="1426" w:type="dxa"/>
            <w:tcBorders/>
            <w:shd w:fill="auto" w:val="clear"/>
          </w:tcPr>
          <w:p>
            <w:pPr>
              <w:pStyle w:val="TableContents"/>
              <w:spacing w:before="0" w:after="283"/>
              <w:jc w:val="right"/>
              <w:rPr>
                <w:sz w:val="20"/>
              </w:rPr>
            </w:pPr>
            <w:r>
              <w:rPr>
                <w:sz w:val="20"/>
              </w:rPr>
              <w:t>$          10,425 </w:t>
            </w:r>
          </w:p>
        </w:tc>
      </w:tr>
      <w:tr>
        <w:trPr/>
        <w:tc>
          <w:tcPr>
            <w:tcW w:w="5969" w:type="dxa"/>
            <w:tcBorders/>
            <w:shd w:fill="auto" w:val="clear"/>
          </w:tcPr>
          <w:p>
            <w:pPr>
              <w:pStyle w:val="TableContents"/>
              <w:spacing w:before="0" w:after="283"/>
              <w:jc w:val="left"/>
              <w:rPr>
                <w:sz w:val="20"/>
              </w:rPr>
            </w:pPr>
            <w:r>
              <w:rPr>
                <w:sz w:val="20"/>
              </w:rPr>
              <w:t>Laboratory equipment</w:t>
            </w:r>
          </w:p>
        </w:tc>
        <w:tc>
          <w:tcPr>
            <w:tcW w:w="1425" w:type="dxa"/>
            <w:tcBorders/>
            <w:shd w:fill="auto" w:val="clear"/>
          </w:tcPr>
          <w:p>
            <w:pPr>
              <w:pStyle w:val="TableContents"/>
              <w:spacing w:before="0" w:after="283"/>
              <w:jc w:val="right"/>
              <w:rPr>
                <w:sz w:val="20"/>
              </w:rPr>
            </w:pPr>
            <w:r>
              <w:rPr>
                <w:sz w:val="20"/>
              </w:rPr>
              <w:t>183,803 </w:t>
            </w:r>
          </w:p>
        </w:tc>
        <w:tc>
          <w:tcPr>
            <w:tcW w:w="1426" w:type="dxa"/>
            <w:tcBorders/>
            <w:shd w:fill="auto" w:val="clear"/>
          </w:tcPr>
          <w:p>
            <w:pPr>
              <w:pStyle w:val="TableContents"/>
              <w:spacing w:before="0" w:after="283"/>
              <w:jc w:val="right"/>
              <w:rPr>
                <w:sz w:val="20"/>
              </w:rPr>
            </w:pPr>
            <w:r>
              <w:rPr>
                <w:sz w:val="20"/>
              </w:rPr>
              <w:t>183,803 </w:t>
            </w:r>
          </w:p>
        </w:tc>
      </w:tr>
      <w:tr>
        <w:trPr/>
        <w:tc>
          <w:tcPr>
            <w:tcW w:w="5969" w:type="dxa"/>
            <w:tcBorders/>
            <w:shd w:fill="auto" w:val="clear"/>
          </w:tcPr>
          <w:p>
            <w:pPr>
              <w:pStyle w:val="TableContents"/>
              <w:spacing w:before="0" w:after="283"/>
              <w:jc w:val="left"/>
              <w:rPr>
                <w:sz w:val="20"/>
              </w:rPr>
            </w:pPr>
            <w:r>
              <w:rPr>
                <w:sz w:val="20"/>
              </w:rPr>
              <w:t>Computer equipment</w:t>
            </w:r>
          </w:p>
        </w:tc>
        <w:tc>
          <w:tcPr>
            <w:tcW w:w="1425" w:type="dxa"/>
            <w:tcBorders/>
            <w:shd w:fill="auto" w:val="clear"/>
          </w:tcPr>
          <w:p>
            <w:pPr>
              <w:pStyle w:val="TableContents"/>
              <w:spacing w:before="0" w:after="283"/>
              <w:jc w:val="right"/>
              <w:rPr>
                <w:sz w:val="20"/>
              </w:rPr>
            </w:pPr>
            <w:r>
              <w:rPr>
                <w:sz w:val="20"/>
              </w:rPr>
              <w:t>1,972 </w:t>
            </w:r>
          </w:p>
        </w:tc>
        <w:tc>
          <w:tcPr>
            <w:tcW w:w="1426" w:type="dxa"/>
            <w:tcBorders/>
            <w:shd w:fill="auto" w:val="clear"/>
          </w:tcPr>
          <w:p>
            <w:pPr>
              <w:pStyle w:val="TableContents"/>
              <w:spacing w:before="0" w:after="283"/>
              <w:jc w:val="right"/>
              <w:rPr>
                <w:sz w:val="20"/>
              </w:rPr>
            </w:pPr>
            <w:r>
              <w:rPr>
                <w:sz w:val="20"/>
              </w:rPr>
              <w:t>1,972 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0"/>
              </w:rPr>
            </w:pPr>
            <w:r>
              <w:rPr>
                <w:sz w:val="20"/>
              </w:rPr>
              <w:t>196,200 </w:t>
            </w:r>
          </w:p>
        </w:tc>
        <w:tc>
          <w:tcPr>
            <w:tcW w:w="1426" w:type="dxa"/>
            <w:tcBorders/>
            <w:shd w:fill="auto" w:val="clear"/>
          </w:tcPr>
          <w:p>
            <w:pPr>
              <w:pStyle w:val="TableContents"/>
              <w:spacing w:before="0" w:after="283"/>
              <w:jc w:val="right"/>
              <w:rPr>
                <w:sz w:val="20"/>
              </w:rPr>
            </w:pPr>
            <w:r>
              <w:rPr>
                <w:sz w:val="20"/>
              </w:rPr>
              <w:t>196,200 </w:t>
            </w:r>
          </w:p>
        </w:tc>
      </w:tr>
      <w:tr>
        <w:trPr/>
        <w:tc>
          <w:tcPr>
            <w:tcW w:w="5969" w:type="dxa"/>
            <w:tcBorders/>
            <w:shd w:fill="auto" w:val="clear"/>
          </w:tcPr>
          <w:p>
            <w:pPr>
              <w:pStyle w:val="TableContents"/>
              <w:spacing w:before="0" w:after="283"/>
              <w:jc w:val="left"/>
              <w:rPr>
                <w:sz w:val="20"/>
              </w:rPr>
            </w:pPr>
            <w:r>
              <w:rPr>
                <w:sz w:val="20"/>
              </w:rPr>
              <w:t>Less: accumulated depreciation</w:t>
            </w:r>
          </w:p>
        </w:tc>
        <w:tc>
          <w:tcPr>
            <w:tcW w:w="1425" w:type="dxa"/>
            <w:tcBorders/>
            <w:shd w:fill="auto" w:val="clear"/>
          </w:tcPr>
          <w:p>
            <w:pPr>
              <w:pStyle w:val="TableContents"/>
              <w:spacing w:before="0" w:after="283"/>
              <w:jc w:val="right"/>
              <w:rPr>
                <w:sz w:val="20"/>
              </w:rPr>
            </w:pPr>
            <w:r>
              <w:rPr>
                <w:sz w:val="20"/>
              </w:rPr>
              <w:t>(192,585)</w:t>
            </w:r>
          </w:p>
        </w:tc>
        <w:tc>
          <w:tcPr>
            <w:tcW w:w="1426" w:type="dxa"/>
            <w:tcBorders/>
            <w:shd w:fill="auto" w:val="clear"/>
          </w:tcPr>
          <w:p>
            <w:pPr>
              <w:pStyle w:val="TableContents"/>
              <w:spacing w:before="0" w:after="283"/>
              <w:jc w:val="right"/>
              <w:rPr>
                <w:sz w:val="20"/>
              </w:rPr>
            </w:pPr>
            <w:r>
              <w:rPr>
                <w:sz w:val="20"/>
              </w:rPr>
              <w:t>(189,663)</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rPr/>
            </w:pPr>
            <w:r>
              <w:rPr/>
              <w:t> </w:t>
            </w:r>
          </w:p>
        </w:tc>
        <w:tc>
          <w:tcPr>
            <w:tcW w:w="1426" w:type="dxa"/>
            <w:tcBorders/>
            <w:shd w:fill="auto" w:val="clear"/>
          </w:tcPr>
          <w:p>
            <w:pPr>
              <w:pStyle w:val="TableContents"/>
              <w:spacing w:before="0" w:after="283"/>
              <w:rPr/>
            </w:pPr>
            <w:r>
              <w:rPr/>
              <w:t> </w:t>
            </w:r>
          </w:p>
        </w:tc>
      </w:tr>
      <w:tr>
        <w:trPr/>
        <w:tc>
          <w:tcPr>
            <w:tcW w:w="5969" w:type="dxa"/>
            <w:tcBorders/>
            <w:shd w:fill="auto" w:val="clear"/>
          </w:tcPr>
          <w:p>
            <w:pPr>
              <w:pStyle w:val="TableContents"/>
              <w:spacing w:before="0" w:after="283"/>
              <w:rPr/>
            </w:pPr>
            <w:r>
              <w:rPr/>
              <w:t> </w:t>
            </w:r>
          </w:p>
        </w:tc>
        <w:tc>
          <w:tcPr>
            <w:tcW w:w="1425" w:type="dxa"/>
            <w:tcBorders/>
            <w:shd w:fill="auto" w:val="clear"/>
          </w:tcPr>
          <w:p>
            <w:pPr>
              <w:pStyle w:val="TableContents"/>
              <w:spacing w:before="0" w:after="283"/>
              <w:jc w:val="right"/>
              <w:rPr>
                <w:sz w:val="20"/>
              </w:rPr>
            </w:pPr>
            <w:r>
              <w:rPr>
                <w:sz w:val="20"/>
              </w:rPr>
              <w:t>$            3,615 </w:t>
            </w:r>
          </w:p>
        </w:tc>
        <w:tc>
          <w:tcPr>
            <w:tcW w:w="1426" w:type="dxa"/>
            <w:tcBorders/>
            <w:shd w:fill="auto" w:val="clear"/>
          </w:tcPr>
          <w:p>
            <w:pPr>
              <w:pStyle w:val="TableContents"/>
              <w:spacing w:before="0" w:after="283"/>
              <w:jc w:val="right"/>
              <w:rPr>
                <w:sz w:val="20"/>
              </w:rPr>
            </w:pPr>
            <w:r>
              <w:rPr>
                <w:sz w:val="20"/>
              </w:rPr>
              <w:t>$           6,537 </w:t>
            </w:r>
          </w:p>
        </w:tc>
      </w:tr>
    </w:tbl>
    <w:p>
      <w:pPr>
        <w:pStyle w:val="TextBody"/>
        <w:jc w:val="left"/>
        <w:rPr>
          <w:b/>
        </w:rPr>
      </w:pPr>
      <w:r>
        <w:rPr>
          <w:b/>
        </w:rPr>
        <w:t>NOTE 5 - CONVERTIBLE NOTES PAYABLE</w:t>
      </w:r>
    </w:p>
    <w:p>
      <w:pPr>
        <w:pStyle w:val="TextBody"/>
        <w:jc w:val="left"/>
        <w:rPr>
          <w:b/>
        </w:rPr>
      </w:pPr>
      <w:r>
        <w:rPr>
          <w:b/>
        </w:rPr>
        <w:t>2004 Convertible Notes and Debenture Financing</w:t>
      </w:r>
    </w:p>
    <w:p>
      <w:pPr>
        <w:pStyle w:val="TextBody"/>
        <w:jc w:val="both"/>
        <w:rPr/>
      </w:pPr>
      <w:r>
        <w:rPr/>
        <w:t xml:space="preserve">During the year ended December 31, 2004, the Company issued two unsecured convertible promissory notes in the principal amount of $500,000, that bear interest at 8% per annum and were due twelve months from the date of issue. The unpaid amount of principal and interest may be converted at any time at the holder's option into shares of the Company's common stock at a price of $0.60 per share. The holders of the notes were also granted common stock purchase warrants entitling the holder to purchase an additional 416,667 shares of the Company's common stock at a price of $0.66 per share for a period of 2 years. Further, the Company granted 125,000 common stock purchase warrants with an estimated fair value of $15,000 as a finder's fee entitling the holder to purchase an additional 83,333 and 41,667 shares of the Company's common stock at a price of $0.60 and $0.66 per share, respectively, for a period of 2 years. </w:t>
      </w:r>
    </w:p>
    <w:p>
      <w:pPr>
        <w:pStyle w:val="TextBody"/>
        <w:jc w:val="center"/>
        <w:rPr/>
      </w:pPr>
      <w:r>
        <w:rPr/>
        <w:t>- 9 -</w:t>
      </w:r>
    </w:p>
    <w:p>
      <w:pPr>
        <w:pStyle w:val="HorizontalLine"/>
        <w:pBdr>
          <w:bottom w:val="single" w:sz="18" w:space="0" w:color="808080"/>
        </w:pBdr>
        <w:rPr/>
      </w:pPr>
      <w:r>
        <w:rPr/>
      </w:r>
    </w:p>
    <w:p>
      <w:pPr>
        <w:pStyle w:val="TextBody"/>
        <w:jc w:val="left"/>
        <w:rPr/>
      </w:pPr>
      <w:r>
        <w:rPr/>
        <w:t> </w:t>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pPr>
      <w:r>
        <w:rPr>
          <w:b/>
        </w:rPr>
        <w:t>NOTE 5 - CONVERTIBLE NOTES PAYABLE</w:t>
      </w:r>
      <w:r>
        <w:rPr/>
        <w:t xml:space="preserve"> (continued)</w:t>
      </w:r>
    </w:p>
    <w:p>
      <w:pPr>
        <w:pStyle w:val="TextBody"/>
        <w:jc w:val="left"/>
        <w:rPr/>
      </w:pPr>
      <w:r>
        <w:rPr>
          <w:b/>
        </w:rPr>
        <w:t>2004 Convertible Notes and Debenture Financing</w:t>
      </w:r>
      <w:r>
        <w:rPr/>
        <w:t xml:space="preserve"> (continued)</w:t>
      </w:r>
    </w:p>
    <w:p>
      <w:pPr>
        <w:pStyle w:val="TextBody"/>
        <w:jc w:val="both"/>
        <w:rPr/>
      </w:pPr>
      <w:r>
        <w:rPr/>
        <w:t>The Company also incurred $74,100 of costs in connection with this financing resulting in a total of $89,100 being recorded as deferred finance fees. These costs will be expensed over the term of the convertible promissory notes; the remaining unamortized amount will be charged to stockholders' equity if the notes are converted. As of December 31, 2004, $48,300 of the deferred finance fees were expensed. As at December 31, 2005, $28,556 (2004 - $21,667) of accrued and unpaid interest on the convertible note was included in accounts payable.</w:t>
      </w:r>
    </w:p>
    <w:p>
      <w:pPr>
        <w:pStyle w:val="TextBody"/>
        <w:jc w:val="both"/>
        <w:rPr/>
      </w:pPr>
      <w:r>
        <w:rPr/>
        <w:t>The fair value of the convertible promissory notes at issuance was estimated to be $450,000. This value was based on an estimated fair value interest rate on debt with comparable risk profiles of 20% per annum. As a result, the fair value of the equity component of this instrument (comprised of the common stock purchase warrants and the debt conversion feature) was estimated to be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was accrued resulting in a carrying value of the notes of the notes at December 31, 2004 of $477,100.</w:t>
      </w:r>
    </w:p>
    <w:p>
      <w:pPr>
        <w:pStyle w:val="TextBody"/>
        <w:jc w:val="both"/>
        <w:rPr/>
      </w:pPr>
      <w:r>
        <w:rPr/>
        <w:t>Effective January 31, 2005, the parties agreed to amend the terms of the convertible notes payable to extend the maturity date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per annum. As a result, the fair value of the equity component of this modified instrument (being the amended common stock purchase warrants) was estimated to be $4 6,250.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further interest expense of $47,667 has been accreted resulting in a carrying value of the notes of $482,667.</w:t>
      </w:r>
    </w:p>
    <w:p>
      <w:pPr>
        <w:pStyle w:val="TextBody"/>
        <w:jc w:val="both"/>
        <w:rPr/>
      </w:pPr>
      <w:r>
        <w:rPr/>
        <w:t>During the three months ended March 31, 2006, a further interest expense of $13,000 has been accreted towards the note resulting in a carrying value of $495,667.</w:t>
      </w:r>
    </w:p>
    <w:p>
      <w:pPr>
        <w:pStyle w:val="TextBody"/>
        <w:jc w:val="left"/>
        <w:rPr>
          <w:b/>
        </w:rPr>
      </w:pPr>
      <w:r>
        <w:rPr>
          <w:b/>
        </w:rPr>
        <w:t>2006 Convertible Note and Debenture Financing</w:t>
      </w:r>
    </w:p>
    <w:p>
      <w:pPr>
        <w:pStyle w:val="TextBody"/>
        <w:jc w:val="both"/>
        <w:rPr/>
      </w:pPr>
      <w:r>
        <w:rPr>
          <w:sz w:val="20"/>
        </w:rPr>
        <w:t>On March 23, 2006, the Company completed a convertible debenture financing of $494,500</w:t>
      </w:r>
      <w:r>
        <w:rPr/>
        <w:t xml:space="preserve"> </w:t>
      </w:r>
      <w:r>
        <w:rPr>
          <w:sz w:val="20"/>
        </w:rPr>
        <w:t>for which the Company has issued convertible promissory notes that bear interest at 8% per annum in the first year and 12% per annum in the second year. If not converted, the notes are due one year from the date of loan advance. The unpaid amount of principal and accrued interest may be converted at any time at the holder's option into shares of the Company's common stock at a price of $0.10 per convertible unit. Each convertible unit, upon conversion, is comprised of one common share of the Company and, without conversion, one non-transferable and detached share purchase warrant of the Company, which are issuable and exercisable without conversion.</w:t>
      </w:r>
    </w:p>
    <w:p>
      <w:pPr>
        <w:pStyle w:val="TextBody"/>
        <w:jc w:val="both"/>
        <w:rPr/>
      </w:pPr>
      <w:r>
        <w:rPr/>
        <w:t>The warrants forming part of the convertible units are detachable from any conversion and non-transferable, and each such warrant entitles the holder to purchase one additional common share of the Company for a period of five years from the date of the issue at an exercise price of $0.10 per share during the first two years, $0.20 per share during the third year, $0.30 per share during the fourth year; and $0.40 per share during the fifth year.</w:t>
      </w:r>
    </w:p>
    <w:p>
      <w:pPr>
        <w:pStyle w:val="TextBody"/>
        <w:jc w:val="both"/>
        <w:rPr/>
      </w:pPr>
      <w:r>
        <w:rPr/>
        <w:t>The Company has the right to redeem the convertible promissory notes at any time upon giving certain notice to the holder(s), and subject to paying a 20% premium in cash or shares (based on the previous 30 day average trading price of the Company's shares).</w:t>
      </w:r>
    </w:p>
    <w:p>
      <w:pPr>
        <w:pStyle w:val="TextBody"/>
        <w:jc w:val="center"/>
        <w:rPr/>
      </w:pPr>
      <w:r>
        <w:rPr/>
        <w:t>- 10 -</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pPr>
      <w:r>
        <w:rPr>
          <w:b/>
        </w:rPr>
        <w:t>NOTE 5 - CONVERTIBLE NOTES PAYABLE</w:t>
      </w:r>
      <w:r>
        <w:rPr/>
        <w:t xml:space="preserve"> (continued)</w:t>
      </w:r>
    </w:p>
    <w:p>
      <w:pPr>
        <w:pStyle w:val="TextBody"/>
        <w:jc w:val="left"/>
        <w:rPr/>
      </w:pPr>
      <w:r>
        <w:rPr>
          <w:b/>
        </w:rPr>
        <w:t>2006 Convertible Note and Debenture Financing</w:t>
      </w:r>
      <w:r>
        <w:rPr/>
        <w:t xml:space="preserve"> (continued)</w:t>
      </w:r>
    </w:p>
    <w:p>
      <w:pPr>
        <w:pStyle w:val="TextBody"/>
        <w:jc w:val="both"/>
        <w:rPr/>
      </w:pPr>
      <w:r>
        <w:rPr/>
        <w:t>In accordance with EITF 98-5, "Accounting for Convertible Securities with Beneficial Conversion Features or Contingently Adjustable Conversion Ratios", the Company recognized the value of the embedded beneficial conversion feature of $205,579 as additional paid-in capital as the secured convertible notes were issued with an intrinsic value conversion feature.</w:t>
      </w:r>
    </w:p>
    <w:p>
      <w:pPr>
        <w:pStyle w:val="TextBody"/>
        <w:jc w:val="both"/>
        <w:rPr/>
      </w:pPr>
      <w:r>
        <w:rPr/>
        <w:t>Accordingly, the Company recorded $205,579 of interest expense, being the difference between the stated value and carrying value at the date of issuance. In addition, in accordance with EITF 00-27, "Application of Issue No. 98-5 to Certain Convertible Instruments", the Company has allocated the proceeds of issuance between the convertible debt and the detachable warrants based on their relative fair values. Accordingly, the Company recognized the fair value of the warrants of $288,921 as a component of stockholders' deficit. The Company will record further interest expense over the term of the secured convertible notes of $2,921 resulting from the difference between the stated value and carrying value at the date of issuance. The carrying value of the convertible notes will be accreted to the face value of $494,500 at maturity or the date of conversion. During the three months ended March 31, 2006, accrued interest of $877 has been included in accrued liabilities, and interest expense of $ 6,333 has been accreted increasing the carrying value of the convertible debentures to $212,789.</w:t>
      </w:r>
    </w:p>
    <w:p>
      <w:pPr>
        <w:pStyle w:val="TextBody"/>
        <w:jc w:val="both"/>
        <w:rPr/>
      </w:pPr>
      <w:r>
        <w:rPr/>
        <w:t>Subsequent to March 23, 2006, the Company received an additional $50,500 of subscriptions as part of a second tranche of convertible debenture financing that had not been completed at March 31, 2006.</w:t>
      </w:r>
    </w:p>
    <w:p>
      <w:pPr>
        <w:pStyle w:val="TextBody"/>
        <w:jc w:val="left"/>
        <w:rPr>
          <w:b/>
        </w:rPr>
      </w:pPr>
      <w:r>
        <w:rPr>
          <w:b/>
        </w:rPr>
        <w:t>NOTE 6 - RELATED PARTY TRANSACTIONS</w:t>
      </w:r>
    </w:p>
    <w:p>
      <w:pPr>
        <w:pStyle w:val="TextBody"/>
        <w:jc w:val="both"/>
        <w:rPr/>
      </w:pPr>
      <w:r>
        <w:rPr/>
        <w:t>During 2004, the Company entered into a new consulting agreement with the Company's Chief Scientific Officer ("CSO") for a term ending December 31, 2007 at an amount of CAN$10,000 per month. The Company has also agreed to grant to the CSO options to acquire up to 2,500,000 shares of the Company's common stock at a price to be determined, subject to further approvals. In addition, the CSO has agreed to settle all amounts due from the Company totaling $92,200 in exchange for 452,100 shares of the Company's common stock. To date, the shares have not been issued and no gain or loss will be recorded in connection with this settlement until completed.</w:t>
      </w:r>
    </w:p>
    <w:p>
      <w:pPr>
        <w:pStyle w:val="TextBody"/>
        <w:jc w:val="both"/>
        <w:rPr/>
      </w:pPr>
      <w:r>
        <w:rPr/>
        <w:t>During 2004, the Company entered into an agreement with the Company's Chief Operating Officer ("COO"). Under the terms of the agreement the COO will be paid a daily fee of CAN$1,000.</w:t>
      </w:r>
      <w:bookmarkStart w:id="6" w:name="_DV_M42"/>
      <w:bookmarkEnd w:id="6"/>
      <w:r>
        <w:rPr/>
        <w:t xml:space="preserve"> The agreement commenced as of August 30, 2004 and was to continue for one year from that date. The Company also granted to the COO 300,000 stock options exercisable at $0.50 per share as described in Note 7. Under the terms of an amended agreement, the Company's COO was appointed President, CEO and a director effective February 8, 2005. The Company and the CEO entered into a management agreement for a term ending December 31, 2007 at an amount of CAN$170,000 for the first year and for amounts to be determined by the Company's compensation committee thereafter. In addition, the CEO agreed to settle all amounts due from the Company during his tenure as COO totaling $66,556 for a cash payment of $19,765 resulting in a gain on settlement of $46,791. The Company also agreed to issue to t he CEO 500,000 shares of the Company's common stock at an agreed price of CAN$0.15 per share and up to a further 1,400,000 options at a price to be determined all of which are subject to further approvals. The CEO resigned effective September 26, 2005 and the former CEO and the Company are currently negotiating a settlement in connection with the unissued shares and ungranted options. The former CEO has made a claim for certain amount owing during his tenure as CEO in the British Columbia small claims court. The Company has filed a response refuting certain amounts claimed and requesting supporting documentation for certain claims prior to making any payment. </w:t>
      </w:r>
    </w:p>
    <w:p>
      <w:pPr>
        <w:pStyle w:val="TextBody"/>
        <w:jc w:val="both"/>
        <w:rPr/>
      </w:pPr>
      <w:r>
        <w:rPr/>
        <w:t xml:space="preserve">During the three months ended March 31, 2006, the Company paid management fees of CAN$18,500 to the management company of the current president of the Company. </w:t>
      </w:r>
    </w:p>
    <w:p>
      <w:pPr>
        <w:pStyle w:val="TextBody"/>
        <w:jc w:val="left"/>
        <w:rPr/>
      </w:pPr>
      <w:r>
        <w:rPr/>
        <w:t>The following amounts have been incurred to these related parties:</w:t>
      </w:r>
    </w:p>
    <w:tbl>
      <w:tblPr>
        <w:tblW w:w="8910" w:type="dxa"/>
        <w:jc w:val="center"/>
        <w:tblInd w:w="0" w:type="dxa"/>
        <w:tblCellMar>
          <w:top w:w="105" w:type="dxa"/>
          <w:left w:w="105" w:type="dxa"/>
          <w:bottom w:w="105" w:type="dxa"/>
          <w:right w:w="105" w:type="dxa"/>
        </w:tblCellMar>
      </w:tblPr>
      <w:tblGrid>
        <w:gridCol w:w="5792"/>
        <w:gridCol w:w="1603"/>
        <w:gridCol w:w="1515"/>
      </w:tblGrid>
      <w:tr>
        <w:trPr/>
        <w:tc>
          <w:tcPr>
            <w:tcW w:w="5792" w:type="dxa"/>
            <w:tcBorders/>
            <w:shd w:fill="auto" w:val="clear"/>
          </w:tcPr>
          <w:p>
            <w:pPr>
              <w:pStyle w:val="TableContents"/>
              <w:spacing w:before="0" w:after="283"/>
              <w:rPr/>
            </w:pPr>
            <w:r>
              <w:rPr/>
              <w:t> </w:t>
            </w:r>
          </w:p>
        </w:tc>
        <w:tc>
          <w:tcPr>
            <w:tcW w:w="3118" w:type="dxa"/>
            <w:gridSpan w:val="2"/>
            <w:tcBorders/>
            <w:shd w:fill="auto" w:val="clear"/>
          </w:tcPr>
          <w:p>
            <w:pPr>
              <w:pStyle w:val="TableContents"/>
              <w:spacing w:before="0" w:after="283"/>
              <w:jc w:val="center"/>
              <w:rPr>
                <w:sz w:val="20"/>
              </w:rPr>
            </w:pPr>
            <w:r>
              <w:rPr>
                <w:sz w:val="20"/>
              </w:rPr>
              <w:t>Three months ended March 31,</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jc w:val="center"/>
              <w:rPr>
                <w:sz w:val="20"/>
              </w:rPr>
            </w:pPr>
            <w:r>
              <w:rPr>
                <w:sz w:val="20"/>
              </w:rPr>
              <w:t>2006</w:t>
            </w:r>
          </w:p>
        </w:tc>
        <w:tc>
          <w:tcPr>
            <w:tcW w:w="1515" w:type="dxa"/>
            <w:tcBorders/>
            <w:shd w:fill="auto" w:val="clear"/>
          </w:tcPr>
          <w:p>
            <w:pPr>
              <w:pStyle w:val="TableContents"/>
              <w:spacing w:before="0" w:after="283"/>
              <w:jc w:val="center"/>
              <w:rPr>
                <w:sz w:val="20"/>
              </w:rPr>
            </w:pPr>
            <w:r>
              <w:rPr>
                <w:sz w:val="20"/>
              </w:rPr>
              <w:t>2005</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rPr/>
            </w:pPr>
            <w:r>
              <w:rPr/>
              <w:t> </w:t>
            </w:r>
          </w:p>
        </w:tc>
        <w:tc>
          <w:tcPr>
            <w:tcW w:w="1515" w:type="dxa"/>
            <w:tcBorders/>
            <w:shd w:fill="auto" w:val="clear"/>
          </w:tcPr>
          <w:p>
            <w:pPr>
              <w:pStyle w:val="TableContents"/>
              <w:spacing w:before="0" w:after="283"/>
              <w:rPr/>
            </w:pPr>
            <w:r>
              <w:rPr/>
              <w:t> </w:t>
            </w:r>
          </w:p>
        </w:tc>
      </w:tr>
      <w:tr>
        <w:trPr/>
        <w:tc>
          <w:tcPr>
            <w:tcW w:w="5792" w:type="dxa"/>
            <w:tcBorders/>
            <w:shd w:fill="auto" w:val="clear"/>
          </w:tcPr>
          <w:p>
            <w:pPr>
              <w:pStyle w:val="TableContents"/>
              <w:spacing w:before="0" w:after="283"/>
              <w:jc w:val="left"/>
              <w:rPr>
                <w:sz w:val="20"/>
              </w:rPr>
            </w:pPr>
            <w:r>
              <w:rPr>
                <w:sz w:val="20"/>
              </w:rPr>
              <w:t>Management fees (former CEO and former CFO)</w:t>
            </w:r>
          </w:p>
        </w:tc>
        <w:tc>
          <w:tcPr>
            <w:tcW w:w="1603" w:type="dxa"/>
            <w:tcBorders/>
            <w:shd w:fill="auto" w:val="clear"/>
          </w:tcPr>
          <w:p>
            <w:pPr>
              <w:pStyle w:val="TableContents"/>
              <w:spacing w:before="0" w:after="283"/>
              <w:jc w:val="right"/>
              <w:rPr>
                <w:sz w:val="20"/>
              </w:rPr>
            </w:pPr>
            <w:r>
              <w:rPr>
                <w:sz w:val="20"/>
              </w:rPr>
              <w:t>$           16,016 </w:t>
            </w:r>
          </w:p>
        </w:tc>
        <w:tc>
          <w:tcPr>
            <w:tcW w:w="1515" w:type="dxa"/>
            <w:tcBorders/>
            <w:shd w:fill="auto" w:val="clear"/>
          </w:tcPr>
          <w:p>
            <w:pPr>
              <w:pStyle w:val="TableContents"/>
              <w:spacing w:before="0" w:after="283"/>
              <w:jc w:val="right"/>
              <w:rPr>
                <w:sz w:val="20"/>
              </w:rPr>
            </w:pPr>
            <w:r>
              <w:rPr>
                <w:sz w:val="20"/>
              </w:rPr>
              <w:t>$          34,321 </w:t>
            </w:r>
          </w:p>
        </w:tc>
      </w:tr>
      <w:tr>
        <w:trPr/>
        <w:tc>
          <w:tcPr>
            <w:tcW w:w="5792" w:type="dxa"/>
            <w:tcBorders/>
            <w:shd w:fill="auto" w:val="clear"/>
          </w:tcPr>
          <w:p>
            <w:pPr>
              <w:pStyle w:val="TableContents"/>
              <w:spacing w:before="0" w:after="283"/>
              <w:jc w:val="left"/>
              <w:rPr>
                <w:sz w:val="20"/>
              </w:rPr>
            </w:pPr>
            <w:r>
              <w:rPr>
                <w:sz w:val="20"/>
              </w:rPr>
              <w:t>Research and development (CSO)</w:t>
            </w:r>
          </w:p>
        </w:tc>
        <w:tc>
          <w:tcPr>
            <w:tcW w:w="1603" w:type="dxa"/>
            <w:tcBorders/>
            <w:shd w:fill="auto" w:val="clear"/>
          </w:tcPr>
          <w:p>
            <w:pPr>
              <w:pStyle w:val="TableContents"/>
              <w:spacing w:before="0" w:after="283"/>
              <w:jc w:val="right"/>
              <w:rPr>
                <w:sz w:val="20"/>
              </w:rPr>
            </w:pPr>
            <w:r>
              <w:rPr>
                <w:sz w:val="20"/>
              </w:rPr>
              <w:t>25,972 </w:t>
            </w:r>
          </w:p>
        </w:tc>
        <w:tc>
          <w:tcPr>
            <w:tcW w:w="1515" w:type="dxa"/>
            <w:tcBorders/>
            <w:shd w:fill="auto" w:val="clear"/>
          </w:tcPr>
          <w:p>
            <w:pPr>
              <w:pStyle w:val="TableContents"/>
              <w:spacing w:before="0" w:after="283"/>
              <w:jc w:val="right"/>
              <w:rPr>
                <w:sz w:val="20"/>
              </w:rPr>
            </w:pPr>
            <w:r>
              <w:rPr>
                <w:sz w:val="20"/>
              </w:rPr>
              <w:t>14,274 </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rPr/>
            </w:pPr>
            <w:r>
              <w:rPr/>
              <w:t> </w:t>
            </w:r>
          </w:p>
        </w:tc>
        <w:tc>
          <w:tcPr>
            <w:tcW w:w="1515" w:type="dxa"/>
            <w:tcBorders/>
            <w:shd w:fill="auto" w:val="clear"/>
          </w:tcPr>
          <w:p>
            <w:pPr>
              <w:pStyle w:val="TableContents"/>
              <w:spacing w:before="0" w:after="283"/>
              <w:rPr/>
            </w:pPr>
            <w:r>
              <w:rPr/>
              <w:t> </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jc w:val="right"/>
              <w:rPr>
                <w:sz w:val="20"/>
              </w:rPr>
            </w:pPr>
            <w:r>
              <w:rPr>
                <w:sz w:val="20"/>
              </w:rPr>
              <w:t>$          41,988 </w:t>
            </w:r>
          </w:p>
        </w:tc>
        <w:tc>
          <w:tcPr>
            <w:tcW w:w="1515" w:type="dxa"/>
            <w:tcBorders/>
            <w:shd w:fill="auto" w:val="clear"/>
          </w:tcPr>
          <w:p>
            <w:pPr>
              <w:pStyle w:val="TableContents"/>
              <w:spacing w:before="0" w:after="283"/>
              <w:jc w:val="right"/>
              <w:rPr>
                <w:sz w:val="20"/>
              </w:rPr>
            </w:pPr>
            <w:r>
              <w:rPr>
                <w:sz w:val="20"/>
              </w:rPr>
              <w:t>$          48,595 </w:t>
            </w:r>
          </w:p>
        </w:tc>
      </w:tr>
    </w:tbl>
    <w:p>
      <w:pPr>
        <w:pStyle w:val="TextBody"/>
        <w:jc w:val="center"/>
        <w:rPr/>
      </w:pPr>
      <w:r>
        <w:rPr/>
        <w:t>- 11 -</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pPr>
      <w:r>
        <w:rPr>
          <w:b/>
        </w:rPr>
        <w:t>NOTE 6 - RELATED PARTY TRANSACTIONS</w:t>
      </w:r>
      <w:r>
        <w:rPr/>
        <w:t xml:space="preserve"> (continued)</w:t>
      </w:r>
    </w:p>
    <w:p>
      <w:pPr>
        <w:pStyle w:val="TextBody"/>
        <w:jc w:val="both"/>
        <w:rPr/>
      </w:pPr>
      <w:r>
        <w:rPr/>
        <w:t>As at March 31, 2006, the Company has total commitments remaining relating to the management agreement with the CSO for the periods ending March 31, 2007 and 2008 of approximately $110,700 and $83,000, respectively.</w:t>
      </w:r>
    </w:p>
    <w:p>
      <w:pPr>
        <w:pStyle w:val="TextBody"/>
        <w:jc w:val="both"/>
        <w:rPr/>
      </w:pPr>
      <w:r>
        <w:rPr/>
        <w:t xml:space="preserve">During the three months ended March 31, 2006, GPI and the Company incurred $41,988 in fees these and former related parties and made repayments of $16,016. Amounts due to related parties are unsecured, non-interest bearing and have no specific terms of repayment. </w:t>
      </w:r>
    </w:p>
    <w:p>
      <w:pPr>
        <w:pStyle w:val="TextBody"/>
        <w:jc w:val="left"/>
        <w:rPr>
          <w:b/>
        </w:rPr>
      </w:pPr>
      <w:r>
        <w:rPr>
          <w:b/>
        </w:rPr>
        <w:t>NOTE 7 - CAPITAL STOCK</w:t>
      </w:r>
    </w:p>
    <w:p>
      <w:pPr>
        <w:pStyle w:val="TextBody"/>
        <w:jc w:val="both"/>
        <w:rPr/>
      </w:pPr>
      <w:r>
        <w:rPr/>
        <w:t xml:space="preserve">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warrants wa s estimated to be $116,206 and was recorded as separate component of stockholders' equity. </w:t>
      </w:r>
    </w:p>
    <w:p>
      <w:pPr>
        <w:pStyle w:val="TextBody"/>
        <w:jc w:val="left"/>
        <w:rPr>
          <w:b/>
        </w:rPr>
      </w:pPr>
      <w:r>
        <w:rPr>
          <w:b/>
        </w:rPr>
        <w:t>Stock Option Plan</w:t>
      </w:r>
    </w:p>
    <w:p>
      <w:pPr>
        <w:pStyle w:val="TextBody"/>
        <w:jc w:val="both"/>
        <w:rPr/>
      </w:pPr>
      <w:r>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Through multiple Form S-8 Registration Statement filings, the total number of approved shares under the Plan is 12,250,000.</w:t>
      </w:r>
    </w:p>
    <w:p>
      <w:pPr>
        <w:pStyle w:val="TextBody"/>
        <w:jc w:val="left"/>
        <w:rPr>
          <w:b/>
        </w:rPr>
      </w:pPr>
      <w:r>
        <w:rPr>
          <w:b/>
        </w:rPr>
        <w:t>Stock Options</w:t>
      </w:r>
    </w:p>
    <w:p>
      <w:pPr>
        <w:pStyle w:val="TextBody"/>
        <w:jc w:val="both"/>
        <w:rPr/>
      </w:pPr>
      <w:r>
        <w:rPr/>
        <w:t>The Company's stock option activity is as follows:</w:t>
      </w:r>
    </w:p>
    <w:tbl>
      <w:tblPr>
        <w:tblW w:w="9000" w:type="dxa"/>
        <w:jc w:val="center"/>
        <w:tblInd w:w="0" w:type="dxa"/>
        <w:tblCellMar>
          <w:top w:w="105" w:type="dxa"/>
          <w:left w:w="105" w:type="dxa"/>
          <w:bottom w:w="105" w:type="dxa"/>
          <w:right w:w="105" w:type="dxa"/>
        </w:tblCellMar>
      </w:tblPr>
      <w:tblGrid>
        <w:gridCol w:w="4050"/>
        <w:gridCol w:w="1439"/>
        <w:gridCol w:w="1709"/>
        <w:gridCol w:w="1802"/>
      </w:tblGrid>
      <w:tr>
        <w:trPr/>
        <w:tc>
          <w:tcPr>
            <w:tcW w:w="4050" w:type="dxa"/>
            <w:tcBorders/>
            <w:shd w:fill="auto" w:val="clear"/>
          </w:tcPr>
          <w:p>
            <w:pPr>
              <w:pStyle w:val="TableContents"/>
              <w:spacing w:before="0" w:after="283"/>
              <w:rPr/>
            </w:pPr>
            <w:r>
              <w:rPr/>
              <w:t> </w:t>
            </w:r>
          </w:p>
        </w:tc>
        <w:tc>
          <w:tcPr>
            <w:tcW w:w="1439" w:type="dxa"/>
            <w:tcBorders/>
            <w:shd w:fill="auto" w:val="clear"/>
          </w:tcPr>
          <w:p>
            <w:pPr>
              <w:pStyle w:val="TableContents"/>
              <w:spacing w:before="0" w:after="283"/>
              <w:jc w:val="center"/>
              <w:rPr>
                <w:sz w:val="20"/>
              </w:rPr>
            </w:pPr>
            <w:r>
              <w:rPr>
                <w:sz w:val="20"/>
              </w:rPr>
              <w:t>Number of options</w:t>
            </w:r>
          </w:p>
        </w:tc>
        <w:tc>
          <w:tcPr>
            <w:tcW w:w="1709" w:type="dxa"/>
            <w:tcBorders/>
            <w:shd w:fill="auto" w:val="clear"/>
          </w:tcPr>
          <w:p>
            <w:pPr>
              <w:pStyle w:val="TableContents"/>
              <w:spacing w:before="0" w:after="283"/>
              <w:jc w:val="center"/>
              <w:rPr>
                <w:sz w:val="20"/>
              </w:rPr>
            </w:pPr>
            <w:r>
              <w:rPr>
                <w:sz w:val="20"/>
              </w:rPr>
              <w:t>Weighted Average Exercise Price</w:t>
            </w:r>
          </w:p>
        </w:tc>
        <w:tc>
          <w:tcPr>
            <w:tcW w:w="1802" w:type="dxa"/>
            <w:tcBorders/>
            <w:shd w:fill="auto" w:val="clear"/>
          </w:tcPr>
          <w:p>
            <w:pPr>
              <w:pStyle w:val="TableContents"/>
              <w:spacing w:before="0" w:after="283"/>
              <w:jc w:val="center"/>
              <w:rPr>
                <w:sz w:val="20"/>
              </w:rPr>
            </w:pPr>
            <w:r>
              <w:rPr>
                <w:sz w:val="20"/>
              </w:rPr>
              <w:t>Weighted Average Remaining Life</w:t>
            </w:r>
          </w:p>
        </w:tc>
      </w:tr>
      <w:tr>
        <w:trPr/>
        <w:tc>
          <w:tcPr>
            <w:tcW w:w="4050" w:type="dxa"/>
            <w:tcBorders/>
            <w:shd w:fill="auto" w:val="clear"/>
          </w:tcPr>
          <w:p>
            <w:pPr>
              <w:pStyle w:val="TableContents"/>
              <w:spacing w:before="0" w:after="283"/>
              <w:rPr/>
            </w:pPr>
            <w:r>
              <w:rPr/>
              <w:t> </w:t>
            </w:r>
          </w:p>
        </w:tc>
        <w:tc>
          <w:tcPr>
            <w:tcW w:w="1439" w:type="dxa"/>
            <w:tcBorders/>
            <w:shd w:fill="auto" w:val="clear"/>
          </w:tcPr>
          <w:p>
            <w:pPr>
              <w:pStyle w:val="TableContents"/>
              <w:spacing w:before="0" w:after="283"/>
              <w:rPr/>
            </w:pPr>
            <w:r>
              <w:rPr/>
              <w:t> </w:t>
            </w:r>
          </w:p>
        </w:tc>
        <w:tc>
          <w:tcPr>
            <w:tcW w:w="1709" w:type="dxa"/>
            <w:tcBorders/>
            <w:shd w:fill="auto" w:val="clear"/>
          </w:tcPr>
          <w:p>
            <w:pPr>
              <w:pStyle w:val="TableContents"/>
              <w:spacing w:before="0" w:after="283"/>
              <w:rPr/>
            </w:pPr>
            <w:r>
              <w:rPr/>
              <w:t> </w:t>
            </w:r>
          </w:p>
        </w:tc>
        <w:tc>
          <w:tcPr>
            <w:tcW w:w="1802" w:type="dxa"/>
            <w:tcBorders/>
            <w:shd w:fill="auto" w:val="clear"/>
          </w:tcPr>
          <w:p>
            <w:pPr>
              <w:pStyle w:val="TableContents"/>
              <w:spacing w:before="0" w:after="283"/>
              <w:rPr/>
            </w:pPr>
            <w:r>
              <w:rPr/>
              <w:t> </w:t>
            </w:r>
          </w:p>
        </w:tc>
      </w:tr>
      <w:tr>
        <w:trPr>
          <w:trHeight w:val="405" w:hRule="atLeast"/>
        </w:trPr>
        <w:tc>
          <w:tcPr>
            <w:tcW w:w="4050" w:type="dxa"/>
            <w:tcBorders/>
            <w:shd w:fill="auto" w:val="clear"/>
          </w:tcPr>
          <w:p>
            <w:pPr>
              <w:pStyle w:val="TableContents"/>
              <w:spacing w:before="0" w:after="283"/>
              <w:jc w:val="left"/>
              <w:rPr>
                <w:sz w:val="20"/>
              </w:rPr>
            </w:pPr>
            <w:r>
              <w:rPr>
                <w:sz w:val="20"/>
              </w:rPr>
              <w:t>Balance, December 31, 2005</w:t>
            </w:r>
          </w:p>
        </w:tc>
        <w:tc>
          <w:tcPr>
            <w:tcW w:w="1439" w:type="dxa"/>
            <w:tcBorders/>
            <w:shd w:fill="auto" w:val="clear"/>
            <w:vAlign w:val="bottom"/>
          </w:tcPr>
          <w:p>
            <w:pPr>
              <w:pStyle w:val="TableContents"/>
              <w:spacing w:before="0" w:after="283"/>
              <w:jc w:val="right"/>
              <w:rPr>
                <w:sz w:val="20"/>
              </w:rPr>
            </w:pPr>
            <w:r>
              <w:rPr>
                <w:sz w:val="20"/>
              </w:rPr>
              <w:t>3,125,000 </w:t>
            </w:r>
          </w:p>
        </w:tc>
        <w:tc>
          <w:tcPr>
            <w:tcW w:w="1709" w:type="dxa"/>
            <w:tcBorders/>
            <w:shd w:fill="auto" w:val="clear"/>
          </w:tcPr>
          <w:p>
            <w:pPr>
              <w:pStyle w:val="TableContents"/>
              <w:spacing w:before="0" w:after="283"/>
              <w:jc w:val="right"/>
              <w:rPr>
                <w:sz w:val="20"/>
              </w:rPr>
            </w:pPr>
            <w:r>
              <w:rPr>
                <w:sz w:val="20"/>
              </w:rPr>
              <w:t>$              0.57</w:t>
            </w:r>
          </w:p>
        </w:tc>
        <w:tc>
          <w:tcPr>
            <w:tcW w:w="1802" w:type="dxa"/>
            <w:tcBorders/>
            <w:shd w:fill="auto" w:val="clear"/>
          </w:tcPr>
          <w:p>
            <w:pPr>
              <w:pStyle w:val="TableContents"/>
              <w:spacing w:before="0" w:after="283"/>
              <w:jc w:val="center"/>
              <w:rPr>
                <w:sz w:val="20"/>
              </w:rPr>
            </w:pPr>
            <w:r>
              <w:rPr>
                <w:sz w:val="20"/>
              </w:rPr>
              <w:t>5.43 years</w:t>
            </w:r>
          </w:p>
        </w:tc>
      </w:tr>
      <w:tr>
        <w:trPr/>
        <w:tc>
          <w:tcPr>
            <w:tcW w:w="4050" w:type="dxa"/>
            <w:tcBorders/>
            <w:shd w:fill="auto" w:val="clear"/>
          </w:tcPr>
          <w:p>
            <w:pPr>
              <w:pStyle w:val="TableContents"/>
              <w:spacing w:before="0" w:after="283"/>
              <w:rPr/>
            </w:pPr>
            <w:r>
              <w:rPr/>
              <w:t> </w:t>
            </w:r>
          </w:p>
        </w:tc>
        <w:tc>
          <w:tcPr>
            <w:tcW w:w="1439" w:type="dxa"/>
            <w:tcBorders/>
            <w:shd w:fill="auto" w:val="clear"/>
            <w:vAlign w:val="bottom"/>
          </w:tcPr>
          <w:p>
            <w:pPr>
              <w:pStyle w:val="TableContents"/>
              <w:spacing w:before="0" w:after="283"/>
              <w:rPr/>
            </w:pPr>
            <w:r>
              <w:rPr/>
              <w:t> </w:t>
            </w:r>
          </w:p>
        </w:tc>
        <w:tc>
          <w:tcPr>
            <w:tcW w:w="1709" w:type="dxa"/>
            <w:tcBorders/>
            <w:shd w:fill="auto" w:val="clear"/>
          </w:tcPr>
          <w:p>
            <w:pPr>
              <w:pStyle w:val="TableContents"/>
              <w:spacing w:before="0" w:after="283"/>
              <w:rPr/>
            </w:pPr>
            <w:r>
              <w:rPr/>
              <w:t> </w:t>
            </w:r>
          </w:p>
        </w:tc>
        <w:tc>
          <w:tcPr>
            <w:tcW w:w="1802" w:type="dxa"/>
            <w:tcBorders/>
            <w:shd w:fill="auto" w:val="clear"/>
          </w:tcPr>
          <w:p>
            <w:pPr>
              <w:pStyle w:val="TableContents"/>
              <w:spacing w:before="0" w:after="283"/>
              <w:rPr/>
            </w:pPr>
            <w:r>
              <w:rPr/>
              <w:t> </w:t>
            </w:r>
          </w:p>
        </w:tc>
      </w:tr>
      <w:tr>
        <w:trPr/>
        <w:tc>
          <w:tcPr>
            <w:tcW w:w="4050" w:type="dxa"/>
            <w:tcBorders/>
            <w:shd w:fill="auto" w:val="clear"/>
          </w:tcPr>
          <w:p>
            <w:pPr>
              <w:pStyle w:val="TableContents"/>
              <w:spacing w:before="0" w:after="283"/>
              <w:jc w:val="left"/>
              <w:rPr>
                <w:sz w:val="20"/>
              </w:rPr>
            </w:pPr>
            <w:r>
              <w:rPr>
                <w:sz w:val="20"/>
              </w:rPr>
              <w:t>Balance, March 31, 2006</w:t>
            </w:r>
          </w:p>
        </w:tc>
        <w:tc>
          <w:tcPr>
            <w:tcW w:w="1439" w:type="dxa"/>
            <w:tcBorders/>
            <w:shd w:fill="auto" w:val="clear"/>
            <w:vAlign w:val="bottom"/>
          </w:tcPr>
          <w:p>
            <w:pPr>
              <w:pStyle w:val="TableContents"/>
              <w:spacing w:before="0" w:after="283"/>
              <w:jc w:val="right"/>
              <w:rPr>
                <w:sz w:val="20"/>
              </w:rPr>
            </w:pPr>
            <w:r>
              <w:rPr>
                <w:sz w:val="20"/>
              </w:rPr>
              <w:t>3,125,000 </w:t>
            </w:r>
          </w:p>
        </w:tc>
        <w:tc>
          <w:tcPr>
            <w:tcW w:w="1709" w:type="dxa"/>
            <w:tcBorders/>
            <w:shd w:fill="auto" w:val="clear"/>
          </w:tcPr>
          <w:p>
            <w:pPr>
              <w:pStyle w:val="TableContents"/>
              <w:spacing w:before="0" w:after="283"/>
              <w:jc w:val="right"/>
              <w:rPr>
                <w:sz w:val="20"/>
              </w:rPr>
            </w:pPr>
            <w:r>
              <w:rPr>
                <w:sz w:val="20"/>
              </w:rPr>
              <w:t>$              0.56</w:t>
            </w:r>
          </w:p>
        </w:tc>
        <w:tc>
          <w:tcPr>
            <w:tcW w:w="1802" w:type="dxa"/>
            <w:tcBorders/>
            <w:shd w:fill="auto" w:val="clear"/>
          </w:tcPr>
          <w:p>
            <w:pPr>
              <w:pStyle w:val="TableContents"/>
              <w:spacing w:before="0" w:after="283"/>
              <w:jc w:val="center"/>
              <w:rPr>
                <w:sz w:val="20"/>
              </w:rPr>
            </w:pPr>
            <w:r>
              <w:rPr>
                <w:sz w:val="20"/>
              </w:rPr>
              <w:t>5.18 years</w:t>
            </w:r>
          </w:p>
        </w:tc>
      </w:tr>
    </w:tbl>
    <w:p>
      <w:pPr>
        <w:pStyle w:val="TextBody"/>
        <w:jc w:val="left"/>
        <w:rPr>
          <w:b/>
        </w:rPr>
      </w:pPr>
      <w:r>
        <w:rPr>
          <w:b/>
        </w:rPr>
        <w:t>Share Purchase Warrants</w:t>
      </w:r>
    </w:p>
    <w:p>
      <w:pPr>
        <w:pStyle w:val="TextBody"/>
        <w:jc w:val="left"/>
        <w:rPr/>
      </w:pPr>
      <w:r>
        <w:rPr/>
        <w:t>The Company's share purchase warrant activity is as follows:</w:t>
      </w:r>
    </w:p>
    <w:tbl>
      <w:tblPr>
        <w:tblW w:w="8820" w:type="dxa"/>
        <w:jc w:val="center"/>
        <w:tblInd w:w="0" w:type="dxa"/>
        <w:tblCellMar>
          <w:top w:w="105" w:type="dxa"/>
          <w:left w:w="105" w:type="dxa"/>
          <w:bottom w:w="105" w:type="dxa"/>
          <w:right w:w="105" w:type="dxa"/>
        </w:tblCellMar>
      </w:tblPr>
      <w:tblGrid>
        <w:gridCol w:w="3794"/>
        <w:gridCol w:w="1498"/>
        <w:gridCol w:w="1763"/>
        <w:gridCol w:w="1765"/>
      </w:tblGrid>
      <w:tr>
        <w:trPr/>
        <w:tc>
          <w:tcPr>
            <w:tcW w:w="3794"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jc w:val="center"/>
              <w:rPr>
                <w:sz w:val="20"/>
              </w:rPr>
            </w:pPr>
            <w:r>
              <w:rPr>
                <w:sz w:val="20"/>
              </w:rPr>
              <w:t>Number of warrants</w:t>
            </w:r>
          </w:p>
        </w:tc>
        <w:tc>
          <w:tcPr>
            <w:tcW w:w="1763" w:type="dxa"/>
            <w:tcBorders/>
            <w:shd w:fill="auto" w:val="clear"/>
          </w:tcPr>
          <w:p>
            <w:pPr>
              <w:pStyle w:val="TableContents"/>
              <w:spacing w:before="0" w:after="283"/>
              <w:jc w:val="center"/>
              <w:rPr>
                <w:sz w:val="20"/>
              </w:rPr>
            </w:pPr>
            <w:r>
              <w:rPr>
                <w:sz w:val="20"/>
              </w:rPr>
              <w:t>Weighted Average Exercise Price</w:t>
            </w:r>
          </w:p>
        </w:tc>
        <w:tc>
          <w:tcPr>
            <w:tcW w:w="1765" w:type="dxa"/>
            <w:tcBorders/>
            <w:shd w:fill="auto" w:val="clear"/>
          </w:tcPr>
          <w:p>
            <w:pPr>
              <w:pStyle w:val="TableContents"/>
              <w:spacing w:before="0" w:after="283"/>
              <w:jc w:val="center"/>
              <w:rPr>
                <w:sz w:val="20"/>
              </w:rPr>
            </w:pPr>
            <w:r>
              <w:rPr>
                <w:sz w:val="20"/>
              </w:rPr>
              <w:t>Weighted Average Remaining Life</w:t>
            </w:r>
          </w:p>
        </w:tc>
      </w:tr>
      <w:tr>
        <w:trPr/>
        <w:tc>
          <w:tcPr>
            <w:tcW w:w="3794" w:type="dxa"/>
            <w:tcBorders/>
            <w:shd w:fill="auto" w:val="clear"/>
          </w:tcPr>
          <w:p>
            <w:pPr>
              <w:pStyle w:val="TableContents"/>
              <w:spacing w:before="0" w:after="283"/>
              <w:rPr/>
            </w:pPr>
            <w:r>
              <w:rPr/>
              <w:t> </w:t>
            </w:r>
          </w:p>
        </w:tc>
        <w:tc>
          <w:tcPr>
            <w:tcW w:w="1498" w:type="dxa"/>
            <w:tcBorders/>
            <w:shd w:fill="auto" w:val="clear"/>
          </w:tcPr>
          <w:p>
            <w:pPr>
              <w:pStyle w:val="TableContents"/>
              <w:spacing w:before="0" w:after="283"/>
              <w:rPr/>
            </w:pPr>
            <w:r>
              <w:rPr/>
              <w:t> </w:t>
            </w:r>
          </w:p>
        </w:tc>
        <w:tc>
          <w:tcPr>
            <w:tcW w:w="1763" w:type="dxa"/>
            <w:tcBorders/>
            <w:shd w:fill="auto" w:val="clear"/>
          </w:tcPr>
          <w:p>
            <w:pPr>
              <w:pStyle w:val="TableContents"/>
              <w:spacing w:before="0" w:after="283"/>
              <w:rPr/>
            </w:pPr>
            <w:r>
              <w:rPr/>
              <w:t> </w:t>
            </w:r>
          </w:p>
        </w:tc>
        <w:tc>
          <w:tcPr>
            <w:tcW w:w="1765" w:type="dxa"/>
            <w:tcBorders/>
            <w:shd w:fill="auto" w:val="clear"/>
          </w:tcPr>
          <w:p>
            <w:pPr>
              <w:pStyle w:val="TableContents"/>
              <w:spacing w:before="0" w:after="283"/>
              <w:rPr/>
            </w:pPr>
            <w:r>
              <w:rPr/>
              <w:t> </w:t>
            </w:r>
          </w:p>
        </w:tc>
      </w:tr>
      <w:tr>
        <w:trPr/>
        <w:tc>
          <w:tcPr>
            <w:tcW w:w="3794" w:type="dxa"/>
            <w:tcBorders/>
            <w:shd w:fill="auto" w:val="clear"/>
          </w:tcPr>
          <w:p>
            <w:pPr>
              <w:pStyle w:val="TableContents"/>
              <w:spacing w:before="0" w:after="283"/>
              <w:jc w:val="left"/>
              <w:rPr>
                <w:sz w:val="20"/>
              </w:rPr>
            </w:pPr>
            <w:r>
              <w:rPr>
                <w:sz w:val="20"/>
              </w:rPr>
              <w:t>Balance, December 31, 2005</w:t>
            </w:r>
          </w:p>
        </w:tc>
        <w:tc>
          <w:tcPr>
            <w:tcW w:w="1498" w:type="dxa"/>
            <w:tcBorders/>
            <w:shd w:fill="auto" w:val="clear"/>
          </w:tcPr>
          <w:p>
            <w:pPr>
              <w:pStyle w:val="TableContents"/>
              <w:spacing w:before="0" w:after="283"/>
              <w:jc w:val="right"/>
              <w:rPr>
                <w:sz w:val="20"/>
              </w:rPr>
            </w:pPr>
            <w:r>
              <w:rPr>
                <w:sz w:val="20"/>
              </w:rPr>
              <w:t>6,696,368</w:t>
            </w:r>
          </w:p>
        </w:tc>
        <w:tc>
          <w:tcPr>
            <w:tcW w:w="1763" w:type="dxa"/>
            <w:tcBorders/>
            <w:shd w:fill="auto" w:val="clear"/>
          </w:tcPr>
          <w:p>
            <w:pPr>
              <w:pStyle w:val="TableContents"/>
              <w:spacing w:before="0" w:after="283"/>
              <w:jc w:val="right"/>
              <w:rPr>
                <w:sz w:val="20"/>
              </w:rPr>
            </w:pPr>
            <w:r>
              <w:rPr>
                <w:sz w:val="20"/>
              </w:rPr>
              <w:t>0.39</w:t>
            </w:r>
          </w:p>
        </w:tc>
        <w:tc>
          <w:tcPr>
            <w:tcW w:w="1765" w:type="dxa"/>
            <w:tcBorders/>
            <w:shd w:fill="auto" w:val="clear"/>
          </w:tcPr>
          <w:p>
            <w:pPr>
              <w:pStyle w:val="TableContents"/>
              <w:spacing w:before="0" w:after="283"/>
              <w:jc w:val="center"/>
              <w:rPr>
                <w:sz w:val="20"/>
              </w:rPr>
            </w:pPr>
            <w:r>
              <w:rPr>
                <w:sz w:val="20"/>
              </w:rPr>
              <w:t>0.88 years</w:t>
            </w:r>
          </w:p>
        </w:tc>
      </w:tr>
      <w:tr>
        <w:trPr/>
        <w:tc>
          <w:tcPr>
            <w:tcW w:w="3794" w:type="dxa"/>
            <w:tcBorders/>
            <w:shd w:fill="auto" w:val="clear"/>
          </w:tcPr>
          <w:p>
            <w:pPr>
              <w:pStyle w:val="TableContents"/>
              <w:spacing w:before="0" w:after="283"/>
              <w:jc w:val="left"/>
              <w:rPr>
                <w:sz w:val="20"/>
              </w:rPr>
            </w:pPr>
            <w:r>
              <w:rPr>
                <w:sz w:val="20"/>
              </w:rPr>
              <w:t>Issued</w:t>
            </w:r>
          </w:p>
        </w:tc>
        <w:tc>
          <w:tcPr>
            <w:tcW w:w="1498" w:type="dxa"/>
            <w:tcBorders/>
            <w:shd w:fill="auto" w:val="clear"/>
          </w:tcPr>
          <w:p>
            <w:pPr>
              <w:pStyle w:val="TableContents"/>
              <w:spacing w:before="0" w:after="283"/>
              <w:jc w:val="right"/>
              <w:rPr>
                <w:sz w:val="20"/>
              </w:rPr>
            </w:pPr>
            <w:r>
              <w:rPr>
                <w:sz w:val="20"/>
              </w:rPr>
              <w:t>4,945,000</w:t>
            </w:r>
          </w:p>
        </w:tc>
        <w:tc>
          <w:tcPr>
            <w:tcW w:w="1763" w:type="dxa"/>
            <w:tcBorders/>
            <w:shd w:fill="auto" w:val="clear"/>
          </w:tcPr>
          <w:p>
            <w:pPr>
              <w:pStyle w:val="TableContents"/>
              <w:spacing w:before="0" w:after="283"/>
              <w:jc w:val="right"/>
              <w:rPr>
                <w:sz w:val="20"/>
              </w:rPr>
            </w:pPr>
            <w:r>
              <w:rPr>
                <w:sz w:val="20"/>
              </w:rPr>
              <w:t>0.10</w:t>
            </w:r>
          </w:p>
        </w:tc>
        <w:tc>
          <w:tcPr>
            <w:tcW w:w="1765" w:type="dxa"/>
            <w:tcBorders/>
            <w:shd w:fill="auto" w:val="clear"/>
          </w:tcPr>
          <w:p>
            <w:pPr>
              <w:pStyle w:val="TableContents"/>
              <w:spacing w:before="0" w:after="283"/>
              <w:rPr/>
            </w:pPr>
            <w:r>
              <w:rPr/>
              <w:t> </w:t>
            </w:r>
          </w:p>
        </w:tc>
      </w:tr>
      <w:tr>
        <w:trPr/>
        <w:tc>
          <w:tcPr>
            <w:tcW w:w="3794" w:type="dxa"/>
            <w:tcBorders/>
            <w:shd w:fill="auto" w:val="clear"/>
          </w:tcPr>
          <w:p>
            <w:pPr>
              <w:pStyle w:val="TableContents"/>
              <w:spacing w:before="0" w:after="283"/>
              <w:jc w:val="left"/>
              <w:rPr>
                <w:sz w:val="20"/>
              </w:rPr>
            </w:pPr>
            <w:r>
              <w:rPr>
                <w:sz w:val="20"/>
              </w:rPr>
              <w:t>Balance, March 31, 2006</w:t>
            </w:r>
          </w:p>
        </w:tc>
        <w:tc>
          <w:tcPr>
            <w:tcW w:w="1498" w:type="dxa"/>
            <w:tcBorders/>
            <w:shd w:fill="auto" w:val="clear"/>
          </w:tcPr>
          <w:p>
            <w:pPr>
              <w:pStyle w:val="TableContents"/>
              <w:spacing w:before="0" w:after="283"/>
              <w:jc w:val="right"/>
              <w:rPr>
                <w:sz w:val="20"/>
              </w:rPr>
            </w:pPr>
            <w:r>
              <w:rPr>
                <w:sz w:val="20"/>
              </w:rPr>
              <w:t>10,784,225</w:t>
            </w:r>
          </w:p>
        </w:tc>
        <w:tc>
          <w:tcPr>
            <w:tcW w:w="1763" w:type="dxa"/>
            <w:tcBorders/>
            <w:shd w:fill="auto" w:val="clear"/>
          </w:tcPr>
          <w:p>
            <w:pPr>
              <w:pStyle w:val="TableContents"/>
              <w:spacing w:before="0" w:after="283"/>
              <w:jc w:val="right"/>
              <w:rPr>
                <w:sz w:val="20"/>
              </w:rPr>
            </w:pPr>
            <w:r>
              <w:rPr>
                <w:sz w:val="20"/>
              </w:rPr>
              <w:t>$               0.33</w:t>
            </w:r>
          </w:p>
        </w:tc>
        <w:tc>
          <w:tcPr>
            <w:tcW w:w="1765" w:type="dxa"/>
            <w:tcBorders/>
            <w:shd w:fill="auto" w:val="clear"/>
          </w:tcPr>
          <w:p>
            <w:pPr>
              <w:pStyle w:val="TableContents"/>
              <w:spacing w:before="0" w:after="283"/>
              <w:jc w:val="center"/>
              <w:rPr>
                <w:sz w:val="20"/>
              </w:rPr>
            </w:pPr>
            <w:r>
              <w:rPr>
                <w:sz w:val="20"/>
              </w:rPr>
              <w:t>2.69 years</w:t>
            </w:r>
          </w:p>
        </w:tc>
      </w:tr>
    </w:tbl>
    <w:p>
      <w:pPr>
        <w:pStyle w:val="TextBody"/>
        <w:jc w:val="center"/>
        <w:rPr/>
      </w:pPr>
      <w:r>
        <w:rPr/>
        <w:t>- 12 -</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(a development stage company)</w:t>
              <w:br/>
              <w:t>NOTES TO CONSOLIDATED FINANCIAL STATEMENTS</w:t>
            </w:r>
            <w:r>
              <w:rPr>
                <w:sz w:val="20"/>
              </w:rPr>
              <w:br/>
            </w:r>
            <w:r>
              <w:rPr>
                <w:b/>
                <w:sz w:val="20"/>
              </w:rPr>
              <w:t>MARCH 31, 2006 (Unaudited)</w:t>
            </w:r>
          </w:p>
        </w:tc>
      </w:tr>
    </w:tbl>
    <w:p>
      <w:pPr>
        <w:pStyle w:val="TextBody"/>
        <w:jc w:val="left"/>
        <w:rPr>
          <w:b/>
        </w:rPr>
      </w:pPr>
      <w:r>
        <w:rPr>
          <w:b/>
        </w:rPr>
        <w:t>NOTE 8 - INCOME TAXES</w:t>
      </w:r>
    </w:p>
    <w:p>
      <w:pPr>
        <w:pStyle w:val="TextBody"/>
        <w:jc w:val="both"/>
        <w:rPr/>
      </w:pPr>
      <w:r>
        <w:rPr/>
        <w:t>There were no temporary differences between the Company's tax and financial bases that result in deferred tax assets, except for the Company's net operating loss carry forwards amounting to approximately $9,700,000 (December 31, 2004 - $8,900,000) which may be available to reduce future year's taxable income. These carry 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pStyle w:val="TextBody"/>
        <w:jc w:val="left"/>
        <w:rPr>
          <w:b/>
        </w:rPr>
      </w:pPr>
      <w:r>
        <w:rPr>
          <w:b/>
        </w:rPr>
        <w:t>NOTE 9 - SUBSEQUENT EVENTS</w:t>
      </w:r>
    </w:p>
    <w:p>
      <w:pPr>
        <w:pStyle w:val="TextBody"/>
        <w:jc w:val="left"/>
        <w:rPr>
          <w:b/>
        </w:rPr>
      </w:pPr>
      <w:r>
        <w:rPr>
          <w:b/>
        </w:rPr>
        <w:t>Crucell Agreement Reinstatement</w:t>
      </w:r>
    </w:p>
    <w:p>
      <w:pPr>
        <w:pStyle w:val="TextBody"/>
        <w:jc w:val="both"/>
        <w:rPr/>
      </w:pPr>
      <w:r>
        <w:rPr/>
        <w:br/>
        <w:t xml:space="preserve">Subsequent to the end of the quarter, the Company negotiated a reinstatement of the original Research and License Option Agreement with Crucell and paid Crucell on April 20, 2006 </w:t>
      </w:r>
      <w:r>
        <w:rPr>
          <w:rFonts w:ascii="'Times New Roman';times;serif" w:hAnsi="'Times New Roman';times;serif"/>
        </w:rPr>
        <w:t></w:t>
      </w:r>
      <w:r>
        <w:rPr/>
        <w:t xml:space="preserve">123,590 (US$151,521) in connection with such reinstatement. Under the revised terms of the agreement, the Company will pay Crucell 12 monthly payments of </w:t>
      </w:r>
      <w:r>
        <w:rPr>
          <w:rFonts w:ascii="'Times New Roman';times;serif" w:hAnsi="'Times New Roman';times;serif"/>
        </w:rPr>
        <w:t></w:t>
      </w:r>
      <w:r>
        <w:rPr/>
        <w:t xml:space="preserve">10,300 starting in May 2006 and a </w:t>
      </w:r>
      <w:r>
        <w:rPr>
          <w:rFonts w:ascii="'Times New Roman';times;serif" w:hAnsi="'Times New Roman';times;serif"/>
        </w:rPr>
        <w:t></w:t>
      </w:r>
      <w:r>
        <w:rPr/>
        <w:t>75,000 annual license maintenance fee in order to keep the reinstated agreement in good standing.</w:t>
      </w:r>
    </w:p>
    <w:p>
      <w:pPr>
        <w:pStyle w:val="TextBody"/>
        <w:jc w:val="both"/>
        <w:rPr>
          <w:b/>
        </w:rPr>
      </w:pPr>
      <w:r>
        <w:rPr>
          <w:b/>
        </w:rPr>
        <w:t>Convertible Debenture Financing</w:t>
      </w:r>
    </w:p>
    <w:p>
      <w:pPr>
        <w:pStyle w:val="TextBody"/>
        <w:jc w:val="both"/>
        <w:rPr/>
      </w:pPr>
      <w:r>
        <w:rPr/>
        <w:t>Subsequent to the end of the quarter, the Company received an additional $345,960 of subscriptions on a second tranche of convertible debenture financing to be completed later in 2006.</w:t>
      </w:r>
    </w:p>
    <w:p>
      <w:pPr>
        <w:pStyle w:val="TextBody"/>
        <w:jc w:val="center"/>
        <w:rPr/>
      </w:pPr>
      <w:r>
        <w:rPr/>
        <w:t>- 13 -</w:t>
      </w:r>
    </w:p>
    <w:p>
      <w:pPr>
        <w:pStyle w:val="HorizontalLine"/>
        <w:pBdr>
          <w:bottom w:val="single" w:sz="18" w:space="0" w:color="808080"/>
        </w:pBdr>
        <w:rPr/>
      </w:pPr>
      <w:r>
        <w:rPr/>
      </w:r>
    </w:p>
    <w:p>
      <w:pPr>
        <w:pStyle w:val="TextBody"/>
        <w:jc w:val="both"/>
        <w:rPr>
          <w:b/>
        </w:rPr>
      </w:pPr>
      <w:r>
        <w:rPr>
          <w:b/>
        </w:rPr>
        <w:t>Item 2.</w:t>
        <w:tab/>
        <w:t>Management's Discussion and Analysis of Financial Condition and Results of Operations</w:t>
      </w:r>
    </w:p>
    <w:p>
      <w:pPr>
        <w:pStyle w:val="TextBody"/>
        <w:jc w:val="both"/>
        <w:rPr>
          <w:b/>
          <w:i/>
        </w:rPr>
      </w:pPr>
      <w:r>
        <w:rPr>
          <w:b/>
          <w:i/>
        </w:rPr>
        <w:t>Overview</w:t>
      </w:r>
    </w:p>
    <w:p>
      <w:pPr>
        <w:pStyle w:val="TextBody"/>
        <w:jc w:val="both"/>
        <w:rPr/>
      </w:pPr>
      <w:r>
        <w:rPr/>
        <w:t xml:space="preserve">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 </w:t>
      </w:r>
    </w:p>
    <w:p>
      <w:pPr>
        <w:pStyle w:val="TextBody"/>
        <w:jc w:val="both"/>
        <w:rPr/>
      </w:pPr>
      <w:r>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we need would, if obtained, be used to support our activities surrounding our proposed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the Company to approximately six.</w:t>
      </w:r>
    </w:p>
    <w:p>
      <w:pPr>
        <w:pStyle w:val="TextBody"/>
        <w:jc w:val="both"/>
        <w:rPr/>
      </w:pPr>
      <w:r>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pStyle w:val="TextBody"/>
        <w:jc w:val="left"/>
        <w:rPr>
          <w:b/>
        </w:rPr>
      </w:pPr>
      <w:r>
        <w:rPr>
          <w:b/>
        </w:rPr>
        <w:t>University of British Columbia Agreement</w:t>
      </w:r>
    </w:p>
    <w:p>
      <w:pPr>
        <w:pStyle w:val="TextBody"/>
        <w:jc w:val="both"/>
        <w:rPr/>
      </w:pPr>
      <w:r>
        <w:rPr/>
        <w:t xml:space="preserve">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 </w:t>
      </w:r>
    </w:p>
    <w:p>
      <w:pPr>
        <w:pStyle w:val="TextBody"/>
        <w:jc w:val="both"/>
        <w:rPr/>
      </w:pPr>
      <w:r>
        <w:rPr/>
        <w:t xml:space="preserve">In August 2004 the CRA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 </w:t>
      </w:r>
    </w:p>
    <w:p>
      <w:pPr>
        <w:pStyle w:val="TextBody"/>
        <w:jc w:val="left"/>
        <w:rPr/>
      </w:pPr>
      <w:r>
        <w:rPr/>
        <w:t>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left"/>
        <w:rPr/>
      </w:pPr>
      <w:r>
        <w:rPr/>
        <w:t>Under the terms of the agreement we are obligated to pay UBC $479,975 (CDN$ 556,533) as follows:</w:t>
      </w:r>
    </w:p>
    <w:p>
      <w:pPr>
        <w:pStyle w:val="TextBody"/>
        <w:numPr>
          <w:ilvl w:val="1"/>
          <w:numId w:val="3"/>
        </w:numPr>
        <w:tabs>
          <w:tab w:val="clear" w:pos="1134"/>
          <w:tab w:val="left" w:pos="1414" w:leader="none"/>
        </w:tabs>
        <w:ind w:left="1414" w:hanging="283"/>
        <w:rPr/>
      </w:pPr>
      <w:r>
        <w:rPr/>
        <w:t xml:space="preserve">$42,992 (CDN$ 50,000) (Paid); </w:t>
      </w:r>
    </w:p>
    <w:p>
      <w:pPr>
        <w:pStyle w:val="TextBody"/>
        <w:numPr>
          <w:ilvl w:val="1"/>
          <w:numId w:val="3"/>
        </w:numPr>
        <w:tabs>
          <w:tab w:val="clear" w:pos="1134"/>
          <w:tab w:val="left" w:pos="1414" w:leader="none"/>
        </w:tabs>
        <w:ind w:left="1414" w:hanging="283"/>
        <w:rPr/>
      </w:pPr>
      <w:r>
        <w:rPr/>
        <w:t>$258,538 (CDN$ 300,000) by March 31, 2006 (Paid); and</w:t>
      </w:r>
    </w:p>
    <w:p>
      <w:pPr>
        <w:pStyle w:val="TextBody"/>
        <w:numPr>
          <w:ilvl w:val="1"/>
          <w:numId w:val="3"/>
        </w:numPr>
        <w:tabs>
          <w:tab w:val="clear" w:pos="1134"/>
          <w:tab w:val="left" w:pos="1414" w:leader="none"/>
        </w:tabs>
        <w:ind w:left="1414" w:hanging="283"/>
        <w:rPr/>
      </w:pPr>
      <w:r>
        <w:rPr/>
        <w:t>$178,445 (CDN$ 206,533) on or before December 31, 2006; with the understanding that, should we complete an aggregate private and/or public financing of $1,719,690 (CDN$ 2,000,000) before December 31, 2006, this payment shall become immediately due and payable to UBC.</w:t>
      </w:r>
    </w:p>
    <w:p>
      <w:pPr>
        <w:pStyle w:val="TextBody"/>
        <w:jc w:val="center"/>
        <w:rPr/>
      </w:pPr>
      <w:r>
        <w:rPr/>
        <w:t>- 14 -</w:t>
      </w:r>
    </w:p>
    <w:p>
      <w:pPr>
        <w:pStyle w:val="HorizontalLine"/>
        <w:pBdr>
          <w:bottom w:val="single" w:sz="18" w:space="0" w:color="808080"/>
        </w:pBdr>
        <w:rPr/>
      </w:pPr>
      <w:r>
        <w:rPr/>
      </w:r>
    </w:p>
    <w:p>
      <w:pPr>
        <w:pStyle w:val="TextBody"/>
        <w:jc w:val="both"/>
        <w:rPr/>
      </w:pPr>
      <w:r>
        <w:rPr/>
        <w:t>Under the terms of the agreement, we are also obligated to pay any other costs or expenses which may be due and owing by GeneMax to UBC under the license agreements and the CRA as at the effective date which, in the aggregate, shall not exceed $8,598 (CDN$ 10,000).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left"/>
        <w:rPr>
          <w:b/>
        </w:rPr>
      </w:pPr>
      <w:r>
        <w:rPr>
          <w:b/>
        </w:rPr>
        <w:t>Molecular Medicine Agreement</w:t>
      </w:r>
    </w:p>
    <w:p>
      <w:pPr>
        <w:pStyle w:val="TextBody"/>
        <w:jc w:val="both"/>
        <w:rPr/>
      </w:pPr>
      <w:r>
        <w:rPr/>
        <w:t>We have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Crucell is currently in the process of solving technical issues associated with production yields of the vaccine. Despite the technical difficulties we anticipate a clinical grade TAP based vaccine to be produced utilizing the adeno vector from Crucell or our in-house adeno virus vector to allow the Company to meet its milestones for completing toxicology analysis by the end of 2006. We anticipate commencing chemical grade production of our oncology vaccine in 2007.</w:t>
      </w:r>
    </w:p>
    <w:p>
      <w:pPr>
        <w:pStyle w:val="TextBody"/>
        <w:jc w:val="both"/>
        <w:rPr/>
      </w:pPr>
      <w:r>
        <w:rPr/>
        <w:t xml:space="preserve">The Company was in breach of its contractual obligations with Molecular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 </w:t>
      </w:r>
    </w:p>
    <w:p>
      <w:pPr>
        <w:pStyle w:val="TextBody"/>
        <w:jc w:val="left"/>
        <w:rPr>
          <w:b/>
        </w:rPr>
      </w:pPr>
      <w:r>
        <w:rPr>
          <w:b/>
        </w:rPr>
        <w:t>Crucell Agreement</w:t>
      </w:r>
    </w:p>
    <w:p>
      <w:pPr>
        <w:pStyle w:val="TextBody"/>
        <w:jc w:val="both"/>
        <w:rPr/>
      </w:pPr>
      <w:r>
        <w:rPr/>
        <w:t>Pursuant to the Research License and Option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 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were Euros 450,000.</w:t>
      </w:r>
    </w:p>
    <w:p>
      <w:pPr>
        <w:pStyle w:val="TextBody"/>
        <w:jc w:val="both"/>
        <w:rPr/>
      </w:pPr>
      <w:r>
        <w:rPr/>
        <w:t>To December 31, 2003, the Company had made payments required totaling $115,490 (</w:t>
      </w:r>
      <w:r>
        <w:rPr>
          <w:rFonts w:ascii="'Times New Roman';times;serif" w:hAnsi="'Times New Roman';times;serif"/>
        </w:rPr>
        <w:t></w:t>
      </w:r>
      <w:r>
        <w:rPr/>
        <w:t>100,000) to Crucell pursuant to the terms of the Research License and Option Agreement. Pursuant to the terms of the Research License and Option Agreement, a further $120,697 (</w:t>
      </w:r>
      <w:r>
        <w:rPr>
          <w:rFonts w:ascii="'Times New Roman';times;serif" w:hAnsi="'Times New Roman';times;serif"/>
        </w:rPr>
        <w:t></w:t>
      </w:r>
      <w:r>
        <w:rPr/>
        <w:t>100,000) was incurred (not paid) during 2004 and an additional $126,355 (</w:t>
      </w:r>
      <w:r>
        <w:rPr>
          <w:rFonts w:ascii="'Times New Roman';times;serif" w:hAnsi="'Times New Roman';times;serif"/>
        </w:rPr>
        <w:t></w:t>
      </w:r>
      <w:r>
        <w:rPr/>
        <w:t>100,000) was incurred during 2005 leaving a total of $236,880 (</w:t>
      </w:r>
      <w:r>
        <w:rPr>
          <w:rFonts w:ascii="'Times New Roman';times;serif" w:hAnsi="'Times New Roman';times;serif"/>
        </w:rPr>
        <w:t></w:t>
      </w:r>
      <w:r>
        <w:rPr/>
        <w:t xml:space="preserve">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w:t>
      </w:r>
    </w:p>
    <w:p>
      <w:pPr>
        <w:pStyle w:val="TextBody"/>
        <w:jc w:val="both"/>
        <w:rPr/>
      </w:pPr>
      <w:r>
        <w:rPr/>
        <w:t xml:space="preserve">Subsequent to the end of the quarter the Company negotiated a reinstatement of the original Research and License Option Agreement with Crucell and paid Crucell on April 20, 2006l </w:t>
      </w:r>
      <w:r>
        <w:rPr>
          <w:rFonts w:ascii="'Times New Roman';times;serif" w:hAnsi="'Times New Roman';times;serif"/>
        </w:rPr>
        <w:t></w:t>
      </w:r>
      <w:r>
        <w:rPr/>
        <w:t xml:space="preserve">123,590 (US$151,521.34) in connection with such reinstatement. Under the revised terms of the agreement we will pay Crucell 12 monthly payments of </w:t>
      </w:r>
      <w:r>
        <w:rPr>
          <w:rFonts w:ascii="'Times New Roman';times;serif" w:hAnsi="'Times New Roman';times;serif"/>
        </w:rPr>
        <w:t></w:t>
      </w:r>
      <w:r>
        <w:rPr/>
        <w:t xml:space="preserve">10,300 starting in May 2006 and a </w:t>
      </w:r>
      <w:r>
        <w:rPr>
          <w:rFonts w:ascii="'Times New Roman';times;serif" w:hAnsi="'Times New Roman';times;serif"/>
        </w:rPr>
        <w:t></w:t>
      </w:r>
      <w:r>
        <w:rPr/>
        <w:t>75,000 annual license maintenance fee in order to keep the reinstated agreement in good standing.</w:t>
      </w:r>
    </w:p>
    <w:p>
      <w:pPr>
        <w:pStyle w:val="TextBody"/>
        <w:jc w:val="center"/>
        <w:rPr/>
      </w:pPr>
      <w:r>
        <w:rPr/>
        <w:t>- 15 -</w:t>
      </w:r>
    </w:p>
    <w:p>
      <w:pPr>
        <w:pStyle w:val="HorizontalLine"/>
        <w:pBdr>
          <w:bottom w:val="single" w:sz="18" w:space="0" w:color="808080"/>
        </w:pBdr>
        <w:rPr/>
      </w:pPr>
      <w:r>
        <w:rPr/>
      </w:r>
    </w:p>
    <w:p>
      <w:pPr>
        <w:pStyle w:val="TextBody"/>
        <w:jc w:val="left"/>
        <w:rPr>
          <w:b/>
        </w:rPr>
      </w:pPr>
      <w:r>
        <w:rPr>
          <w:b/>
        </w:rPr>
        <w:t>National Institute of Health Agreement</w:t>
      </w:r>
    </w:p>
    <w:p>
      <w:pPr>
        <w:pStyle w:val="TextBody"/>
        <w:jc w:val="both"/>
        <w:rPr/>
      </w:pPr>
      <w:r>
        <w:rPr/>
        <w:t xml:space="preserve">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which was brought to good standing with a payment of $5,000 subsequent to the end of the quarter. </w:t>
      </w:r>
    </w:p>
    <w:p>
      <w:pPr>
        <w:pStyle w:val="TextBody"/>
        <w:jc w:val="left"/>
        <w:rPr>
          <w:b/>
          <w:i/>
        </w:rPr>
      </w:pPr>
      <w:bookmarkStart w:id="7" w:name="_Toc133066343"/>
      <w:bookmarkEnd w:id="7"/>
      <w:r>
        <w:rPr>
          <w:b/>
          <w:i/>
        </w:rPr>
        <w:t>Plan of Operation and Funding</w:t>
      </w:r>
    </w:p>
    <w:p>
      <w:pPr>
        <w:pStyle w:val="TextBody"/>
        <w:jc w:val="both"/>
        <w:rPr/>
      </w:pPr>
      <w:r>
        <w:rPr/>
        <w:t>Management believes that an estimated $5,000,000 is required over the next two years for expenses associated with the balance of pre-clinical development and completion of Phase I clinical trials for the TAP Cancer Vaccine and for various operating expenses.</w:t>
      </w:r>
    </w:p>
    <w:p>
      <w:pPr>
        <w:pStyle w:val="TextBody"/>
        <w:jc w:val="both"/>
        <w:rPr/>
      </w:pPr>
      <w:r>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pStyle w:val="TextBody"/>
        <w:jc w:val="left"/>
        <w:rPr>
          <w:b/>
        </w:rPr>
      </w:pPr>
      <w:r>
        <w:rPr>
          <w:b/>
        </w:rPr>
        <w:t>Application of Critical Accounting Policies</w:t>
      </w:r>
    </w:p>
    <w:p>
      <w:pPr>
        <w:pStyle w:val="TextBody"/>
        <w:jc w:val="both"/>
        <w:rPr/>
      </w:pPr>
      <w:r>
        <w:rPr/>
        <w:t>The Company utilizes the granting of stock options as a means to compensate certain employees, officers, directors, and consultants of the Company. As the Company is currently in the development stage, these stock options may form a significant portion of the overall compensation provided by the Company. As a result, the Company's accounting policy with respect to these grants of stock options is critical to the Company's overall financial statement presentation, financial position, and results of operations.</w:t>
      </w:r>
    </w:p>
    <w:p>
      <w:pPr>
        <w:pStyle w:val="TextBody"/>
        <w:jc w:val="both"/>
        <w:rPr/>
      </w:pPr>
      <w:r>
        <w:rPr/>
        <w:t>The Company accounts for stock-based compensation in connection with these stock option grants in accordance with Statement of Financial Accounting Standard ("SFAS") No. 123R and the disclosure provisions of SFAS No. 123 as amended by SFAS No. 148. For further details, refer to note 2 to the Company's consolidated financial statements contained herein.</w:t>
      </w:r>
    </w:p>
    <w:p>
      <w:pPr>
        <w:pStyle w:val="TextBody"/>
        <w:jc w:val="left"/>
        <w:rPr>
          <w:b/>
        </w:rPr>
      </w:pPr>
      <w:r>
        <w:rPr>
          <w:b/>
        </w:rPr>
        <w:t>Three Months Ended March 31, 2006 Compared with Three Months Ended March 31, 2005</w:t>
      </w:r>
    </w:p>
    <w:p>
      <w:pPr>
        <w:pStyle w:val="TextBody"/>
        <w:jc w:val="both"/>
        <w:rPr/>
      </w:pPr>
      <w:r>
        <w:rPr/>
        <w:t xml:space="preserve">Net revenues during the quarters ended March 31, 2006 and 2005 were nil. The lack of revenues to date is the result of emphasis on the research and development of the TAP technologies. </w:t>
      </w:r>
    </w:p>
    <w:p>
      <w:pPr>
        <w:pStyle w:val="TextBody"/>
        <w:jc w:val="both"/>
        <w:rPr/>
      </w:pPr>
      <w:r>
        <w:rPr/>
        <w:t xml:space="preserve">No consulting fees were paid for by the granting of stock options in the quarter ended March 31, 2006, as compared to $11,895 during the quarter ended March 31, 2005. </w:t>
      </w:r>
    </w:p>
    <w:p>
      <w:pPr>
        <w:pStyle w:val="TextBody"/>
        <w:jc w:val="both"/>
        <w:rPr/>
      </w:pPr>
      <w:r>
        <w:rPr/>
        <w:t>Depreciation expense during the quarter ended March 31, 2006 was $2,922 compared to $8,753 incurred during the quarter ended March 31, 2005.</w:t>
      </w:r>
    </w:p>
    <w:p>
      <w:pPr>
        <w:pStyle w:val="TextBody"/>
        <w:jc w:val="both"/>
        <w:rPr/>
      </w:pPr>
      <w:r>
        <w:rPr/>
        <w:t>The Company recorded interest expense of $243,922 during the quarter ended March 31, 2006 (2005-nil), of which $224,912 was the result of non-cash fair value assessments regarding the Company's convertible debentures.</w:t>
      </w:r>
    </w:p>
    <w:p>
      <w:pPr>
        <w:pStyle w:val="TextBody"/>
        <w:jc w:val="both"/>
        <w:rPr/>
      </w:pPr>
      <w:r>
        <w:rPr/>
        <w:t>Management fees were $16,016 during the quarter ended March 31, 2006 compared to $34,321 during the quarter ended March 31, 2005, a decrease of 53% due to generally lower levels of activity in 2006.</w:t>
      </w:r>
    </w:p>
    <w:p>
      <w:pPr>
        <w:pStyle w:val="TextBody"/>
        <w:jc w:val="both"/>
        <w:rPr/>
      </w:pPr>
      <w:r>
        <w:rPr/>
        <w:t>Office and general expenses incurred during the quarter ended March 31, 2006 were $12,842 compared to $61,509 during the quarter ended March 31, 2005, a decrease of $185,190 or 72%. The decrease was a reflection of the overall lower level of corporate activity in 2006.</w:t>
      </w:r>
    </w:p>
    <w:p>
      <w:pPr>
        <w:pStyle w:val="TextBody"/>
        <w:jc w:val="both"/>
        <w:rPr/>
      </w:pPr>
      <w:r>
        <w:rPr/>
        <w:t>Professional fees primarily for legal work were $59,013 during the quarter ended March 31, 2006 compared to $29,031 during the quarter ended March 31, 2005. This increase was the result of increased legal costs relating to the renegotiated agreements with UBC and Crucell.</w:t>
      </w:r>
    </w:p>
    <w:p>
      <w:pPr>
        <w:pStyle w:val="TextBody"/>
        <w:jc w:val="both"/>
        <w:rPr/>
      </w:pPr>
      <w:r>
        <w:rPr/>
        <w:t>Research and development during the quarter ended March 31, 2006 were $27,682 compared to $14,994 during the quarter ended March 31, 2005 due to higher personnel costs related to research and development.</w:t>
      </w:r>
    </w:p>
    <w:p>
      <w:pPr>
        <w:pStyle w:val="TextBody"/>
        <w:jc w:val="center"/>
        <w:rPr/>
      </w:pPr>
      <w:r>
        <w:rPr/>
        <w:t>- 16 -</w:t>
      </w:r>
    </w:p>
    <w:p>
      <w:pPr>
        <w:pStyle w:val="HorizontalLine"/>
        <w:pBdr>
          <w:bottom w:val="single" w:sz="18" w:space="0" w:color="808080"/>
        </w:pBdr>
        <w:rPr/>
      </w:pPr>
      <w:r>
        <w:rPr/>
      </w:r>
    </w:p>
    <w:p>
      <w:pPr>
        <w:pStyle w:val="TextBody"/>
        <w:jc w:val="both"/>
        <w:rPr/>
      </w:pPr>
      <w:r>
        <w:rPr/>
        <w:t>As a result of the above, during the quarter ended March 31, 2006 the Company recorded total expenses of $365,779, compared to total expenses of $167,489, for the quarter ended March 31, 2005.</w:t>
      </w:r>
    </w:p>
    <w:p>
      <w:pPr>
        <w:pStyle w:val="TextBody"/>
        <w:jc w:val="both"/>
        <w:rPr/>
      </w:pPr>
      <w:r>
        <w:rPr/>
        <w:t>Of the $365,779 incurred as operating expenses, the Company incurred an aggregate of $41,988 in fees payable to certain directors and/or private companies controlled by those directors of the Company pursuant to management and research and development agreements.</w:t>
      </w:r>
    </w:p>
    <w:p>
      <w:pPr>
        <w:pStyle w:val="TextBody"/>
        <w:jc w:val="both"/>
        <w:rPr/>
      </w:pPr>
      <w:r>
        <w:rPr/>
        <w:t>As a result of the above, the Company's net losses during the quarter ended March 31, 2006 were $365,779 or $0.03 per share as compared to a net loss of $24,940 or less than $0.01 per share during the quarter ended March 31, 2005. The increase in net loss is attributable primarily to the non-cash interest expense from fair value attributions relating to the Company's convertible debentures.</w:t>
      </w:r>
    </w:p>
    <w:p>
      <w:pPr>
        <w:pStyle w:val="TextBody"/>
        <w:jc w:val="left"/>
        <w:rPr>
          <w:b/>
          <w:i/>
        </w:rPr>
      </w:pPr>
      <w:bookmarkStart w:id="8" w:name="_Toc133066344"/>
      <w:bookmarkEnd w:id="8"/>
      <w:r>
        <w:rPr>
          <w:b/>
          <w:i/>
        </w:rPr>
        <w:t>Liquidity and Capital Resources</w:t>
      </w:r>
    </w:p>
    <w:p>
      <w:pPr>
        <w:pStyle w:val="TextBody"/>
        <w:jc w:val="both"/>
        <w:rPr/>
      </w:pPr>
      <w:r>
        <w:rPr/>
        <w:t>At March 31, 2006, the Company had $213,860 in cash. Generally, the Company has financed operations to date through the proceeds of the private placement of equity securities. The Company received $485,000 during the fiscal quarter ended March 31, 2006 from financing activities.</w:t>
      </w:r>
    </w:p>
    <w:p>
      <w:pPr>
        <w:pStyle w:val="TextBody"/>
        <w:jc w:val="both"/>
        <w:rPr/>
      </w:pPr>
      <w:r>
        <w:rPr/>
        <w:t>The Company completed a new $494,500 convertible debenture financing on March 24, 2006. Subsequent to March 24, 2006, the Company received an additional $345,960 of subscriptions on a second tranche of convertible debenture financing to be completed later in 2006.</w:t>
      </w:r>
    </w:p>
    <w:p>
      <w:pPr>
        <w:pStyle w:val="TextBody"/>
        <w:jc w:val="both"/>
        <w:rPr/>
      </w:pPr>
      <w:r>
        <w:rPr/>
        <w:t>Net cash used in operating activities during the quarter ended March 31, 2006 was $355,289. The Company had no revenues during the year ended December 31, 2005. Expenditures in the current quarter primarily consisted of a $258,538 payment to UBC to maintain the Company's option to purchase the UBC technology.</w:t>
      </w:r>
    </w:p>
    <w:p>
      <w:pPr>
        <w:pStyle w:val="TextBody"/>
        <w:jc w:val="both"/>
        <w:rPr/>
      </w:pPr>
      <w:r>
        <w:rPr/>
        <w:t xml:space="preserve">At March 31, 2006, GeneMax had 3,125,000 stock options and 10,784,225 share purchase warrants outstanding. The outstanding stock options have a weighted average exercise price of $0.56 per share. The outstanding warrants have a weighted average exercise price of $0.33 per share. Accordingly, as at March 31, 2006, the outstanding options and warrants represented a total of 13,909,225 shares issuable for a maximum of approximately $5,308,795 if these options and warrants were exercised in full. The exercise of these options and warrants is completely at the discretion of the holders. There is no assurance that any of these options or warrants will be exercised. </w:t>
      </w:r>
    </w:p>
    <w:p>
      <w:pPr>
        <w:pStyle w:val="TextBody"/>
        <w:jc w:val="both"/>
        <w:rPr/>
      </w:pPr>
      <w:r>
        <w:rPr/>
        <w:t>As of March 31, 2006, we anticipate that we will need significant financing to enable us to meet our anticipated expenditures for the next 24 months, which is anticipated to be $5,000,000 assuming a single Phase 1 clinical trial.</w:t>
      </w:r>
    </w:p>
    <w:p>
      <w:pPr>
        <w:pStyle w:val="TextBody"/>
        <w:jc w:val="both"/>
        <w:rPr/>
      </w:pPr>
      <w:r>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pStyle w:val="TextBody"/>
        <w:jc w:val="both"/>
        <w:rPr>
          <w:b/>
          <w:i/>
        </w:rPr>
      </w:pPr>
      <w:bookmarkStart w:id="9" w:name="_Toc133066347"/>
      <w:bookmarkEnd w:id="9"/>
      <w:r>
        <w:rPr>
          <w:b/>
          <w:i/>
        </w:rPr>
        <w:t>Risk Factors</w:t>
      </w:r>
    </w:p>
    <w:p>
      <w:pPr>
        <w:pStyle w:val="TextBody"/>
        <w:jc w:val="both"/>
        <w:rPr>
          <w:b/>
        </w:rPr>
      </w:pPr>
      <w:r>
        <w:rPr>
          <w:b/>
        </w:rPr>
        <w:t xml:space="preserve">An investment in GeneMax entails numerous risks and uncertainties, including those listed below, that should be carefully considered. These risk and uncertainties could cause our actual results to differ materially from those expected which would have a material adverse effect on our business and financial condition. </w:t>
      </w:r>
    </w:p>
    <w:p>
      <w:pPr>
        <w:pStyle w:val="TextBody"/>
        <w:jc w:val="both"/>
        <w:rPr>
          <w:b/>
        </w:rPr>
      </w:pPr>
      <w:r>
        <w:rPr>
          <w:b/>
        </w:rPr>
        <w:t>We have a history of operating losses.</w:t>
      </w:r>
    </w:p>
    <w:p>
      <w:pPr>
        <w:pStyle w:val="TextBody"/>
        <w:jc w:val="both"/>
        <w:rPr/>
      </w:pPr>
      <w:r>
        <w:rPr/>
        <w:t>We continue to incur losses and are will require additional financing to continue our operations. We have incurred operating losses and negative cash flow from operations for most of our history. Losses incurred since our inception have aggregated $13,786,148 and there can be no assurance that we will be able to generate positive cash flows to fund our operations in the future or to pursue our strategic objectives. We believe that we will have sufficient cash to satisfy our needs for at least the next four to six months. We will need to raise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are not available, we might be required to limit our research and developme nt activities or our selling, marketing and administrative activities any of which could have a material adverse effect on the future of the business.</w:t>
      </w:r>
    </w:p>
    <w:p>
      <w:pPr>
        <w:pStyle w:val="TextBody"/>
        <w:jc w:val="center"/>
        <w:rPr/>
      </w:pPr>
      <w:r>
        <w:rPr/>
        <w:t>- 17 -</w:t>
      </w:r>
    </w:p>
    <w:p>
      <w:pPr>
        <w:pStyle w:val="HorizontalLine"/>
        <w:pBdr>
          <w:bottom w:val="single" w:sz="18" w:space="0" w:color="808080"/>
        </w:pBdr>
        <w:rPr/>
      </w:pPr>
      <w:r>
        <w:rPr/>
      </w:r>
    </w:p>
    <w:p>
      <w:pPr>
        <w:pStyle w:val="TextBody"/>
        <w:jc w:val="both"/>
        <w:rPr/>
      </w:pPr>
      <w:r>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pStyle w:val="TextBody"/>
        <w:jc w:val="both"/>
        <w:rPr>
          <w:b/>
        </w:rPr>
      </w:pPr>
      <w:r>
        <w:rPr>
          <w:b/>
        </w:rPr>
        <w:t>The independent auditor's report accompanying our December 31, 2005 consolidated financial statements contains an explanatory paragraph expressing substantial doubt about our ability to continue as a going concern.</w:t>
      </w:r>
    </w:p>
    <w:p>
      <w:pPr>
        <w:pStyle w:val="TextBody"/>
        <w:jc w:val="both"/>
        <w:rPr/>
      </w:pPr>
      <w:r>
        <w:rPr/>
        <w:t>These consolidated financial statements have been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financial condition would be materially and adversely affected.</w:t>
      </w:r>
    </w:p>
    <w:p>
      <w:pPr>
        <w:pStyle w:val="TextBody"/>
        <w:jc w:val="both"/>
        <w:rPr>
          <w:b/>
        </w:rPr>
      </w:pPr>
      <w:r>
        <w:rPr>
          <w:b/>
        </w:rPr>
        <w:t>We depend upon collaborative relationships and third parties for product development and commercialization, and are in breach of many of the agreements with these parties.</w:t>
      </w:r>
    </w:p>
    <w:p>
      <w:pPr>
        <w:pStyle w:val="TextBody"/>
        <w:jc w:val="both"/>
        <w:rPr/>
      </w:pPr>
      <w:r>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pStyle w:val="TextBody"/>
        <w:jc w:val="both"/>
        <w:rPr/>
      </w:pPr>
      <w:r>
        <w:rPr/>
        <w:t>In August 2004 our CRA with UBC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 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pStyle w:val="TextBody"/>
        <w:jc w:val="both"/>
        <w:rPr/>
      </w:pPr>
      <w:r>
        <w:rPr/>
        <w:t>Under the terms of the agreement we are obligated to pay UBC $479,975 (CDN$ 556,533) as follows:</w:t>
      </w:r>
    </w:p>
    <w:p>
      <w:pPr>
        <w:pStyle w:val="TextBody"/>
        <w:numPr>
          <w:ilvl w:val="1"/>
          <w:numId w:val="4"/>
        </w:numPr>
        <w:tabs>
          <w:tab w:val="clear" w:pos="1134"/>
          <w:tab w:val="left" w:pos="1414" w:leader="none"/>
        </w:tabs>
        <w:ind w:left="1414" w:hanging="283"/>
        <w:rPr/>
      </w:pPr>
      <w:r>
        <w:rPr/>
        <w:t xml:space="preserve">$42,992 (CDN$ 50,000) (Paid); </w:t>
      </w:r>
    </w:p>
    <w:p>
      <w:pPr>
        <w:pStyle w:val="TextBody"/>
        <w:numPr>
          <w:ilvl w:val="1"/>
          <w:numId w:val="4"/>
        </w:numPr>
        <w:tabs>
          <w:tab w:val="clear" w:pos="1134"/>
          <w:tab w:val="left" w:pos="1414" w:leader="none"/>
        </w:tabs>
        <w:ind w:left="1414" w:hanging="283"/>
        <w:rPr/>
      </w:pPr>
      <w:r>
        <w:rPr/>
        <w:t>$258,538 (CDN$ 300,000) by March 31, 2006 (Paid); and</w:t>
      </w:r>
    </w:p>
    <w:p>
      <w:pPr>
        <w:pStyle w:val="TextBody"/>
        <w:numPr>
          <w:ilvl w:val="1"/>
          <w:numId w:val="4"/>
        </w:numPr>
        <w:tabs>
          <w:tab w:val="clear" w:pos="1134"/>
          <w:tab w:val="left" w:pos="1414" w:leader="none"/>
        </w:tabs>
        <w:ind w:left="1414" w:hanging="283"/>
        <w:rPr/>
      </w:pPr>
      <w:r>
        <w:rPr/>
        <w:t>$178,445 (CDN$ 206,533) on or before December 31, 2006; with the understanding that, should we complete an aggregate private and/or public financing of $1,719,690 (CDN$ 2,000,000) before December 31, 2006, this payment shall become immediately due and payable to UBC.</w:t>
      </w:r>
    </w:p>
    <w:p>
      <w:pPr>
        <w:pStyle w:val="TextBody"/>
        <w:jc w:val="both"/>
        <w:rPr/>
      </w:pPr>
      <w:r>
        <w:rPr/>
        <w:t>Under the terms of the agreement, we are also obligated to pay any other costs or expenses which may be due and owing by GeneMax to UBC under the license agreements and the CRA as at the effective date which, in the aggregate, shall not exceed $8,598 (CDN$ 10,000).</w:t>
      </w:r>
    </w:p>
    <w:p>
      <w:pPr>
        <w:pStyle w:val="TextBody"/>
        <w:jc w:val="both"/>
        <w:rPr/>
      </w:pPr>
      <w:r>
        <w:rPr/>
        <w:t>Under the terms of the agreement, we also assumed responsibility for the management, maintenance and protection of all patents and patent applications filed in connection with the technology.</w:t>
      </w:r>
    </w:p>
    <w:p>
      <w:pPr>
        <w:pStyle w:val="TextBody"/>
        <w:jc w:val="both"/>
        <w:rPr/>
      </w:pPr>
      <w:r>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pStyle w:val="TextBody"/>
        <w:jc w:val="center"/>
        <w:rPr/>
      </w:pPr>
      <w:r>
        <w:rPr/>
        <w:t>- 18 -</w:t>
      </w:r>
    </w:p>
    <w:p>
      <w:pPr>
        <w:pStyle w:val="HorizontalLine"/>
        <w:pBdr>
          <w:bottom w:val="single" w:sz="18" w:space="0" w:color="808080"/>
        </w:pBdr>
        <w:rPr/>
      </w:pPr>
      <w:r>
        <w:rPr/>
      </w:r>
    </w:p>
    <w:p>
      <w:pPr>
        <w:pStyle w:val="TextBody"/>
        <w:jc w:val="both"/>
        <w:rPr/>
      </w:pPr>
      <w:r>
        <w:rPr/>
        <w:t>To December 31, 2003, the Company had made payments required totaling $115,490 (</w:t>
      </w:r>
      <w:r>
        <w:rPr>
          <w:rFonts w:ascii="'Times New Roman';times;serif" w:hAnsi="'Times New Roman';times;serif"/>
        </w:rPr>
        <w:t></w:t>
      </w:r>
      <w:r>
        <w:rPr/>
        <w:t>100,000) to Crucell pursuant to the terms of the Research License and Option Agreement. Pursuant to the terms of the Research License and Option Agreement, a further $120,697 (</w:t>
      </w:r>
      <w:r>
        <w:rPr>
          <w:rFonts w:ascii="'Times New Roman';times;serif" w:hAnsi="'Times New Roman';times;serif"/>
        </w:rPr>
        <w:t></w:t>
      </w:r>
      <w:r>
        <w:rPr/>
        <w:t>100,000) was incurred (not paid) during 2004 and an additional $126,355 (</w:t>
      </w:r>
      <w:r>
        <w:rPr>
          <w:rFonts w:ascii="'Times New Roman';times;serif" w:hAnsi="'Times New Roman';times;serif"/>
        </w:rPr>
        <w:t></w:t>
      </w:r>
      <w:r>
        <w:rPr/>
        <w:t>100,000) was incurred during 2005 leaving a total of $236,880 (</w:t>
      </w:r>
      <w:r>
        <w:rPr>
          <w:rFonts w:ascii="'Times New Roman';times;serif" w:hAnsi="'Times New Roman';times;serif"/>
        </w:rPr>
        <w:t></w:t>
      </w:r>
      <w:r>
        <w:rPr/>
        <w:t>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The Company is currently negotiating a reinstatement of the Research and License Option Agreement with Crucell which is expects to complete within the next month.</w:t>
      </w:r>
    </w:p>
    <w:p>
      <w:pPr>
        <w:pStyle w:val="TextBody"/>
        <w:jc w:val="both"/>
        <w:rPr/>
      </w:pPr>
      <w:r>
        <w:rPr/>
        <w:t>The Company was in breach of its contractual obligations with Molecular Medicine in respect of payments due under the PSA for Phase I.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pStyle w:val="TextBody"/>
        <w:jc w:val="left"/>
        <w:rPr>
          <w:b/>
        </w:rPr>
      </w:pPr>
      <w:r>
        <w:rPr>
          <w:b/>
        </w:rPr>
        <w:t>Preclinical testing and future clinical trials may take longer than anticipated, and we may be unable to complete them at all.</w:t>
      </w:r>
    </w:p>
    <w:p>
      <w:pPr>
        <w:pStyle w:val="TextBody"/>
        <w:jc w:val="both"/>
        <w:rPr/>
      </w:pPr>
      <w:r>
        <w:rPr/>
        <w:t>While management believes that the Phase I human clinical trials of the TAP Cancer Vaccine in oncology will commence early in fiscal year 2007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pStyle w:val="TextBody"/>
        <w:jc w:val="both"/>
        <w:rPr/>
      </w:pPr>
      <w:r>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pStyle w:val="TextBody"/>
        <w:jc w:val="left"/>
        <w:rPr>
          <w:b/>
        </w:rPr>
      </w:pPr>
      <w:r>
        <w:rPr>
          <w:b/>
        </w:rPr>
        <w:t>Our products and activities are subject to regulation by various governments and government agencies.</w:t>
      </w:r>
    </w:p>
    <w:p>
      <w:pPr>
        <w:pStyle w:val="TextBody"/>
        <w:jc w:val="both"/>
        <w:rPr/>
      </w:pPr>
      <w:r>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pStyle w:val="TextBody"/>
        <w:jc w:val="both"/>
        <w:rPr/>
      </w:pPr>
      <w:r>
        <w:rPr/>
        <w:t>Government regulation imposes significant costs and restrictions on the development and commercialization of our products and services. Our success will depend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pStyle w:val="TextBody"/>
        <w:jc w:val="both"/>
        <w:rPr/>
      </w:pPr>
      <w:r>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pStyle w:val="TextBody"/>
        <w:jc w:val="center"/>
        <w:rPr/>
      </w:pPr>
      <w:r>
        <w:rPr/>
        <w:t>- 19 -</w:t>
      </w:r>
    </w:p>
    <w:p>
      <w:pPr>
        <w:pStyle w:val="HorizontalLine"/>
        <w:pBdr>
          <w:bottom w:val="single" w:sz="18" w:space="0" w:color="808080"/>
        </w:pBdr>
        <w:rPr/>
      </w:pPr>
      <w:r>
        <w:rPr/>
      </w:r>
    </w:p>
    <w:p>
      <w:pPr>
        <w:pStyle w:val="TextBody"/>
        <w:jc w:val="both"/>
        <w:rPr/>
      </w:pPr>
      <w:r>
        <w:rPr/>
        <w:t> </w:t>
      </w:r>
    </w:p>
    <w:p>
      <w:pPr>
        <w:pStyle w:val="TextBody"/>
        <w:jc w:val="both"/>
        <w:rPr>
          <w:b/>
        </w:rPr>
      </w:pPr>
      <w:r>
        <w:rPr>
          <w:b/>
        </w:rPr>
        <w:t>Competition in the human medical diagnostics industry is, and is expected to remain, significant, and we may never obtain market acceptance of our product candidates.</w:t>
      </w:r>
    </w:p>
    <w:p>
      <w:pPr>
        <w:pStyle w:val="TextBody"/>
        <w:jc w:val="both"/>
        <w:rPr/>
      </w:pPr>
      <w:r>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 keting approval, but cannot compete effectively in the marketplace, our business and financial position would suffer greatly. There can be no assurance that technologies will not be introduced that could be directly competitive with or superior to our technologies.</w:t>
      </w:r>
    </w:p>
    <w:p>
      <w:pPr>
        <w:pStyle w:val="TextBody"/>
        <w:jc w:val="both"/>
        <w:rPr/>
      </w:pPr>
      <w:r>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pStyle w:val="TextBody"/>
        <w:jc w:val="both"/>
        <w:rPr>
          <w:b/>
        </w:rPr>
      </w:pPr>
      <w:r>
        <w:rPr>
          <w:b/>
        </w:rPr>
        <w:t>We depend on key employees.</w:t>
      </w:r>
    </w:p>
    <w:p>
      <w:pPr>
        <w:pStyle w:val="TextBody"/>
        <w:jc w:val="both"/>
        <w:rPr/>
      </w:pPr>
      <w:r>
        <w:rPr/>
        <w:t>Due to the specialized nature of our business, our success will be highly dependent upon our ability to attract and retain qualified scientific and executive personnel. Our success depends to a significant extent upon our key management, including Aris Morfopoulos,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Morfopoulos or Dr. Jefferies would have a material adverse effect upon our business.</w:t>
      </w:r>
    </w:p>
    <w:p>
      <w:pPr>
        <w:pStyle w:val="TextBody"/>
        <w:jc w:val="both"/>
        <w:rPr>
          <w:b/>
        </w:rPr>
      </w:pPr>
      <w:r>
        <w:rPr>
          <w:b/>
        </w:rPr>
        <w:t>Our success depends, in part, on our ability to obtain patents and license patent rights, to maintain trade secret protection and to operate without infringing on the proprietary rights of others.</w:t>
      </w:r>
    </w:p>
    <w:p>
      <w:pPr>
        <w:pStyle w:val="TextBody"/>
        <w:jc w:val="both"/>
        <w:rPr/>
      </w:pPr>
      <w:r>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 reased legal expenses would have a negative impact on our cash flow and thus our overall business could be adversely affected.</w:t>
      </w:r>
    </w:p>
    <w:p>
      <w:pPr>
        <w:pStyle w:val="TextBody"/>
        <w:jc w:val="both"/>
        <w:rPr>
          <w:b/>
        </w:rPr>
      </w:pPr>
      <w:r>
        <w:rPr>
          <w:b/>
        </w:rPr>
        <w:t>The testing, manufacturing and marketing of therapeutic medical technology entails an inherent risk of product liability claims.</w:t>
      </w:r>
    </w:p>
    <w:p>
      <w:pPr>
        <w:pStyle w:val="TextBody"/>
        <w:jc w:val="both"/>
        <w:rPr/>
      </w:pPr>
      <w:r>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pStyle w:val="TextBody"/>
        <w:jc w:val="center"/>
        <w:rPr/>
      </w:pPr>
      <w:r>
        <w:rPr/>
        <w:t>- 20 -</w:t>
      </w:r>
    </w:p>
    <w:p>
      <w:pPr>
        <w:pStyle w:val="HorizontalLine"/>
        <w:pBdr>
          <w:bottom w:val="single" w:sz="18" w:space="0" w:color="808080"/>
        </w:pBdr>
        <w:rPr/>
      </w:pPr>
      <w:r>
        <w:rPr/>
      </w:r>
    </w:p>
    <w:p>
      <w:pPr>
        <w:pStyle w:val="TextBody"/>
        <w:jc w:val="both"/>
        <w:rPr/>
      </w:pPr>
      <w:r>
        <w:rPr/>
        <w:t> </w:t>
      </w:r>
    </w:p>
    <w:p>
      <w:pPr>
        <w:pStyle w:val="TextBody"/>
        <w:jc w:val="both"/>
        <w:rPr>
          <w:b/>
        </w:rPr>
      </w:pPr>
      <w:r>
        <w:rPr>
          <w:b/>
        </w:rPr>
        <w:t>We use hazardous materials in some of our research and development activities.</w:t>
      </w:r>
    </w:p>
    <w:p>
      <w:pPr>
        <w:pStyle w:val="TextBody"/>
        <w:jc w:val="both"/>
        <w:rPr/>
      </w:pPr>
      <w:r>
        <w:rPr/>
        <w:t>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w:t>
      </w:r>
    </w:p>
    <w:p>
      <w:pPr>
        <w:pStyle w:val="TextBody"/>
        <w:jc w:val="both"/>
        <w:rPr>
          <w:b/>
        </w:rPr>
      </w:pPr>
      <w:r>
        <w:rPr>
          <w:b/>
        </w:rPr>
        <w:t>There has, to date, been no active public market for our common stock, and there can be no assurance that an active public market will develop or be sustained.</w:t>
      </w:r>
    </w:p>
    <w:p>
      <w:pPr>
        <w:pStyle w:val="TextBody"/>
        <w:jc w:val="both"/>
        <w:rPr/>
      </w:pPr>
      <w:r>
        <w:rPr/>
        <w:t>Our common stock has been traded on the OTCBB since prior to the acquisition of GeneMax Pharmaceuticals Inc.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quarterly variation in our results of operations, may adversely affect the market price of our common stock. In addition, our common stock is subject to rules adopted by the SEC regulating broker-dealer practices in connection with transactions in "penny stocks." Such rules require the delivery prior to any penny stock transaction of a disclosure schedule explaining the penny stock market and all associated risks and impose various sales practice requirements on broker-dealers who sell penny stocks to persons other than established customers and accredited investors, which are generally defined as institutions or an investor with a net worth in excess of $1,000,000 or annual income exceeding $200,000 or $300,000 together with the spouse.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our stock price may have a material adverse effect upon our shareholders.</w:t>
      </w:r>
    </w:p>
    <w:p>
      <w:pPr>
        <w:pStyle w:val="TextBody"/>
        <w:jc w:val="both"/>
        <w:rPr>
          <w:b/>
        </w:rPr>
      </w:pPr>
      <w:r>
        <w:rPr>
          <w:b/>
        </w:rPr>
        <w:t>We are controlled by management.</w:t>
      </w:r>
    </w:p>
    <w:p>
      <w:pPr>
        <w:pStyle w:val="TextBody"/>
        <w:jc w:val="both"/>
        <w:rPr/>
      </w:pPr>
      <w:r>
        <w:rPr/>
        <w:t xml:space="preserve">As of March 31, 2006,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 </w:t>
      </w:r>
    </w:p>
    <w:p>
      <w:pPr>
        <w:pStyle w:val="TextBody"/>
        <w:jc w:val="both"/>
        <w:rPr/>
      </w:pPr>
      <w:r>
        <w:rPr/>
        <w:t xml:space="preserve">As of March 31, 2006, we had reserved 10,000,000 shares of common stock for issuance upon exercise of options which have been or may be granted pursuant to our stock option plans, of which options to purchase 3,125,000 shares were outstanding as of March 31, 2006. Additionally, as of March 31, 2006, there were 10,784,225 warrants outstanding to purchase our common stock. Sales of common stock underlying these stock options and warrants would have a significant dilutive effect upon our current shareholders and may adversely affect the price of the common stock. </w:t>
      </w:r>
    </w:p>
    <w:p>
      <w:pPr>
        <w:pStyle w:val="TextBody"/>
        <w:jc w:val="both"/>
        <w:rPr/>
      </w:pPr>
      <w:r>
        <w:rPr/>
        <w:t>Pursuant to the terms and provisions of the 442668 B.C. Consulting Agreement, Dr. Jefferies was entitled to performance based stock options pursuant to which Dr. Jefferies' fully diluted equity ownership interest would be modified to 25% of the total issued and outstanding shares of common stock. The provision was to expire on December 31, 2007 and was subject to the achievement of performance milestones to be mutually agreed upon us and Dr. Jefferies and regulatory approvals of applicable jurisdictions. As of the date of this report the 442668 B.C. Consulting Agreement has been renegotiated and such provision has been eliminated.</w:t>
      </w:r>
    </w:p>
    <w:p>
      <w:pPr>
        <w:pStyle w:val="TextBody"/>
        <w:jc w:val="both"/>
        <w:rPr>
          <w:b/>
        </w:rPr>
      </w:pPr>
      <w:r>
        <w:rPr>
          <w:b/>
        </w:rPr>
        <w:t>Item 3.</w:t>
        <w:tab/>
        <w:t>Controls and Procedures</w:t>
      </w:r>
    </w:p>
    <w:p>
      <w:pPr>
        <w:pStyle w:val="TextBody"/>
        <w:jc w:val="both"/>
        <w:rPr/>
      </w:pPr>
      <w:r>
        <w:rPr/>
        <w:t>An evaluation was conducted by management of the Company under the supervision and with the participation of Aris Morfopoulos, our Chief Executive Officer, and Patrick A. McGowan, our Chief Financial Officer, of the effectiveness of the design and operation of the Company's disclosure controls and procedures (as defined in rules 13a-15(e) and 15d-15(e) under the Securities Exchange Act of 1934, as amended (the "Exchange Act"), and as of the end of the period covered by this report. Based on that evaluation, Messrs. Morfopoulos and McGowan concluded that the Company's disclosure controls and procedures were effective as of such date to ensure that information required to be disclosed in the reports that it files or submits under the Exchange Act is recorded, processed, summarized and reported within the time periods specified in applicable SEC rules and forms.</w:t>
      </w:r>
    </w:p>
    <w:p>
      <w:pPr>
        <w:pStyle w:val="TextBody"/>
        <w:jc w:val="center"/>
        <w:rPr/>
      </w:pPr>
      <w:r>
        <w:rPr/>
        <w:t>- 21 -</w:t>
      </w:r>
    </w:p>
    <w:p>
      <w:pPr>
        <w:pStyle w:val="HorizontalLine"/>
        <w:pBdr>
          <w:bottom w:val="single" w:sz="18" w:space="0" w:color="808080"/>
        </w:pBdr>
        <w:rPr/>
      </w:pPr>
      <w:r>
        <w:rPr/>
      </w:r>
    </w:p>
    <w:p>
      <w:pPr>
        <w:pStyle w:val="TextBody"/>
        <w:jc w:val="both"/>
        <w:rPr/>
      </w:pPr>
      <w:r>
        <w:rPr/>
        <w:t xml:space="preserve">There have been no changes in the Company's internal controls over financial reporting that occurred during the Company's most recent fiscal year that have materially affected or are reasonably likely to materially affect the Company's internal control over financial reporting.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- 22 -</w:t>
      </w:r>
    </w:p>
    <w:p>
      <w:pPr>
        <w:pStyle w:val="HorizontalLine"/>
        <w:pBdr>
          <w:bottom w:val="single" w:sz="18" w:space="0" w:color="808080"/>
        </w:pBdr>
        <w:rPr/>
      </w:pPr>
      <w:r>
        <w:rPr/>
      </w:r>
    </w:p>
    <w:p>
      <w:pPr>
        <w:pStyle w:val="TextBody"/>
        <w:jc w:val="center"/>
        <w:rPr>
          <w:b/>
        </w:rPr>
      </w:pPr>
      <w:r>
        <w:rPr>
          <w:b/>
        </w:rPr>
        <w:t>PART II. OTHER INFORMATION</w:t>
      </w:r>
    </w:p>
    <w:p>
      <w:pPr>
        <w:pStyle w:val="TextBody"/>
        <w:jc w:val="both"/>
        <w:rPr>
          <w:b/>
        </w:rPr>
      </w:pPr>
      <w:r>
        <w:rPr>
          <w:b/>
        </w:rPr>
        <w:t xml:space="preserve">Item 1.   Legal Proceedings </w:t>
      </w:r>
    </w:p>
    <w:p>
      <w:pPr>
        <w:pStyle w:val="TextBody"/>
        <w:jc w:val="both"/>
        <w:rPr/>
      </w:pPr>
      <w:r>
        <w:rPr/>
        <w:t>Other than as disclosed below, to our knowledge there are presently no material legal proceedings pending or threatened against the Company.</w:t>
      </w:r>
    </w:p>
    <w:p>
      <w:pPr>
        <w:pStyle w:val="TextBody"/>
        <w:jc w:val="both"/>
        <w:rPr/>
      </w:pPr>
      <w:r>
        <w:rPr/>
        <w:t>On September 8, 2004 the Company filed suit in the District Court, City and County of Denver, Colorado, against X-Clearing Corporation ("X-Clearing"),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w:t>
      </w:r>
    </w:p>
    <w:p>
      <w:pPr>
        <w:pStyle w:val="TextBody"/>
        <w:jc w:val="both"/>
        <w:rPr/>
      </w:pPr>
      <w:r>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was unable to do so.</w:t>
      </w:r>
    </w:p>
    <w:p>
      <w:pPr>
        <w:pStyle w:val="TextBody"/>
        <w:jc w:val="both"/>
        <w:rPr/>
      </w:pPr>
      <w:r>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report, the parties were formalizing documentation in order to formally dismiss the subject suit; the $200,000 having been paid by the Company.</w:t>
      </w:r>
    </w:p>
    <w:p>
      <w:pPr>
        <w:pStyle w:val="TextBody"/>
        <w:jc w:val="left"/>
        <w:rPr/>
      </w:pPr>
      <w:r>
        <w:rPr/>
        <w:t>In November 2005, the Company's previous Chief Operating Officer, Konstantine Sarafis, commenced legal proceedings in the Provincial Court of British Columbia, Small Claims Division, alleging that approximately $12,582 was due and owing to him by the Company under his previous employment arrangement with the Company. The Company has agreed to pay the amount claimed and the legal proceeding has been terminated.</w:t>
      </w:r>
    </w:p>
    <w:p>
      <w:pPr>
        <w:pStyle w:val="TextBody"/>
        <w:jc w:val="both"/>
        <w:rPr>
          <w:b/>
        </w:rPr>
      </w:pPr>
      <w:r>
        <w:rPr>
          <w:b/>
        </w:rPr>
        <w:t>Item 2.   Unregistered Sales of Equity Securities and Use of Proceeds</w:t>
      </w:r>
    </w:p>
    <w:p>
      <w:pPr>
        <w:pStyle w:val="TextBody"/>
        <w:jc w:val="both"/>
        <w:rPr/>
      </w:pPr>
      <w:r>
        <w:rPr/>
        <w:t>None.</w:t>
      </w:r>
    </w:p>
    <w:p>
      <w:pPr>
        <w:pStyle w:val="TextBody"/>
        <w:jc w:val="both"/>
        <w:rPr>
          <w:b/>
        </w:rPr>
      </w:pPr>
      <w:r>
        <w:rPr>
          <w:b/>
        </w:rPr>
        <w:t>Item 3.   Defaults Upon Senior Securities</w:t>
      </w:r>
    </w:p>
    <w:p>
      <w:pPr>
        <w:pStyle w:val="TextBody"/>
        <w:jc w:val="both"/>
        <w:rPr/>
      </w:pPr>
      <w:r>
        <w:rPr/>
        <w:t>               </w:t>
      </w:r>
      <w:r>
        <w:rPr/>
        <w:t>Not Applicable.</w:t>
      </w:r>
    </w:p>
    <w:p>
      <w:pPr>
        <w:pStyle w:val="TextBody"/>
        <w:jc w:val="both"/>
        <w:rPr>
          <w:b/>
        </w:rPr>
      </w:pPr>
      <w:r>
        <w:rPr>
          <w:b/>
        </w:rPr>
        <w:t>Item 4.   Submission of Matters to a Vote of Security Holders</w:t>
      </w:r>
    </w:p>
    <w:p>
      <w:pPr>
        <w:pStyle w:val="TextBody"/>
        <w:jc w:val="both"/>
        <w:rPr/>
      </w:pPr>
      <w:r>
        <w:rPr/>
        <w:t>               </w:t>
      </w:r>
      <w:r>
        <w:rPr/>
        <w:t>Not Applicable.</w:t>
      </w:r>
    </w:p>
    <w:p>
      <w:pPr>
        <w:pStyle w:val="TextBody"/>
        <w:jc w:val="both"/>
        <w:rPr>
          <w:b/>
        </w:rPr>
      </w:pPr>
      <w:r>
        <w:rPr>
          <w:b/>
        </w:rPr>
        <w:t>Item 5.   Other Information</w:t>
      </w:r>
    </w:p>
    <w:p>
      <w:pPr>
        <w:pStyle w:val="TextBody"/>
        <w:jc w:val="both"/>
        <w:rPr/>
      </w:pPr>
      <w:r>
        <w:rPr/>
        <w:t>               </w:t>
      </w:r>
      <w:r>
        <w:rPr/>
        <w:t>Not Applicable.</w:t>
      </w:r>
    </w:p>
    <w:p>
      <w:pPr>
        <w:pStyle w:val="TextBody"/>
        <w:jc w:val="both"/>
        <w:rPr>
          <w:b/>
        </w:rPr>
      </w:pPr>
      <w:r>
        <w:rPr>
          <w:b/>
        </w:rPr>
        <w:t xml:space="preserve">Item 6.   Exhibits and Reports on Form 8-K </w:t>
      </w:r>
    </w:p>
    <w:p>
      <w:pPr>
        <w:pStyle w:val="TextBody"/>
        <w:jc w:val="left"/>
        <w:rPr/>
      </w:pPr>
      <w:r>
        <w:rPr/>
        <w:t>The following exhibits are included with this Quarterly Report on Form 10-QSB:</w:t>
      </w:r>
    </w:p>
    <w:tbl>
      <w:tblPr>
        <w:tblW w:w="10455" w:type="dxa"/>
        <w:jc w:val="left"/>
        <w:tblInd w:w="0" w:type="dxa"/>
        <w:tblCellMar>
          <w:top w:w="105" w:type="dxa"/>
          <w:left w:w="105" w:type="dxa"/>
          <w:bottom w:w="105" w:type="dxa"/>
          <w:right w:w="105" w:type="dxa"/>
        </w:tblCellMar>
      </w:tblPr>
      <w:tblGrid>
        <w:gridCol w:w="1462"/>
        <w:gridCol w:w="8993"/>
      </w:tblGrid>
      <w:tr>
        <w:trPr/>
        <w:tc>
          <w:tcPr>
            <w:tcW w:w="1462" w:type="dxa"/>
            <w:tcBorders/>
            <w:shd w:fill="auto" w:val="clear"/>
            <w:vAlign w:val="bottom"/>
          </w:tcPr>
          <w:p>
            <w:pPr>
              <w:pStyle w:val="TableContents"/>
              <w:spacing w:before="0" w:after="283"/>
              <w:jc w:val="center"/>
              <w:rPr>
                <w:sz w:val="20"/>
              </w:rPr>
            </w:pPr>
            <w:r>
              <w:rPr>
                <w:sz w:val="20"/>
              </w:rPr>
              <w:t>Exhibit</w:t>
              <w:br/>
              <w:t>Number</w:t>
            </w:r>
          </w:p>
        </w:tc>
        <w:tc>
          <w:tcPr>
            <w:tcW w:w="8993" w:type="dxa"/>
            <w:tcBorders/>
            <w:shd w:fill="auto" w:val="clear"/>
            <w:vAlign w:val="bottom"/>
          </w:tcPr>
          <w:p>
            <w:pPr>
              <w:pStyle w:val="TableContents"/>
              <w:spacing w:before="0" w:after="283"/>
              <w:jc w:val="center"/>
              <w:rPr>
                <w:sz w:val="20"/>
              </w:rPr>
            </w:pPr>
            <w:r>
              <w:rPr>
                <w:sz w:val="20"/>
              </w:rPr>
              <w:t>Description of Exhibit</w:t>
            </w:r>
          </w:p>
        </w:tc>
      </w:tr>
      <w:tr>
        <w:trPr/>
        <w:tc>
          <w:tcPr>
            <w:tcW w:w="1462" w:type="dxa"/>
            <w:tcBorders/>
            <w:shd w:fill="auto" w:val="clear"/>
          </w:tcPr>
          <w:p>
            <w:pPr>
              <w:pStyle w:val="TableContents"/>
              <w:spacing w:before="0" w:after="283"/>
              <w:jc w:val="center"/>
              <w:rPr>
                <w:sz w:val="20"/>
              </w:rPr>
            </w:pPr>
            <w:r>
              <w:rPr>
                <w:sz w:val="20"/>
              </w:rPr>
              <w:t>31.1</w:t>
            </w:r>
          </w:p>
        </w:tc>
        <w:tc>
          <w:tcPr>
            <w:tcW w:w="8993" w:type="dxa"/>
            <w:tcBorders/>
            <w:shd w:fill="auto" w:val="clear"/>
          </w:tcPr>
          <w:p>
            <w:pPr>
              <w:pStyle w:val="TableContents"/>
              <w:spacing w:before="0" w:after="283"/>
              <w:jc w:val="left"/>
              <w:rPr>
                <w:sz w:val="20"/>
              </w:rPr>
            </w:pPr>
            <w:r>
              <w:rPr>
                <w:sz w:val="20"/>
              </w:rPr>
              <w:br/>
              <w:t>Certifications of Chief Executive Officer and Chief Financial Officer pursuant to 18 U.S.C. Section 1350, as adopted pursuant to Section 302 of the Sarbanes-Oxley Act of 2002, dated May 18, 2006</w:t>
            </w:r>
          </w:p>
        </w:tc>
      </w:tr>
      <w:tr>
        <w:trPr/>
        <w:tc>
          <w:tcPr>
            <w:tcW w:w="1462" w:type="dxa"/>
            <w:tcBorders/>
            <w:shd w:fill="auto" w:val="clear"/>
          </w:tcPr>
          <w:p>
            <w:pPr>
              <w:pStyle w:val="TableContents"/>
              <w:spacing w:before="0" w:after="283"/>
              <w:jc w:val="center"/>
              <w:rPr>
                <w:sz w:val="20"/>
              </w:rPr>
            </w:pPr>
            <w:r>
              <w:rPr>
                <w:sz w:val="20"/>
              </w:rPr>
              <w:t>32.1</w:t>
            </w:r>
          </w:p>
        </w:tc>
        <w:tc>
          <w:tcPr>
            <w:tcW w:w="8993" w:type="dxa"/>
            <w:tcBorders/>
            <w:shd w:fill="auto" w:val="clear"/>
          </w:tcPr>
          <w:p>
            <w:pPr>
              <w:pStyle w:val="TableContents"/>
              <w:spacing w:before="0" w:after="283"/>
              <w:jc w:val="left"/>
              <w:rPr>
                <w:sz w:val="20"/>
              </w:rPr>
            </w:pPr>
            <w:r>
              <w:rPr>
                <w:sz w:val="20"/>
              </w:rPr>
              <w:br/>
              <w:t>Certification of Chief Executive Officer and Chief Financial Officer pursuant to 18 U.S.C. Section 1350, as adopted pursuant to Section 906 of the Sarbanes-Oxley Act of 2002, dated May 18, 2006</w:t>
            </w:r>
          </w:p>
        </w:tc>
      </w:tr>
    </w:tbl>
    <w:p>
      <w:pPr>
        <w:pStyle w:val="TextBody"/>
        <w:jc w:val="center"/>
        <w:rPr/>
      </w:pPr>
      <w:bookmarkStart w:id="10" w:name="_Toc97366437"/>
      <w:bookmarkStart w:id="11" w:name="_Toc97032593"/>
      <w:bookmarkStart w:id="12" w:name="_Toc94025478"/>
      <w:bookmarkStart w:id="13" w:name="_Toc135101048"/>
      <w:bookmarkEnd w:id="10"/>
      <w:bookmarkEnd w:id="11"/>
      <w:bookmarkEnd w:id="12"/>
      <w:bookmarkEnd w:id="13"/>
      <w:r>
        <w:rPr/>
        <w:t>- 23 -</w:t>
      </w:r>
    </w:p>
    <w:p>
      <w:pPr>
        <w:pStyle w:val="HorizontalLine"/>
        <w:pBdr>
          <w:bottom w:val="single" w:sz="18" w:space="0" w:color="808080"/>
        </w:pBdr>
        <w:rPr/>
      </w:pPr>
      <w:r>
        <w:rPr/>
      </w:r>
    </w:p>
    <w:p>
      <w:pPr>
        <w:pStyle w:val="TextBody"/>
        <w:jc w:val="center"/>
        <w:rPr>
          <w:b/>
        </w:rPr>
      </w:pPr>
      <w:r>
        <w:rPr>
          <w:b/>
        </w:rPr>
        <w:t>SIGNATURES</w:t>
      </w:r>
    </w:p>
    <w:p>
      <w:pPr>
        <w:pStyle w:val="TextBody"/>
        <w:jc w:val="both"/>
        <w:rPr/>
      </w:pPr>
      <w:r>
        <w:rPr/>
        <w:br/>
        <w:t>In accordance with Section 13 or 15(d) of the Exchange Act, the registrant caused this report to be signed on its behalf by the undersigned, thereunto duly authorized.</w:t>
      </w:r>
    </w:p>
    <w:tbl>
      <w:tblPr>
        <w:tblW w:w="12645" w:type="dxa"/>
        <w:jc w:val="left"/>
        <w:tblInd w:w="0" w:type="dxa"/>
        <w:tblCellMar>
          <w:top w:w="105" w:type="dxa"/>
          <w:left w:w="105" w:type="dxa"/>
          <w:bottom w:w="105" w:type="dxa"/>
          <w:right w:w="105" w:type="dxa"/>
        </w:tblCellMar>
      </w:tblPr>
      <w:tblGrid>
        <w:gridCol w:w="4080"/>
        <w:gridCol w:w="8565"/>
      </w:tblGrid>
      <w:tr>
        <w:trPr/>
        <w:tc>
          <w:tcPr>
            <w:tcW w:w="12645" w:type="dxa"/>
            <w:gridSpan w:val="2"/>
            <w:tcBorders/>
            <w:shd w:fill="auto" w:val="clear"/>
          </w:tcPr>
          <w:p>
            <w:pPr>
              <w:pStyle w:val="TableContents"/>
              <w:numPr>
                <w:ilvl w:val="0"/>
                <w:numId w:val="0"/>
              </w:numPr>
              <w:spacing w:before="0" w:after="283"/>
              <w:ind w:left="3535" w:hanging="0"/>
              <w:jc w:val="left"/>
              <w:rPr>
                <w:b/>
              </w:rPr>
            </w:pPr>
            <w:r>
              <w:rPr>
                <w:b/>
              </w:rPr>
              <w:t>GENEMAX CORP.</w:t>
            </w:r>
          </w:p>
        </w:tc>
      </w:tr>
      <w:tr>
        <w:trPr/>
        <w:tc>
          <w:tcPr>
            <w:tcW w:w="4080" w:type="dxa"/>
            <w:tcBorders/>
            <w:shd w:fill="auto" w:val="clear"/>
          </w:tcPr>
          <w:p>
            <w:pPr>
              <w:pStyle w:val="TableContents"/>
              <w:numPr>
                <w:ilvl w:val="0"/>
                <w:numId w:val="0"/>
              </w:numPr>
              <w:spacing w:before="0" w:after="283"/>
              <w:ind w:left="3535" w:hanging="0"/>
              <w:jc w:val="left"/>
              <w:rPr/>
            </w:pPr>
            <w:r>
              <w:rPr/>
              <w:t>Per:</w:t>
            </w:r>
          </w:p>
        </w:tc>
        <w:tc>
          <w:tcPr>
            <w:tcW w:w="8565" w:type="dxa"/>
            <w:tcBorders/>
            <w:shd w:fill="auto" w:val="clear"/>
          </w:tcPr>
          <w:p>
            <w:pPr>
              <w:pStyle w:val="TableContents"/>
              <w:numPr>
                <w:ilvl w:val="0"/>
                <w:numId w:val="0"/>
              </w:numPr>
              <w:spacing w:before="0" w:after="283"/>
              <w:ind w:left="3535" w:hanging="0"/>
              <w:jc w:val="left"/>
              <w:rPr/>
            </w:pPr>
            <w:r>
              <w:rPr/>
              <w:t>/s/"</w:t>
            </w:r>
            <w:r>
              <w:rPr>
                <w:i/>
              </w:rPr>
              <w:t>Aris Morfopoulos</w:t>
            </w:r>
            <w:r>
              <w:rPr/>
              <w:t>"</w:t>
              <w:br/>
            </w:r>
            <w:r>
              <w:rPr>
                <w:u w:val="single"/>
              </w:rPr>
              <w:t>________________________________________</w:t>
              <w:br/>
            </w:r>
            <w:r>
              <w:rPr/>
              <w:t>Aris Morfopoulos, President, Chief Executive Officer,</w:t>
              <w:br/>
              <w:t>Principal Executive Officer and a director</w:t>
              <w:br/>
              <w:t>Date: May 18, 2006</w:t>
            </w:r>
          </w:p>
        </w:tc>
      </w:tr>
    </w:tbl>
    <w:p>
      <w:pPr>
        <w:pStyle w:val="TextBody"/>
        <w:jc w:val="both"/>
        <w:rPr/>
      </w:pPr>
      <w:r>
        <w:rPr/>
        <w:br/>
        <w:t>In accordance with the Securities Exchange Act, this report has been signed below by the following persons on behalf of the registrant and in the capacities and on the dates indicated.</w:t>
      </w:r>
    </w:p>
    <w:tbl>
      <w:tblPr>
        <w:tblW w:w="12645" w:type="dxa"/>
        <w:jc w:val="left"/>
        <w:tblInd w:w="0" w:type="dxa"/>
        <w:tblCellMar>
          <w:top w:w="105" w:type="dxa"/>
          <w:left w:w="105" w:type="dxa"/>
          <w:bottom w:w="105" w:type="dxa"/>
          <w:right w:w="105" w:type="dxa"/>
        </w:tblCellMar>
      </w:tblPr>
      <w:tblGrid>
        <w:gridCol w:w="4080"/>
        <w:gridCol w:w="8565"/>
      </w:tblGrid>
      <w:tr>
        <w:trPr/>
        <w:tc>
          <w:tcPr>
            <w:tcW w:w="4080" w:type="dxa"/>
            <w:tcBorders/>
            <w:shd w:fill="auto" w:val="clear"/>
          </w:tcPr>
          <w:p>
            <w:pPr>
              <w:pStyle w:val="TableContents"/>
              <w:numPr>
                <w:ilvl w:val="0"/>
                <w:numId w:val="0"/>
              </w:numPr>
              <w:spacing w:before="0" w:after="283"/>
              <w:ind w:left="3535" w:hanging="0"/>
              <w:jc w:val="left"/>
              <w:rPr/>
            </w:pPr>
            <w:r>
              <w:rPr/>
              <w:t>Per:</w:t>
            </w:r>
          </w:p>
        </w:tc>
        <w:tc>
          <w:tcPr>
            <w:tcW w:w="8565" w:type="dxa"/>
            <w:tcBorders/>
            <w:shd w:fill="auto" w:val="clear"/>
          </w:tcPr>
          <w:p>
            <w:pPr>
              <w:pStyle w:val="TableContents"/>
              <w:numPr>
                <w:ilvl w:val="0"/>
                <w:numId w:val="0"/>
              </w:numPr>
              <w:ind w:left="3535" w:hanging="0"/>
              <w:jc w:val="left"/>
              <w:rPr/>
            </w:pPr>
            <w:r>
              <w:rPr/>
              <w:t>/s/"</w:t>
            </w:r>
            <w:r>
              <w:rPr>
                <w:i/>
              </w:rPr>
              <w:t>Aris Morfopoulos</w:t>
            </w:r>
            <w:r>
              <w:rPr/>
              <w:t>"</w:t>
              <w:br/>
            </w:r>
            <w:r>
              <w:rPr>
                <w:u w:val="single"/>
              </w:rPr>
              <w:t>________________________________________</w:t>
              <w:br/>
            </w:r>
            <w:r>
              <w:rPr/>
              <w:t>Aris Morfopoulos, President, Chief Executive Officer,</w:t>
              <w:br/>
              <w:t>Principal Executive Officer and a director</w:t>
              <w:br/>
              <w:t>Date: May 18, 2006</w:t>
            </w:r>
          </w:p>
          <w:p>
            <w:pPr>
              <w:pStyle w:val="TableContents"/>
              <w:numPr>
                <w:ilvl w:val="0"/>
                <w:numId w:val="0"/>
              </w:numPr>
              <w:spacing w:before="0" w:after="283"/>
              <w:ind w:left="3535" w:hanging="0"/>
              <w:jc w:val="left"/>
              <w:rPr/>
            </w:pPr>
            <w:r>
              <w:rPr/>
              <w:t> </w:t>
            </w:r>
          </w:p>
        </w:tc>
      </w:tr>
      <w:tr>
        <w:trPr/>
        <w:tc>
          <w:tcPr>
            <w:tcW w:w="4080" w:type="dxa"/>
            <w:tcBorders/>
            <w:shd w:fill="auto" w:val="clear"/>
          </w:tcPr>
          <w:p>
            <w:pPr>
              <w:pStyle w:val="TableContents"/>
              <w:numPr>
                <w:ilvl w:val="0"/>
                <w:numId w:val="0"/>
              </w:numPr>
              <w:spacing w:before="0" w:after="283"/>
              <w:ind w:left="3535" w:hanging="0"/>
              <w:jc w:val="left"/>
              <w:rPr/>
            </w:pPr>
            <w:r>
              <w:rPr/>
              <w:t>Per:</w:t>
            </w:r>
          </w:p>
        </w:tc>
        <w:tc>
          <w:tcPr>
            <w:tcW w:w="8565" w:type="dxa"/>
            <w:tcBorders/>
            <w:shd w:fill="auto" w:val="clear"/>
          </w:tcPr>
          <w:p>
            <w:pPr>
              <w:pStyle w:val="TableContents"/>
              <w:numPr>
                <w:ilvl w:val="0"/>
                <w:numId w:val="0"/>
              </w:numPr>
              <w:spacing w:before="0" w:after="283"/>
              <w:ind w:left="3535" w:hanging="0"/>
              <w:jc w:val="left"/>
              <w:rPr/>
            </w:pPr>
            <w:r>
              <w:rPr/>
              <w:t>/s/"</w:t>
            </w:r>
            <w:r>
              <w:rPr>
                <w:i/>
              </w:rPr>
              <w:t>Patrick A. McGowan</w:t>
            </w:r>
            <w:r>
              <w:rPr/>
              <w:t>"</w:t>
            </w:r>
            <w:r>
              <w:rPr>
                <w:u w:val="single"/>
              </w:rPr>
              <w:br/>
              <w:t>________________________________________</w:t>
              <w:br/>
            </w:r>
            <w:r>
              <w:rPr/>
              <w:t>Patrick A. McGowan, Secretary, Treasurer,</w:t>
              <w:br/>
              <w:t>Chief Financial Officer and Principal Accounting Officer</w:t>
              <w:br/>
              <w:t>Date: May 18, 2006</w:t>
            </w:r>
          </w:p>
        </w:tc>
      </w:tr>
    </w:tbl>
    <w:p>
      <w:pPr>
        <w:pStyle w:val="TextBody"/>
        <w:jc w:val="center"/>
        <w:rPr/>
      </w:pPr>
      <w:r>
        <w:rPr/>
        <w:t>- 24 -</w:t>
      </w:r>
    </w:p>
    <w:p>
      <w:pPr>
        <w:pStyle w:val="HorizontalLine"/>
        <w:pBdr>
          <w:bottom w:val="single" w:sz="18" w:space="0" w:color="808080"/>
        </w:pBdr>
        <w:rPr/>
      </w:pPr>
      <w:r>
        <w:rPr/>
      </w:r>
    </w:p>
    <w:p>
      <w:pPr>
        <w:pStyle w:val="TextBody"/>
        <w:jc w:val="right"/>
        <w:rPr>
          <w:b/>
        </w:rPr>
      </w:pPr>
      <w:r>
        <w:rPr>
          <w:b/>
        </w:rPr>
        <w:t>Exhibit 31.1</w:t>
      </w:r>
    </w:p>
    <w:p>
      <w:pPr>
        <w:pStyle w:val="TextBody"/>
        <w:jc w:val="center"/>
        <w:rPr>
          <w:b/>
        </w:rPr>
      </w:pPr>
      <w:r>
        <w:rPr>
          <w:b/>
        </w:rPr>
        <w:t>CERTIFICATION</w:t>
      </w:r>
    </w:p>
    <w:p>
      <w:pPr>
        <w:pStyle w:val="TextBody"/>
        <w:jc w:val="both"/>
        <w:rPr/>
      </w:pPr>
      <w:r>
        <w:rPr/>
        <w:t>I, Aris Morfopoulos, the Chief Executive Officer of GeneMax Corp., certify that:</w:t>
      </w:r>
    </w:p>
    <w:p>
      <w:pPr>
        <w:pStyle w:val="TextBody"/>
        <w:numPr>
          <w:ilvl w:val="0"/>
          <w:numId w:val="12"/>
        </w:numPr>
        <w:tabs>
          <w:tab w:val="clear" w:pos="1134"/>
          <w:tab w:val="left" w:pos="707" w:leader="none"/>
        </w:tabs>
        <w:ind w:left="707" w:hanging="283"/>
        <w:rPr/>
      </w:pPr>
      <w:r>
        <w:rPr/>
        <w:t>I have reviewed this Report on Form10-QSB for the period from December 31, 2005 to March 31, 2006 of GeneMax Corp.;</w:t>
      </w:r>
    </w:p>
    <w:p>
      <w:pPr>
        <w:pStyle w:val="TextBody"/>
        <w:numPr>
          <w:ilvl w:val="0"/>
          <w:numId w:val="12"/>
        </w:numPr>
        <w:tabs>
          <w:tab w:val="clear" w:pos="1134"/>
          <w:tab w:val="left" w:pos="707" w:leader="none"/>
        </w:tabs>
        <w:ind w:left="707" w:hanging="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numPr>
          <w:ilvl w:val="0"/>
          <w:numId w:val="12"/>
        </w:numPr>
        <w:tabs>
          <w:tab w:val="clear" w:pos="1134"/>
          <w:tab w:val="left" w:pos="707" w:leader="none"/>
        </w:tabs>
        <w:ind w:left="707"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numPr>
          <w:ilvl w:val="0"/>
          <w:numId w:val="12"/>
        </w:numPr>
        <w:tabs>
          <w:tab w:val="clear" w:pos="1134"/>
          <w:tab w:val="left" w:pos="707" w:leader="none"/>
        </w:tabs>
        <w:ind w:left="707" w:hanging="283"/>
        <w:rPr/>
      </w:pPr>
      <w:r>
        <w:rPr/>
        <w:t>The registrant's other certifying officers and I are responsible for establishing and maintaining disclosure controls and procedures (as defined in Exchange Act Rules 13a-15(e) and 15d-15(e)) for the registrant and have:</w:t>
      </w:r>
    </w:p>
    <w:p>
      <w:pPr>
        <w:pStyle w:val="TextBody"/>
        <w:numPr>
          <w:ilvl w:val="1"/>
          <w:numId w:val="12"/>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1"/>
          <w:numId w:val="12"/>
        </w:numPr>
        <w:tabs>
          <w:tab w:val="clear" w:pos="1134"/>
          <w:tab w:val="left" w:pos="1414" w:leader="none"/>
        </w:tabs>
        <w:ind w:left="1414" w:hanging="283"/>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1"/>
          <w:numId w:val="12"/>
        </w:numPr>
        <w:tabs>
          <w:tab w:val="clear" w:pos="1134"/>
          <w:tab w:val="left" w:pos="1414" w:leader="none"/>
        </w:tabs>
        <w:ind w:left="1414" w:hanging="283"/>
        <w:rPr/>
      </w:pPr>
      <w:r>
        <w:rPr/>
        <w:t>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numPr>
          <w:ilvl w:val="0"/>
          <w:numId w:val="12"/>
        </w:numPr>
        <w:tabs>
          <w:tab w:val="clear" w:pos="1134"/>
          <w:tab w:val="left" w:pos="707" w:leader="none"/>
        </w:tabs>
        <w:ind w:left="707" w:hanging="283"/>
        <w:rPr/>
      </w:pPr>
      <w:r>
        <w:rPr/>
        <w:t>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1"/>
          <w:numId w:val="12"/>
        </w:numPr>
        <w:tabs>
          <w:tab w:val="clear" w:pos="1134"/>
          <w:tab w:val="left" w:pos="1414" w:leader="none"/>
        </w:tabs>
        <w:ind w:left="1414" w:hanging="283"/>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1"/>
          <w:numId w:val="12"/>
        </w:numPr>
        <w:tabs>
          <w:tab w:val="clear" w:pos="1134"/>
          <w:tab w:val="left" w:pos="1414" w:leader="none"/>
        </w:tabs>
        <w:ind w:left="1414" w:hanging="283"/>
        <w:rPr/>
      </w:pPr>
      <w:r>
        <w:rPr/>
        <w:t>any fraud, whether or not material, that involves management or other employees who have a significant role in the registrant's internal control over financial reporting.</w:t>
      </w:r>
    </w:p>
    <w:p>
      <w:pPr>
        <w:pStyle w:val="TextBody"/>
        <w:jc w:val="left"/>
        <w:rPr/>
      </w:pPr>
      <w:r>
        <w:rPr/>
        <w:t>Date:       May 18, 2006</w:t>
      </w:r>
    </w:p>
    <w:p>
      <w:pPr>
        <w:pStyle w:val="TextBody"/>
        <w:jc w:val="left"/>
        <w:rPr/>
      </w:pPr>
      <w:r>
        <w:rPr/>
        <w:t>             </w:t>
      </w:r>
      <w:r>
        <w:rPr/>
        <w:t>/s/"Aris Morfopoulos"</w:t>
        <w:br/>
        <w:t xml:space="preserve">___________________________________ </w:t>
        <w:br/>
        <w:t>By:        Aris Morfopoulos</w:t>
        <w:br/>
        <w:t xml:space="preserve">Title:     Chief Executive Officer </w:t>
      </w:r>
    </w:p>
    <w:p>
      <w:pPr>
        <w:pStyle w:val="TextBody"/>
        <w:jc w:val="center"/>
        <w:rPr/>
      </w:pPr>
      <w:r>
        <w:rPr/>
        <w:t>- 25 -</w:t>
      </w:r>
    </w:p>
    <w:p>
      <w:pPr>
        <w:pStyle w:val="HorizontalLine"/>
        <w:pBdr>
          <w:bottom w:val="single" w:sz="18" w:space="0" w:color="808080"/>
        </w:pBdr>
        <w:rPr/>
      </w:pPr>
      <w:r>
        <w:rPr/>
      </w:r>
    </w:p>
    <w:p>
      <w:pPr>
        <w:pStyle w:val="TextBody"/>
        <w:jc w:val="center"/>
        <w:rPr>
          <w:b/>
        </w:rPr>
      </w:pPr>
      <w:r>
        <w:rPr>
          <w:b/>
        </w:rPr>
        <w:t>CERTIFICATION</w:t>
      </w:r>
    </w:p>
    <w:p>
      <w:pPr>
        <w:pStyle w:val="TextBody"/>
        <w:jc w:val="both"/>
        <w:rPr/>
      </w:pPr>
      <w:r>
        <w:rPr/>
        <w:t>I, Patrick A. McGowan, the Chief Financial Officer of GeneMax Corp., certify that:</w:t>
      </w:r>
    </w:p>
    <w:p>
      <w:pPr>
        <w:pStyle w:val="TextBody"/>
        <w:numPr>
          <w:ilvl w:val="0"/>
          <w:numId w:val="13"/>
        </w:numPr>
        <w:tabs>
          <w:tab w:val="clear" w:pos="1134"/>
          <w:tab w:val="left" w:pos="707" w:leader="none"/>
        </w:tabs>
        <w:ind w:left="707" w:hanging="283"/>
        <w:rPr/>
      </w:pPr>
      <w:r>
        <w:rPr/>
        <w:t>I have reviewed this Report on Form10-QSB for the period from December 31, 2005 to March 31, 2006 of GeneMax Corp.;</w:t>
      </w:r>
    </w:p>
    <w:p>
      <w:pPr>
        <w:pStyle w:val="TextBody"/>
        <w:numPr>
          <w:ilvl w:val="0"/>
          <w:numId w:val="13"/>
        </w:numPr>
        <w:tabs>
          <w:tab w:val="clear" w:pos="1134"/>
          <w:tab w:val="left" w:pos="707" w:leader="none"/>
        </w:tabs>
        <w:ind w:left="707" w:hanging="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numPr>
          <w:ilvl w:val="0"/>
          <w:numId w:val="13"/>
        </w:numPr>
        <w:tabs>
          <w:tab w:val="clear" w:pos="1134"/>
          <w:tab w:val="left" w:pos="707" w:leader="none"/>
        </w:tabs>
        <w:ind w:left="707"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numPr>
          <w:ilvl w:val="0"/>
          <w:numId w:val="13"/>
        </w:numPr>
        <w:tabs>
          <w:tab w:val="clear" w:pos="1134"/>
          <w:tab w:val="left" w:pos="707" w:leader="none"/>
        </w:tabs>
        <w:ind w:left="707" w:hanging="283"/>
        <w:rPr/>
      </w:pPr>
      <w:r>
        <w:rPr/>
        <w:t>The registrant's other certifying officers and I are responsible for establishing and maintaining disclosure controls and procedures (as defined in Exchange Act Rules 13a-15(e) and 15d-15(e)) for the registrant and have:</w:t>
      </w:r>
    </w:p>
    <w:p>
      <w:pPr>
        <w:pStyle w:val="TextBody"/>
        <w:numPr>
          <w:ilvl w:val="1"/>
          <w:numId w:val="13"/>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1"/>
          <w:numId w:val="13"/>
        </w:numPr>
        <w:tabs>
          <w:tab w:val="clear" w:pos="1134"/>
          <w:tab w:val="left" w:pos="1414" w:leader="none"/>
        </w:tabs>
        <w:ind w:left="1414" w:hanging="283"/>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1"/>
          <w:numId w:val="13"/>
        </w:numPr>
        <w:tabs>
          <w:tab w:val="clear" w:pos="1134"/>
          <w:tab w:val="left" w:pos="1414" w:leader="none"/>
        </w:tabs>
        <w:ind w:left="1414" w:hanging="283"/>
        <w:rPr/>
      </w:pPr>
      <w:r>
        <w:rPr/>
        <w:t>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numPr>
          <w:ilvl w:val="0"/>
          <w:numId w:val="13"/>
        </w:numPr>
        <w:tabs>
          <w:tab w:val="clear" w:pos="1134"/>
          <w:tab w:val="left" w:pos="707" w:leader="none"/>
        </w:tabs>
        <w:ind w:left="707" w:hanging="283"/>
        <w:rPr/>
      </w:pPr>
      <w:r>
        <w:rPr/>
        <w:t>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1"/>
          <w:numId w:val="13"/>
        </w:numPr>
        <w:tabs>
          <w:tab w:val="clear" w:pos="1134"/>
          <w:tab w:val="left" w:pos="1414" w:leader="none"/>
        </w:tabs>
        <w:ind w:left="1414" w:hanging="283"/>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1"/>
          <w:numId w:val="13"/>
        </w:numPr>
        <w:tabs>
          <w:tab w:val="clear" w:pos="1134"/>
          <w:tab w:val="left" w:pos="1414" w:leader="none"/>
        </w:tabs>
        <w:ind w:left="1414" w:hanging="283"/>
        <w:rPr/>
      </w:pPr>
      <w:r>
        <w:rPr/>
        <w:t>any fraud, whether or not material, that involves management or other employees who have a significant role in the registrant's internal control over financial reporting.</w:t>
      </w:r>
    </w:p>
    <w:p>
      <w:pPr>
        <w:pStyle w:val="TextBody"/>
        <w:jc w:val="left"/>
        <w:rPr/>
      </w:pPr>
      <w:r>
        <w:rPr/>
        <w:t>Date:         May 18, 2006</w:t>
      </w:r>
    </w:p>
    <w:p>
      <w:pPr>
        <w:pStyle w:val="TextBody"/>
        <w:jc w:val="left"/>
        <w:rPr/>
      </w:pPr>
      <w:r>
        <w:rPr/>
        <w:t>            </w:t>
      </w:r>
      <w:r>
        <w:rPr/>
        <w:t>/s/"Patrick A. McGowan"</w:t>
        <w:br/>
        <w:t xml:space="preserve">___________________________________ </w:t>
        <w:br/>
        <w:t>By:        Patrick A. McGowan</w:t>
        <w:br/>
        <w:t>Title:     Chief Financial Officer</w:t>
      </w:r>
    </w:p>
    <w:p>
      <w:pPr>
        <w:pStyle w:val="TextBody"/>
        <w:jc w:val="center"/>
        <w:rPr/>
      </w:pPr>
      <w:r>
        <w:rPr/>
        <w:t>- 26 -</w:t>
      </w:r>
    </w:p>
    <w:p>
      <w:pPr>
        <w:pStyle w:val="HorizontalLine"/>
        <w:pBdr>
          <w:bottom w:val="single" w:sz="18" w:space="0" w:color="808080"/>
        </w:pBdr>
        <w:rPr/>
      </w:pPr>
      <w:r>
        <w:rPr/>
      </w:r>
    </w:p>
    <w:p>
      <w:pPr>
        <w:pStyle w:val="TextBody"/>
        <w:jc w:val="right"/>
        <w:rPr>
          <w:b/>
        </w:rPr>
      </w:pPr>
      <w:r>
        <w:rPr>
          <w:b/>
        </w:rPr>
        <w:t>Exhibit 32.1</w:t>
      </w:r>
    </w:p>
    <w:p>
      <w:pPr>
        <w:pStyle w:val="TextBody"/>
        <w:jc w:val="center"/>
        <w:rPr>
          <w:b/>
        </w:rPr>
      </w:pPr>
      <w:r>
        <w:rPr>
          <w:b/>
        </w:rPr>
        <w:t xml:space="preserve">CERTIFICATION OF CHIEF EXECUTIVE OFFICER AND CHIEF FINANCIAL OFFICER </w:t>
        <w:br/>
        <w:t xml:space="preserve">PURSUANT TO </w:t>
      </w:r>
    </w:p>
    <w:p>
      <w:pPr>
        <w:pStyle w:val="TextBody"/>
        <w:jc w:val="center"/>
        <w:rPr>
          <w:b/>
        </w:rPr>
      </w:pPr>
      <w:r>
        <w:rPr>
          <w:b/>
        </w:rPr>
        <w:t>18 U.S.C. SECTION 1350,</w:t>
        <w:br/>
        <w:t>AS ADOPTED PURSUANT TO</w:t>
        <w:br/>
        <w:t>SECTION 906 OF THE SARBANES-OXLEY ACT OF 2002</w:t>
      </w:r>
    </w:p>
    <w:p>
      <w:pPr>
        <w:pStyle w:val="TextBody"/>
        <w:jc w:val="both"/>
        <w:rPr/>
      </w:pPr>
      <w:r>
        <w:rPr/>
        <w:t xml:space="preserve">The undersigned, Aris Morfopoulos, the Chief Executive Officer of GeneMax Corp., and Patrick A. McGowan, the Chief Financial Officer of GeneMax Corp., each hereby certifies, pursuant to 18 U.S.C. Section 1350, as adopted pursuant to Section 906 of the Sarbanes-Oxley Act of 2002, that the Report on Form 10-QSB of GeneMax Corp., for the period from December 31, 2005 to March 31, 2006, fully complies with the requirements of Section 13(a) or 15(d) of the Securities Exchange Act of 1934, and that the information contained in the Report on Form 10-QSB fairly presents in all material respects the financial condition and results of operations of GeneMax Corp.. </w:t>
      </w:r>
    </w:p>
    <w:p>
      <w:pPr>
        <w:pStyle w:val="TextBody"/>
        <w:jc w:val="left"/>
        <w:rPr/>
      </w:pPr>
      <w:r>
        <w:rPr/>
        <w:t>Date: May 18, 2006</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w:t>
            </w:r>
            <w:r>
              <w:rPr>
                <w:i/>
                <w:sz w:val="20"/>
              </w:rPr>
              <w:t>Aris Morfopoulos</w:t>
            </w:r>
            <w:r>
              <w:rPr>
                <w:sz w:val="20"/>
              </w:rPr>
              <w:t>"</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pPr>
            <w:r>
              <w:rPr/>
              <w:t xml:space="preserve">Aris Morfopoulos </w:t>
              <w:br/>
              <w:t>President, Chief Executive Officer, Principal Executive Officer and a director</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w:t>
            </w:r>
            <w:r>
              <w:rPr>
                <w:i/>
                <w:sz w:val="20"/>
              </w:rPr>
              <w:t>Patrick A. McGowan</w:t>
            </w:r>
            <w:r>
              <w:rPr>
                <w:sz w:val="20"/>
              </w:rPr>
              <w:t>"</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Patrick A. McGowan</w:t>
              <w:br/>
              <w:t xml:space="preserve">Secretary, Treasurer, Chief Financial Officer and Principal Accounting Officer </w:t>
            </w:r>
          </w:p>
        </w:tc>
      </w:tr>
    </w:tbl>
    <w:p>
      <w:pPr>
        <w:pStyle w:val="TextBody"/>
        <w:jc w:val="both"/>
        <w:rPr/>
      </w:pPr>
      <w:r>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GeneMax Corp. and will be retained by GeneMax Corp. and furnished to the Securities and Exchange Commission or its staff upon request.</w:t>
      </w:r>
    </w:p>
    <w:p>
      <w:pPr>
        <w:pStyle w:val="TextBody"/>
        <w:jc w:val="left"/>
        <w:rPr/>
      </w:pPr>
      <w:r>
        <w:rPr/>
        <w:t> </w:t>
      </w:r>
    </w:p>
    <w:p>
      <w:pPr>
        <w:pStyle w:val="TextBody"/>
        <w:jc w:val="left"/>
        <w:rPr/>
      </w:pPr>
      <w:r>
        <w:rPr/>
        <w:t> </w:t>
      </w:r>
      <w:r>
        <w:br w:type="page"/>
      </w:r>
    </w:p>
    <w:p>
      <w:pPr>
        <w:pStyle w:val="TextBody"/>
        <w:jc w:val="right"/>
        <w:rPr>
          <w:b/>
        </w:rPr>
      </w:pPr>
      <w:bookmarkStart w:id="14" w:name="_Toc1351010481"/>
      <w:bookmarkStart w:id="15" w:name="ex31_1.htm"/>
      <w:bookmarkStart w:id="16" w:name="ksex31_1"/>
      <w:bookmarkEnd w:id="14"/>
      <w:bookmarkEnd w:id="15"/>
      <w:bookmarkEnd w:id="16"/>
      <w:r>
        <w:rPr>
          <w:b/>
        </w:rPr>
        <w:commentReference w:id="0"/>
      </w:r>
      <w:r>
        <w:rPr>
          <w:b/>
        </w:rPr>
        <w:commentReference w:id="1"/>
      </w:r>
      <w:r>
        <w:rPr>
          <w:b/>
        </w:rPr>
        <w:commentReference w:id="2"/>
      </w:r>
      <w:r>
        <w:rPr>
          <w:b/>
        </w:rPr>
        <w:commentReference w:id="3"/>
      </w:r>
      <w:r>
        <w:rPr>
          <w:b/>
        </w:rPr>
        <w:commentReference w:id="4"/>
      </w:r>
      <w:r>
        <w:rPr>
          <w:b/>
        </w:rPr>
        <w:commentReference w:id="5"/>
      </w:r>
      <w:r>
        <w:rPr>
          <w:b/>
        </w:rPr>
        <w:t>Exhibit 31.1</w:t>
      </w:r>
    </w:p>
    <w:p>
      <w:pPr>
        <w:pStyle w:val="TextBody"/>
        <w:jc w:val="center"/>
        <w:rPr>
          <w:b/>
        </w:rPr>
      </w:pPr>
      <w:r>
        <w:rPr>
          <w:b/>
        </w:rPr>
        <w:t>CERTIFICATION</w:t>
      </w:r>
    </w:p>
    <w:p>
      <w:pPr>
        <w:pStyle w:val="TextBody"/>
        <w:jc w:val="both"/>
        <w:rPr/>
      </w:pPr>
      <w:r>
        <w:rPr/>
        <w:t>I, Aris Morfopoulos, the Chief Executive Officer of GeneMax Corp., certify that:</w:t>
      </w:r>
    </w:p>
    <w:p>
      <w:pPr>
        <w:pStyle w:val="TextBody"/>
        <w:numPr>
          <w:ilvl w:val="0"/>
          <w:numId w:val="14"/>
        </w:numPr>
        <w:tabs>
          <w:tab w:val="clear" w:pos="1134"/>
          <w:tab w:val="left" w:pos="707" w:leader="none"/>
        </w:tabs>
        <w:ind w:left="707" w:hanging="283"/>
        <w:rPr/>
      </w:pPr>
      <w:r>
        <w:rPr/>
        <w:t>I have reviewed this Report on Form10-QSB for the period from December 31, 2005 to March 31, 2006 of GeneMax Corp.;</w:t>
      </w:r>
    </w:p>
    <w:p>
      <w:pPr>
        <w:pStyle w:val="TextBody"/>
        <w:numPr>
          <w:ilvl w:val="0"/>
          <w:numId w:val="14"/>
        </w:numPr>
        <w:tabs>
          <w:tab w:val="clear" w:pos="1134"/>
          <w:tab w:val="left" w:pos="707" w:leader="none"/>
        </w:tabs>
        <w:ind w:left="707" w:hanging="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numPr>
          <w:ilvl w:val="0"/>
          <w:numId w:val="14"/>
        </w:numPr>
        <w:tabs>
          <w:tab w:val="clear" w:pos="1134"/>
          <w:tab w:val="left" w:pos="707" w:leader="none"/>
        </w:tabs>
        <w:ind w:left="707"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numPr>
          <w:ilvl w:val="0"/>
          <w:numId w:val="14"/>
        </w:numPr>
        <w:tabs>
          <w:tab w:val="clear" w:pos="1134"/>
          <w:tab w:val="left" w:pos="707" w:leader="none"/>
        </w:tabs>
        <w:ind w:left="707" w:hanging="283"/>
        <w:rPr/>
      </w:pPr>
      <w:r>
        <w:rPr/>
        <w:t>The registrant's other certifying officers and I are responsible for establishing and maintaining disclosure controls and procedures (as defined in Exchange Act Rules 13a-15(e) and 15d-15(e)) for the registrant and have:</w:t>
      </w:r>
    </w:p>
    <w:p>
      <w:pPr>
        <w:pStyle w:val="TextBody"/>
        <w:numPr>
          <w:ilvl w:val="1"/>
          <w:numId w:val="14"/>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1"/>
          <w:numId w:val="14"/>
        </w:numPr>
        <w:tabs>
          <w:tab w:val="clear" w:pos="1134"/>
          <w:tab w:val="left" w:pos="1414" w:leader="none"/>
        </w:tabs>
        <w:ind w:left="1414" w:hanging="283"/>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1"/>
          <w:numId w:val="14"/>
        </w:numPr>
        <w:tabs>
          <w:tab w:val="clear" w:pos="1134"/>
          <w:tab w:val="left" w:pos="1414" w:leader="none"/>
        </w:tabs>
        <w:ind w:left="1414" w:hanging="283"/>
        <w:rPr/>
      </w:pPr>
      <w:r>
        <w:rPr/>
        <w:t>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numPr>
          <w:ilvl w:val="0"/>
          <w:numId w:val="14"/>
        </w:numPr>
        <w:tabs>
          <w:tab w:val="clear" w:pos="1134"/>
          <w:tab w:val="left" w:pos="707" w:leader="none"/>
        </w:tabs>
        <w:ind w:left="707" w:hanging="283"/>
        <w:rPr/>
      </w:pPr>
      <w:r>
        <w:rPr/>
        <w:t>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1"/>
          <w:numId w:val="14"/>
        </w:numPr>
        <w:tabs>
          <w:tab w:val="clear" w:pos="1134"/>
          <w:tab w:val="left" w:pos="1414" w:leader="none"/>
        </w:tabs>
        <w:ind w:left="1414" w:hanging="283"/>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1"/>
          <w:numId w:val="14"/>
        </w:numPr>
        <w:tabs>
          <w:tab w:val="clear" w:pos="1134"/>
          <w:tab w:val="left" w:pos="1414" w:leader="none"/>
        </w:tabs>
        <w:ind w:left="1414" w:hanging="283"/>
        <w:rPr/>
      </w:pPr>
      <w:r>
        <w:rPr/>
        <w:t>any fraud, whether or not material, that involves management or other employees who have a significant role in the registrant's internal control over financial reporting.</w:t>
      </w:r>
    </w:p>
    <w:p>
      <w:pPr>
        <w:pStyle w:val="TextBody"/>
        <w:jc w:val="left"/>
        <w:rPr/>
      </w:pPr>
      <w:r>
        <w:rPr/>
        <w:t>Date:       May 18, 2006</w:t>
      </w:r>
    </w:p>
    <w:p>
      <w:pPr>
        <w:pStyle w:val="TextBody"/>
        <w:jc w:val="left"/>
        <w:rPr/>
      </w:pPr>
      <w:r>
        <w:rPr/>
        <w:t>             </w:t>
      </w:r>
      <w:r>
        <w:rPr/>
        <w:t>/s/"Aris Morfopoulos"</w:t>
        <w:br/>
        <w:t xml:space="preserve">___________________________________ </w:t>
        <w:br/>
        <w:t>By:        Aris Morfopoulos</w:t>
        <w:br/>
        <w:t xml:space="preserve">Title:     Chief Executive Officer </w:t>
      </w:r>
    </w:p>
    <w:p>
      <w:pPr>
        <w:pStyle w:val="HorizontalLine"/>
        <w:pBdr>
          <w:bottom w:val="single" w:sz="18" w:space="0" w:color="808080"/>
        </w:pBdr>
        <w:rPr/>
      </w:pPr>
      <w:r>
        <w:rPr/>
      </w:r>
    </w:p>
    <w:p>
      <w:pPr>
        <w:pStyle w:val="TextBody"/>
        <w:jc w:val="center"/>
        <w:rPr>
          <w:b/>
        </w:rPr>
      </w:pPr>
      <w:r>
        <w:rPr>
          <w:b/>
        </w:rPr>
        <w:t>CERTIFICATION</w:t>
      </w:r>
    </w:p>
    <w:p>
      <w:pPr>
        <w:pStyle w:val="TextBody"/>
        <w:jc w:val="both"/>
        <w:rPr/>
      </w:pPr>
      <w:r>
        <w:rPr/>
        <w:t>I, Patrick A. McGowan, the Chief Financial Officer of GeneMax Corp., certify that:</w:t>
      </w:r>
    </w:p>
    <w:p>
      <w:pPr>
        <w:pStyle w:val="TextBody"/>
        <w:numPr>
          <w:ilvl w:val="0"/>
          <w:numId w:val="15"/>
        </w:numPr>
        <w:tabs>
          <w:tab w:val="clear" w:pos="1134"/>
          <w:tab w:val="left" w:pos="707" w:leader="none"/>
        </w:tabs>
        <w:ind w:left="707" w:hanging="283"/>
        <w:rPr/>
      </w:pPr>
      <w:r>
        <w:rPr/>
        <w:t>I have reviewed this Report on Form10-QSB for the period from December 31, 2005 to March 31, 2006 of GeneMax Corp.;</w:t>
      </w:r>
    </w:p>
    <w:p>
      <w:pPr>
        <w:pStyle w:val="TextBody"/>
        <w:numPr>
          <w:ilvl w:val="0"/>
          <w:numId w:val="15"/>
        </w:numPr>
        <w:tabs>
          <w:tab w:val="clear" w:pos="1134"/>
          <w:tab w:val="left" w:pos="707" w:leader="none"/>
        </w:tabs>
        <w:ind w:left="707" w:hanging="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numPr>
          <w:ilvl w:val="0"/>
          <w:numId w:val="15"/>
        </w:numPr>
        <w:tabs>
          <w:tab w:val="clear" w:pos="1134"/>
          <w:tab w:val="left" w:pos="707" w:leader="none"/>
        </w:tabs>
        <w:ind w:left="707"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numPr>
          <w:ilvl w:val="0"/>
          <w:numId w:val="15"/>
        </w:numPr>
        <w:tabs>
          <w:tab w:val="clear" w:pos="1134"/>
          <w:tab w:val="left" w:pos="707" w:leader="none"/>
        </w:tabs>
        <w:ind w:left="707" w:hanging="283"/>
        <w:rPr/>
      </w:pPr>
      <w:r>
        <w:rPr/>
        <w:t>The registrant's other certifying officers and I are responsible for establishing and maintaining disclosure controls and procedures (as defined in Exchange Act Rules 13a-15(e) and 15d-15(e)) for the registrant and have:</w:t>
      </w:r>
    </w:p>
    <w:p>
      <w:pPr>
        <w:pStyle w:val="TextBody"/>
        <w:numPr>
          <w:ilvl w:val="1"/>
          <w:numId w:val="15"/>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numPr>
          <w:ilvl w:val="1"/>
          <w:numId w:val="15"/>
        </w:numPr>
        <w:tabs>
          <w:tab w:val="clear" w:pos="1134"/>
          <w:tab w:val="left" w:pos="1414" w:leader="none"/>
        </w:tabs>
        <w:ind w:left="1414" w:hanging="283"/>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numPr>
          <w:ilvl w:val="1"/>
          <w:numId w:val="15"/>
        </w:numPr>
        <w:tabs>
          <w:tab w:val="clear" w:pos="1134"/>
          <w:tab w:val="left" w:pos="1414" w:leader="none"/>
        </w:tabs>
        <w:ind w:left="1414" w:hanging="283"/>
        <w:rPr/>
      </w:pPr>
      <w:r>
        <w:rPr/>
        <w:t>disclosed in this Report any change in the registrant's internal control over financial reporting that occurred during the registrant's most recent fiscal year end that has materially affected, or is reasonably likely to materially affect, the registrant's internal control over financial reporting; and</w:t>
      </w:r>
    </w:p>
    <w:p>
      <w:pPr>
        <w:pStyle w:val="TextBody"/>
        <w:numPr>
          <w:ilvl w:val="0"/>
          <w:numId w:val="15"/>
        </w:numPr>
        <w:tabs>
          <w:tab w:val="clear" w:pos="1134"/>
          <w:tab w:val="left" w:pos="707" w:leader="none"/>
        </w:tabs>
        <w:ind w:left="707" w:hanging="283"/>
        <w:rPr/>
      </w:pPr>
      <w:r>
        <w:rPr/>
        <w:t>The registrant's other certifying officer(s) and I have disclosed, based on our most recent evaluation of the internal control over financial reporting, to the registrant's auditors and the audit committee of registrant's board of directors (or persons performing the equivalent functions):</w:t>
      </w:r>
    </w:p>
    <w:p>
      <w:pPr>
        <w:pStyle w:val="TextBody"/>
        <w:numPr>
          <w:ilvl w:val="1"/>
          <w:numId w:val="15"/>
        </w:numPr>
        <w:tabs>
          <w:tab w:val="clear" w:pos="1134"/>
          <w:tab w:val="left" w:pos="1414" w:leader="none"/>
        </w:tabs>
        <w:ind w:left="1414" w:hanging="283"/>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numPr>
          <w:ilvl w:val="1"/>
          <w:numId w:val="15"/>
        </w:numPr>
        <w:tabs>
          <w:tab w:val="clear" w:pos="1134"/>
          <w:tab w:val="left" w:pos="1414" w:leader="none"/>
        </w:tabs>
        <w:ind w:left="1414" w:hanging="283"/>
        <w:rPr/>
      </w:pPr>
      <w:r>
        <w:rPr/>
        <w:t>any fraud, whether or not material, that involves management or other employees who have a significant role in the registrant's internal control over financial reporting.</w:t>
      </w:r>
    </w:p>
    <w:p>
      <w:pPr>
        <w:pStyle w:val="TextBody"/>
        <w:jc w:val="left"/>
        <w:rPr/>
      </w:pPr>
      <w:r>
        <w:rPr/>
        <w:t>Date:         May 18, 2006</w:t>
      </w:r>
    </w:p>
    <w:p>
      <w:pPr>
        <w:pStyle w:val="TextBody"/>
        <w:jc w:val="left"/>
        <w:rPr/>
      </w:pPr>
      <w:r>
        <w:rPr/>
        <w:t>            </w:t>
      </w:r>
      <w:r>
        <w:rPr/>
        <w:t>/s/"Patrick A. McGowan"</w:t>
        <w:br/>
        <w:t xml:space="preserve">___________________________________ </w:t>
        <w:br/>
        <w:t>By:        Patrick A. McGowan</w:t>
        <w:br/>
        <w:t>Title:     Chief Financial Officer</w:t>
      </w:r>
      <w:r>
        <w:br w:type="page"/>
      </w:r>
    </w:p>
    <w:p>
      <w:pPr>
        <w:pStyle w:val="TextBody"/>
        <w:jc w:val="right"/>
        <w:rPr>
          <w:b/>
        </w:rPr>
      </w:pPr>
      <w:bookmarkStart w:id="17" w:name="_Toc1351010482"/>
      <w:bookmarkStart w:id="18" w:name="ex32_1.htm"/>
      <w:bookmarkStart w:id="19" w:name="ksex32_1"/>
      <w:bookmarkEnd w:id="17"/>
      <w:bookmarkEnd w:id="18"/>
      <w:bookmarkEnd w:id="19"/>
      <w:r>
        <w:rPr>
          <w:b/>
        </w:rPr>
        <w:commentReference w:id="6"/>
      </w:r>
      <w:r>
        <w:rPr>
          <w:b/>
        </w:rPr>
        <w:commentReference w:id="7"/>
      </w:r>
      <w:r>
        <w:rPr>
          <w:b/>
        </w:rPr>
        <w:commentReference w:id="8"/>
      </w:r>
      <w:r>
        <w:rPr>
          <w:b/>
        </w:rPr>
        <w:commentReference w:id="9"/>
      </w:r>
      <w:r>
        <w:rPr>
          <w:b/>
        </w:rPr>
        <w:commentReference w:id="10"/>
      </w:r>
      <w:r>
        <w:rPr>
          <w:b/>
        </w:rPr>
        <w:commentReference w:id="11"/>
      </w:r>
      <w:r>
        <w:rPr>
          <w:b/>
        </w:rPr>
        <w:t>Exhibit 32.1</w:t>
      </w:r>
    </w:p>
    <w:p>
      <w:pPr>
        <w:pStyle w:val="TextBody"/>
        <w:jc w:val="center"/>
        <w:rPr>
          <w:b/>
        </w:rPr>
      </w:pPr>
      <w:r>
        <w:rPr>
          <w:b/>
        </w:rPr>
        <w:t xml:space="preserve">CERTIFICATION OF CHIEF EXECUTIVE OFFICER AND CHIEF FINANCIAL OFFICER </w:t>
        <w:br/>
        <w:t xml:space="preserve">PURSUANT TO </w:t>
      </w:r>
    </w:p>
    <w:p>
      <w:pPr>
        <w:pStyle w:val="TextBody"/>
        <w:jc w:val="center"/>
        <w:rPr>
          <w:b/>
        </w:rPr>
      </w:pPr>
      <w:r>
        <w:rPr>
          <w:b/>
        </w:rPr>
        <w:t>18 U.S.C. SECTION 1350,</w:t>
        <w:br/>
        <w:t>AS ADOPTED PURSUANT TO</w:t>
        <w:br/>
        <w:t>SECTION 906 OF THE SARBANES-OXLEY ACT OF 2002</w:t>
      </w:r>
    </w:p>
    <w:p>
      <w:pPr>
        <w:pStyle w:val="TextBody"/>
        <w:jc w:val="both"/>
        <w:rPr/>
      </w:pPr>
      <w:r>
        <w:rPr/>
        <w:t xml:space="preserve">The undersigned, Aris Morfopoulos, the Chief Executive Officer of GeneMax Corp., and Patrick A. McGowan, the Chief Financial Officer of GeneMax Corp., each hereby certifies, pursuant to 18 U.S.C. Section 1350, as adopted pursuant to Section 906 of the Sarbanes-Oxley Act of 2002, that the Report on Form 10-QSB of GeneMax Corp., for the period from December 31, 2005 to March 31, 2006, fully complies with the requirements of Section 13(a) or 15(d) of the Securities Exchange Act of 1934, and that the information contained in the Report on Form 10-QSB fairly presents in all material respects the financial condition and results of operations of GeneMax Corp.. </w:t>
      </w:r>
    </w:p>
    <w:p>
      <w:pPr>
        <w:pStyle w:val="TextBody"/>
        <w:jc w:val="left"/>
        <w:rPr/>
      </w:pPr>
      <w:r>
        <w:rPr/>
        <w:t>Date: May 18, 2006</w:t>
      </w:r>
    </w:p>
    <w:tbl>
      <w:tblPr>
        <w:tblW w:w="5340" w:type="dxa"/>
        <w:jc w:val="left"/>
        <w:tblInd w:w="0" w:type="dxa"/>
        <w:tblCellMar>
          <w:top w:w="28" w:type="dxa"/>
          <w:left w:w="28" w:type="dxa"/>
          <w:bottom w:w="28" w:type="dxa"/>
          <w:right w:w="28" w:type="dxa"/>
        </w:tblCellMar>
      </w:tblPr>
      <w:tblGrid>
        <w:gridCol w:w="640"/>
        <w:gridCol w:w="4700"/>
      </w:tblGrid>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w:t>
            </w:r>
            <w:r>
              <w:rPr>
                <w:i/>
                <w:sz w:val="20"/>
              </w:rPr>
              <w:t>Aris Morfopoulos</w:t>
            </w:r>
            <w:r>
              <w:rPr>
                <w:sz w:val="20"/>
              </w:rPr>
              <w:t>"</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pPr>
            <w:r>
              <w:rPr/>
              <w:t xml:space="preserve">Aris Morfopoulos </w:t>
              <w:br/>
              <w:t>President, Chief Executive Officer, Principal Executive Officer and a director</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/s/"</w:t>
            </w:r>
            <w:r>
              <w:rPr>
                <w:i/>
                <w:sz w:val="20"/>
              </w:rPr>
              <w:t>Patrick A. McGowan</w:t>
            </w:r>
            <w:r>
              <w:rPr>
                <w:sz w:val="20"/>
              </w:rPr>
              <w:t>"</w:t>
              <w:br/>
              <w:t>__________________________________</w:t>
            </w:r>
          </w:p>
        </w:tc>
      </w:tr>
      <w:tr>
        <w:trPr/>
        <w:tc>
          <w:tcPr>
            <w:tcW w:w="640"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left"/>
              <w:rPr>
                <w:sz w:val="20"/>
              </w:rPr>
            </w:pPr>
            <w:r>
              <w:rPr>
                <w:sz w:val="20"/>
              </w:rPr>
              <w:t>Patrick A. McGowan</w:t>
              <w:br/>
              <w:t xml:space="preserve">Secretary, Treasurer, Chief Financial Officer and Principal Accounting Officer </w:t>
            </w:r>
          </w:p>
        </w:tc>
      </w:tr>
    </w:tbl>
    <w:p>
      <w:pPr>
        <w:pStyle w:val="TextBody"/>
        <w:spacing w:before="0" w:after="283"/>
        <w:jc w:val="both"/>
        <w:rPr/>
      </w:pPr>
      <w:r>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GeneMax Corp. and will be retained by GeneMax Corp. and furnished to the Securities and Exchange Commission or its staff upon request.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3T21:39:20Z" w:initials="">
    <w:p>
      <w:r>
        <w:rPr>
          <w:lang w:val="en-US" w:eastAsia="en-US" w:bidi="en-US"/>
        </w:rPr>
        <w:t>HTML: &lt;meta name="" content="text/html; charset=windows-1252"&gt;</w:t>
      </w:r>
    </w:p>
  </w:comment>
  <w:comment w:id="1" w:author="" w:date="2020-02-23T21:39:20Z" w:initials="">
    <w:p>
      <w:r>
        <w:rPr>
          <w:lang w:val="en-US" w:eastAsia="en-US" w:bidi="en-US"/>
        </w:rPr>
        <w:t>HTML: &lt;meta name="FOOTERPATH" content="3725.001\0366"&gt;</w:t>
      </w:r>
    </w:p>
  </w:comment>
  <w:comment w:id="2" w:author="" w:date="2020-02-23T21:39:20Z" w:initials="">
    <w:p>
      <w:r>
        <w:rPr>
          <w:lang w:val="en-US" w:eastAsia="en-US" w:bidi="en-US"/>
        </w:rPr>
        <w:t>HTML: &lt;meta name="APPLYRBROFOOTER" content="YES"&gt;</w:t>
      </w:r>
    </w:p>
  </w:comment>
  <w:comment w:id="3" w:author="" w:date="2020-02-23T21:39:20Z" w:initials="">
    <w:p>
      <w:r>
        <w:rPr>
          <w:lang w:val="en-US" w:eastAsia="en-US" w:bidi="en-US"/>
        </w:rPr>
        <w:t>HTML: &lt;meta name="OPTIONS" content="2100"&gt;</w:t>
      </w:r>
    </w:p>
  </w:comment>
  <w:comment w:id="4" w:author="" w:date="2020-02-23T21:39:20Z" w:initials="">
    <w:p>
      <w:r>
        <w:rPr>
          <w:lang w:val="en-US" w:eastAsia="en-US" w:bidi="en-US"/>
        </w:rPr>
        <w:t>HTML: &lt;meta name="RBROFOOTER" content="1194527.1"&gt;</w:t>
      </w:r>
    </w:p>
  </w:comment>
  <w:comment w:id="5" w:author="" w:date="2020-02-23T21:39:20Z" w:initials="">
    <w:p>
      <w:r>
        <w:rPr>
          <w:lang w:val="en-US" w:eastAsia="en-US" w:bidi="en-US"/>
        </w:rPr>
        <w:t>HTML: &lt;meta name="Template" content="C:\EDGARizerTools\EDGARizer.dot"&gt;</w:t>
      </w:r>
    </w:p>
  </w:comment>
  <w:comment w:id="6" w:author="" w:date="2020-02-23T21:39:20Z" w:initials="">
    <w:p>
      <w:r>
        <w:rPr>
          <w:lang w:val="en-US" w:eastAsia="en-US" w:bidi="en-US"/>
        </w:rPr>
        <w:t>HTML: &lt;meta name="" content="text/html; charset=windows-1252"&gt;</w:t>
      </w:r>
    </w:p>
  </w:comment>
  <w:comment w:id="7" w:author="" w:date="2020-02-23T21:39:20Z" w:initials="">
    <w:p>
      <w:r>
        <w:rPr>
          <w:lang w:val="en-US" w:eastAsia="en-US" w:bidi="en-US"/>
        </w:rPr>
        <w:t>HTML: &lt;meta name="FOOTERPATH" content="3725.001\0366"&gt;</w:t>
      </w:r>
    </w:p>
  </w:comment>
  <w:comment w:id="8" w:author="" w:date="2020-02-23T21:39:20Z" w:initials="">
    <w:p>
      <w:r>
        <w:rPr>
          <w:lang w:val="en-US" w:eastAsia="en-US" w:bidi="en-US"/>
        </w:rPr>
        <w:t>HTML: &lt;meta name="APPLYRBROFOOTER" content="YES"&gt;</w:t>
      </w:r>
    </w:p>
  </w:comment>
  <w:comment w:id="9" w:author="" w:date="2020-02-23T21:39:20Z" w:initials="">
    <w:p>
      <w:r>
        <w:rPr>
          <w:lang w:val="en-US" w:eastAsia="en-US" w:bidi="en-US"/>
        </w:rPr>
        <w:t>HTML: &lt;meta name="OPTIONS" content="2100"&gt;</w:t>
      </w:r>
    </w:p>
  </w:comment>
  <w:comment w:id="10" w:author="" w:date="2020-02-23T21:39:20Z" w:initials="">
    <w:p>
      <w:r>
        <w:rPr>
          <w:lang w:val="en-US" w:eastAsia="en-US" w:bidi="en-US"/>
        </w:rPr>
        <w:t>HTML: &lt;meta name="RBROFOOTER" content="1194527.1"&gt;</w:t>
      </w:r>
    </w:p>
  </w:comment>
  <w:comment w:id="11" w:author="" w:date="2020-02-23T21:39:20Z" w:initials="">
    <w:p>
      <w:r>
        <w:rPr>
          <w:lang w:val="en-US" w:eastAsia="en-US" w:bidi="en-US"/>
        </w:rPr>
        <w:t>HTML: &lt;meta name="Template" content="C:\EDGARizerTools\EDGARizer.dot"&gt;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Liberation Mono">
    <w:altName w:val="Courier New"/>
    <w:charset w:val="00"/>
    <w:family w:val="modern"/>
    <w:pitch w:val="fixed"/>
  </w:font>
  <w:font w:name="Courier New">
    <w:charset w:val="00"/>
    <w:family w:val="auto"/>
    <w:pitch w:val="default"/>
  </w:font>
  <w:font w:name="'Times New Roman'">
    <w:altName w:val="time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3">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4">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decimal"/>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13">
    <w:lvl w:ilvl="0">
      <w:start w:val="1"/>
      <w:numFmt w:val="decimal"/>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14">
    <w:lvl w:ilvl="0">
      <w:start w:val="1"/>
      <w:numFmt w:val="decimal"/>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15">
    <w:lvl w:ilvl="0">
      <w:start w:val="1"/>
      <w:numFmt w:val="decimal"/>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Quotations">
    <w:name w:val="Quotations"/>
    <w:basedOn w:val="Normal"/>
    <w:qFormat/>
    <w:pPr>
      <w:spacing w:before="0" w:after="283"/>
      <w:ind w:left="567" w:right="567" w:hanging="0"/>
    </w:pPr>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16407</Words>
  <CharactersWithSpaces>106126</CharactersWithSpaces>
  <Paragraphs>1103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EX32_1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FOOTERPATH">
    <vt:lpwstr>3725.001\0366</vt:lpwstr>
  </property>
  <property fmtid="{D5CDD505-2E9C-101B-9397-08002B2CF9AE}" pid="5" name="OPTIONS">
    <vt:lpwstr>2100</vt:lpwstr>
  </property>
  <property fmtid="{D5CDD505-2E9C-101B-9397-08002B2CF9AE}" pid="6" name="RBROFOOTER">
    <vt:lpwstr>1194527.1</vt:lpwstr>
  </property>
  <property fmtid="{D5CDD505-2E9C-101B-9397-08002B2CF9AE}" pid="7" name="Template">
    <vt:lpwstr>C:\EDGARizerTools\EDGARizer.dot</vt:lpwstr>
  </property>
</Properties>
</file>