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57055L107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John R. Wilson</w:t>
      </w:r>
    </w:p>
    <w:p>
      <w:pPr>
        <w:spacing w:after="0" w:line="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0000FF"/>
        </w:rPr>
        <w:t>2100 Old Highway 8 NW,</w:t>
      </w:r>
    </w:p>
    <w:p>
      <w:pPr>
        <w:ind w:left="3900"/>
        <w:spacing w:after="0" w:line="230" w:lineRule="auto"/>
        <w:rPr>
          <w:sz w:val="20"/>
          <w:szCs w:val="20"/>
          <w:color w:val="auto"/>
        </w:rPr>
      </w:pPr>
      <w:r>
        <w:rPr>
          <w:rFonts w:ascii="Times New Roman" w:cs="Times New Roman" w:eastAsia="Times New Roman" w:hAnsi="Times New Roman"/>
          <w:sz w:val="22"/>
          <w:szCs w:val="22"/>
          <w:b w:val="1"/>
          <w:bCs w:val="1"/>
          <w:color w:val="0000FF"/>
        </w:rPr>
        <w:t>St. Paul, MN, 55112</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651-628-9259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John R. Wilson TTE, John R. Wilson Revocable Trust U/A DTD 08/03/2017</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641,801.00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641,801.00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641,801.00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4.96 %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*Such percentage was calculated based upon an aggregate of 12,938,910 Issuer shares of common stock</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outstanding as of August 4, 2025 as represented by the Issuer's Report on Form 10-Q filed with the Securities</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80"/>
              <w:spacing w:after="0" w:line="240" w:lineRule="exact"/>
              <w:rPr>
                <w:sz w:val="20"/>
                <w:szCs w:val="20"/>
                <w:color w:val="auto"/>
              </w:rPr>
            </w:pPr>
            <w:r>
              <w:rPr>
                <w:rFonts w:ascii="Times New Roman" w:cs="Times New Roman" w:eastAsia="Times New Roman" w:hAnsi="Times New Roman"/>
                <w:sz w:val="22"/>
                <w:szCs w:val="22"/>
                <w:color w:val="auto"/>
              </w:rPr>
              <w:t>and Exchange Commission on August 14, 2025.</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-5400675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Marker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2450 HOLCOMBE BLVD, TMC PARTNERS OFFICE 1.311, HOUSTON, TEXAS , 77021.</w:t>
      </w:r>
    </w:p>
    <w:p>
      <w:pPr>
        <w:spacing w:after="0" w:line="20" w:lineRule="exact"/>
        <w:rPr>
          <w:sz w:val="20"/>
          <w:szCs w:val="20"/>
          <w:color w:val="auto"/>
        </w:rPr>
      </w:pPr>
    </w:p>
    <w:p>
      <w:pPr>
        <w:jc w:val="right"/>
        <w:ind w:left="40" w:right="40"/>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(this "Schedule") relates to the common stock, par value $0.001 per share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("Common Stock"), of Marker Therapeutics, Inc., a Delaware corporation (the "Issuer"). The principal executive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offices of the Issuer are located at 2450 Holcombe Blvd, Suite BCM-A, MS: BCM251 Houston, Texas. This Amendment No. 2 is being filed to report that the beneficial ownership of Common Stock by the Reporting Person</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has decreased to less than 5% as a result of the sales reported on Schedule A.</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is being filed by John R. Wilson TTE, John R. Wilson Revocable Trust U/A DTD 08/03/2017 (the</w:t>
      </w:r>
    </w:p>
    <w:p>
      <w:pPr>
        <w:sectPr>
          <w:pgSz w:w="11900" w:h="16838" w:orient="portrait"/>
          <w:cols w:equalWidth="0" w:num="1">
            <w:col w:w="11240"/>
          </w:cols>
          <w:pgMar w:left="320" w:top="126" w:right="339" w:bottom="0" w:gutter="0" w:footer="0" w:header="0"/>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"Trust").</w:t>
      </w:r>
    </w:p>
    <w:p>
      <w:pPr>
        <w:spacing w:after="0" w:line="45"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Person's business address is 2100 Old Highway 8 NW, St. Paul, MN 55112.</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 trust.</w:t>
      </w:r>
    </w:p>
    <w:p>
      <w:pPr>
        <w:spacing w:after="0" w:line="44" w:lineRule="exact"/>
        <w:rPr>
          <w:rFonts w:ascii="Times New Roman" w:cs="Times New Roman" w:eastAsia="Times New Roman" w:hAnsi="Times New Roman"/>
          <w:sz w:val="22"/>
          <w:szCs w:val="22"/>
          <w:color w:val="auto"/>
        </w:rPr>
      </w:pPr>
    </w:p>
    <w:p>
      <w:pPr>
        <w:ind w:left="920" w:right="7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has not been convicted in a criminal proceeding in the last five years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Reporting Person has not,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6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the trustee of the revocable trust which holds the Common Stock.</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right="2200" w:firstLine="918"/>
        <w:spacing w:after="0" w:line="281" w:lineRule="auto"/>
        <w:rPr>
          <w:sz w:val="20"/>
          <w:szCs w:val="20"/>
          <w:color w:val="auto"/>
        </w:rPr>
      </w:pPr>
      <w:r>
        <w:rPr>
          <w:rFonts w:ascii="Times New Roman" w:cs="Times New Roman" w:eastAsia="Times New Roman" w:hAnsi="Times New Roman"/>
          <w:sz w:val="22"/>
          <w:szCs w:val="22"/>
          <w:color w:val="auto"/>
        </w:rPr>
        <w:t>The information set forth in Item 3 of Amendment No. 1 is incorporated herein by reference. Item 4. Purpose of Transaction</w:t>
      </w:r>
    </w:p>
    <w:p>
      <w:pPr>
        <w:spacing w:after="0" w:line="2" w:lineRule="exact"/>
        <w:rPr>
          <w:sz w:val="20"/>
          <w:szCs w:val="20"/>
          <w:color w:val="auto"/>
        </w:rPr>
      </w:pPr>
    </w:p>
    <w:p>
      <w:pPr>
        <w:ind w:right="2200" w:firstLine="918"/>
        <w:spacing w:after="0" w:line="281" w:lineRule="auto"/>
        <w:rPr>
          <w:sz w:val="20"/>
          <w:szCs w:val="20"/>
          <w:color w:val="auto"/>
        </w:rPr>
      </w:pPr>
      <w:r>
        <w:rPr>
          <w:rFonts w:ascii="Times New Roman" w:cs="Times New Roman" w:eastAsia="Times New Roman" w:hAnsi="Times New Roman"/>
          <w:sz w:val="22"/>
          <w:szCs w:val="22"/>
          <w:color w:val="auto"/>
        </w:rPr>
        <w:t>The information set forth in Item 4 of Amendment No. 1 is incorporated herein by reference. Item 5. Interest in Securities of the Issuer</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On the date hereof, the Reporting Person beneficially owns 641,801 shares of Common Stock, which comprises</w:t>
      </w:r>
    </w:p>
    <w:p>
      <w:pPr>
        <w:spacing w:after="0" w:line="14" w:lineRule="exact"/>
        <w:rPr>
          <w:sz w:val="20"/>
          <w:szCs w:val="20"/>
          <w:color w:val="auto"/>
        </w:rPr>
      </w:pPr>
    </w:p>
    <w:p>
      <w:pPr>
        <w:ind w:left="920" w:right="6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4.96% of the Common Stock of the Issuer. As of, August 4, 2025, there were 12,938,910 shares of Common Stock of the Issuer issued and outstanding as represented by the Issuer's Report on Form 10-Q filed with the Securities and Exchange Commission on August 14, 2025.</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has the sole power to vote the shares beneficially owned.</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transactions effected during the past 60 days by the Reporting Person are set forth on Exhibit A, attached hereto.</w:t>
      </w:r>
    </w:p>
    <w:p>
      <w:pPr>
        <w:spacing w:after="0" w:line="55" w:lineRule="exact"/>
        <w:rPr>
          <w:rFonts w:ascii="Times New Roman" w:cs="Times New Roman" w:eastAsia="Times New Roman" w:hAnsi="Times New Roman"/>
          <w:sz w:val="21"/>
          <w:szCs w:val="21"/>
          <w:color w:val="auto"/>
        </w:rPr>
      </w:pPr>
    </w:p>
    <w:p>
      <w:pPr>
        <w:ind w:left="920" w:right="3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Only the Reporting Person has the right to receive or the power to direct the receipt of dividends from, or proceeds from the sale of, the shares of Common Stock reported by this statement.</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660" w:hanging="917"/>
        <w:spacing w:after="0" w:line="281"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John R. Wilson resigned from the Issuer's Board of Directors on January 24, 2025.</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 Schedule A dated as of August 19, 2025.</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John R. Wilson TTE, John R. Wilson Revocable Trust U/A</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DTD 08/03/2017</w:t>
      </w:r>
    </w:p>
    <w:p>
      <w:pPr>
        <w:spacing w:after="0" w:line="128"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R. Wilson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John R. Wilson/Trustee</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08/20/2025</w:t>
      </w:r>
    </w:p>
    <w:p>
      <w:pPr>
        <w:sectPr>
          <w:pgSz w:w="11900" w:h="16838" w:orient="portrait"/>
          <w:cols w:equalWidth="0" w:num="1">
            <w:col w:w="11140"/>
          </w:cols>
          <w:pgMar w:left="360" w:top="111"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9"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This Schedule sets forth information with respect to each purchase and sale of Common Stock of the Issuer which were effectuated by Reporting Persons during the past sixty (60) days. All transactions were effectuated in the open market through a broker.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4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4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Type of</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Price Per</w:t>
            </w:r>
          </w:p>
        </w:tc>
      </w:tr>
      <w:tr>
        <w:trPr>
          <w:trHeight w:val="178"/>
        </w:trPr>
        <w:tc>
          <w:tcPr>
            <w:tcW w:w="55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8/19/25</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1.1422</w:t>
            </w:r>
          </w:p>
        </w:tc>
      </w:tr>
      <w:tr>
        <w:trPr>
          <w:trHeight w:val="216"/>
        </w:trPr>
        <w:tc>
          <w:tcPr>
            <w:tcW w:w="5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8/18/25</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1.2305</w:t>
            </w:r>
          </w:p>
        </w:tc>
      </w:tr>
      <w:tr>
        <w:trPr>
          <w:trHeight w:val="216"/>
        </w:trPr>
        <w:tc>
          <w:tcPr>
            <w:tcW w:w="5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8/15/25</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12,922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1.2493</w:t>
            </w:r>
          </w:p>
        </w:tc>
      </w:tr>
      <w:tr>
        <w:trPr>
          <w:trHeight w:val="216"/>
        </w:trPr>
        <w:tc>
          <w:tcPr>
            <w:tcW w:w="5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8/14/25</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11,869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1.2537</w:t>
            </w:r>
          </w:p>
        </w:tc>
      </w:tr>
      <w:tr>
        <w:trPr>
          <w:trHeight w:val="216"/>
        </w:trPr>
        <w:tc>
          <w:tcPr>
            <w:tcW w:w="5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8/13/25</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15,918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1.2898</w:t>
            </w:r>
          </w:p>
        </w:tc>
      </w:tr>
      <w:tr>
        <w:trPr>
          <w:trHeight w:val="216"/>
        </w:trPr>
        <w:tc>
          <w:tcPr>
            <w:tcW w:w="5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8/12/25</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1.2547</w:t>
            </w:r>
          </w:p>
        </w:tc>
      </w:tr>
      <w:tr>
        <w:trPr>
          <w:trHeight w:val="216"/>
        </w:trPr>
        <w:tc>
          <w:tcPr>
            <w:tcW w:w="5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8/12/25</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1.2154</w:t>
            </w:r>
          </w:p>
        </w:tc>
      </w:tr>
      <w:tr>
        <w:trPr>
          <w:trHeight w:val="216"/>
        </w:trPr>
        <w:tc>
          <w:tcPr>
            <w:tcW w:w="5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8/11/25</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15,377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1.1574</w:t>
            </w:r>
          </w:p>
        </w:tc>
      </w:tr>
      <w:tr>
        <w:trPr>
          <w:trHeight w:val="216"/>
        </w:trPr>
        <w:tc>
          <w:tcPr>
            <w:tcW w:w="5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8/8/25</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1.1968</w:t>
            </w:r>
          </w:p>
        </w:tc>
      </w:tr>
      <w:tr>
        <w:trPr>
          <w:trHeight w:val="216"/>
        </w:trPr>
        <w:tc>
          <w:tcPr>
            <w:tcW w:w="5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8/7/25</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14,546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1.1950</w:t>
            </w:r>
          </w:p>
        </w:tc>
      </w:tr>
      <w:tr>
        <w:trPr>
          <w:trHeight w:val="216"/>
        </w:trPr>
        <w:tc>
          <w:tcPr>
            <w:tcW w:w="5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8/6/25</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18,267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1.2117</w:t>
            </w:r>
          </w:p>
        </w:tc>
      </w:tr>
    </w:tbl>
    <w:p>
      <w:pPr>
        <w:spacing w:after="0" w:line="198" w:lineRule="exact"/>
        <w:rPr>
          <w:sz w:val="20"/>
          <w:szCs w:val="20"/>
          <w:color w:val="auto"/>
        </w:rPr>
      </w:pPr>
    </w:p>
    <w:p>
      <w:pPr>
        <w:ind w:right="200" w:firstLine="8"/>
        <w:spacing w:after="0" w:line="266"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reported are weighted-average prices and include commissions paid in per share prices. These shares of Common Stock were purchased in multiple transactions. Upon request, the Reporting Persons undertake to provide the Issuer, any security holder of the Issuer, or the SEC staff all information regarding the number of shares and price of each trade comprising the weighted average price and share amounts set forth in this Footnote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2025-08-20T16:01:45Z</dcterms:created>
  <dcterms:modified xsi:type="dcterms:W3CDTF">2025-08-20T16:01:45Z</dcterms:modified>
</cp:coreProperties>
</file>