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13D/A</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13)*</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COMMON STOCK, $0.0010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57055L107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March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98" w:lineRule="exact"/>
        <w:rPr>
          <w:sz w:val="24"/>
          <w:szCs w:val="24"/>
          <w:color w:val="auto"/>
        </w:rPr>
      </w:pPr>
    </w:p>
    <w:p>
      <w:pPr>
        <w:ind w:right="80"/>
        <w:spacing w:after="0" w:line="22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1" w:lineRule="exact"/>
        <w:rPr>
          <w:sz w:val="24"/>
          <w:szCs w:val="24"/>
          <w:color w:val="auto"/>
        </w:rPr>
      </w:pPr>
    </w:p>
    <w:p>
      <w:pPr>
        <w:ind w:right="180"/>
        <w:spacing w:after="0" w:line="271"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216" w:lineRule="exact"/>
        <w:rPr>
          <w:sz w:val="24"/>
          <w:szCs w:val="24"/>
          <w:color w:val="auto"/>
        </w:rPr>
      </w:pPr>
    </w:p>
    <w:p>
      <w:pPr>
        <w:ind w:right="480" w:firstLine="8"/>
        <w:spacing w:after="0" w:line="182" w:lineRule="auto"/>
        <w:tabs>
          <w:tab w:leader="none" w:pos="108"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80"/>
          </w:cols>
          <w:pgMar w:left="320" w:top="225" w:right="399" w:bottom="1440" w:gutter="0" w:footer="0" w:header="0"/>
        </w:sectPr>
      </w:pPr>
    </w:p>
    <w:bookmarkStart w:id="1" w:name="page2"/>
    <w:bookmarkEnd w:id="1"/>
    <w:p>
      <w:pPr>
        <w:spacing w:after="0"/>
        <w:tabs>
          <w:tab w:leader="none" w:pos="660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2</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460" w:hanging="345"/>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44" w:lineRule="exact"/>
        <w:rPr>
          <w:rFonts w:ascii="Arial" w:cs="Arial" w:eastAsia="Arial" w:hAnsi="Arial"/>
          <w:sz w:val="18"/>
          <w:szCs w:val="18"/>
          <w:color w:val="auto"/>
        </w:rPr>
      </w:pPr>
    </w:p>
    <w:p>
      <w:pPr>
        <w:ind w:left="460" w:right="5580" w:hanging="345"/>
        <w:spacing w:after="0" w:line="23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80" w:hanging="413"/>
        <w:spacing w:after="0" w:line="202" w:lineRule="exact"/>
        <w:tabs>
          <w:tab w:leader="none" w:pos="8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880" w:hanging="413"/>
        <w:spacing w:after="0" w:line="207" w:lineRule="exact"/>
        <w:tabs>
          <w:tab w:leader="none" w:pos="8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460" w:hanging="345"/>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60" w:hanging="345"/>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460" w:hanging="345"/>
        <w:spacing w:after="0" w:line="23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460" w:hanging="345"/>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1840" w:hanging="267"/>
        <w:spacing w:after="0"/>
        <w:tabs>
          <w:tab w:leader="none" w:pos="184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46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320" w:type="dxa"/>
            <w:vAlign w:val="bottom"/>
            <w:vMerge w:val="continue"/>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3,966,668</w:t>
            </w:r>
          </w:p>
        </w:tc>
        <w:tc>
          <w:tcPr>
            <w:tcW w:w="0" w:type="dxa"/>
            <w:vAlign w:val="bottom"/>
          </w:tcPr>
          <w:p>
            <w:pPr>
              <w:spacing w:after="0"/>
              <w:rPr>
                <w:sz w:val="1"/>
                <w:szCs w:val="1"/>
                <w:color w:val="auto"/>
              </w:rPr>
            </w:pPr>
          </w:p>
        </w:tc>
      </w:tr>
      <w:tr>
        <w:trPr>
          <w:trHeight w:val="95"/>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6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32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REPORTING</w:t>
            </w:r>
          </w:p>
        </w:tc>
        <w:tc>
          <w:tcPr>
            <w:tcW w:w="320" w:type="dxa"/>
            <w:vAlign w:val="bottom"/>
          </w:tcPr>
          <w:p>
            <w:pPr>
              <w:spacing w:after="0"/>
              <w:rPr>
                <w:sz w:val="17"/>
                <w:szCs w:val="17"/>
                <w:color w:val="auto"/>
              </w:rPr>
            </w:pP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rPr>
              <w:t>PERSON WITH</w:t>
            </w:r>
          </w:p>
        </w:tc>
        <w:tc>
          <w:tcPr>
            <w:tcW w:w="320" w:type="dxa"/>
            <w:vAlign w:val="bottom"/>
            <w:tcBorders>
              <w:bottom w:val="single" w:sz="8" w:color="auto"/>
            </w:tcBorders>
          </w:tcPr>
          <w:p>
            <w:pPr>
              <w:spacing w:after="0"/>
              <w:rPr>
                <w:sz w:val="9"/>
                <w:szCs w:val="9"/>
                <w:color w:val="auto"/>
              </w:rPr>
            </w:pPr>
          </w:p>
        </w:tc>
        <w:tc>
          <w:tcPr>
            <w:tcW w:w="9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6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94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3,966,668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11.</w:t>
        <w:tab/>
        <w:t>AGGREGATE AMOUNT BENEFICIALLY OWNED BY EACH REPORTING PERSON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3,966,668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 w:right="3360" w:hanging="439"/>
        <w:spacing w:after="0" w:line="220" w:lineRule="exact"/>
        <w:tabs>
          <w:tab w:leader="none" w:pos="440" w:val="left"/>
        </w:tabs>
        <w:rPr>
          <w:sz w:val="20"/>
          <w:szCs w:val="20"/>
          <w:color w:val="auto"/>
        </w:rPr>
      </w:pPr>
      <w:r>
        <w:rPr>
          <w:rFonts w:ascii="Arial" w:cs="Arial" w:eastAsia="Arial" w:hAnsi="Arial"/>
          <w:sz w:val="18"/>
          <w:szCs w:val="18"/>
          <w:color w:val="auto"/>
        </w:rPr>
        <w:t>12.</w:t>
        <w:tab/>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13.</w:t>
        <w:tab/>
        <w:t>PERCENT OF CLASS REPRESENTED BY AMOUNT IN ROW (11)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14.</w:t>
        <w:tab/>
        <w:t>TYPE OF REPORTING PERSON (see instructions)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 As of the filing date and as described in Items 4, 5(a) and 5(b), Eastern Capital Limited beneficially owns 3,550,001 shares of Common Stock and 416,667 shares of Common Stock issuable upon exercise of the Series F-1 Warrant.</w:t>
      </w:r>
    </w:p>
    <w:p>
      <w:pPr>
        <w:sectPr>
          <w:pgSz w:w="11900" w:h="16838" w:orient="portrait"/>
          <w:cols w:equalWidth="0" w:num="1">
            <w:col w:w="11240"/>
          </w:cols>
          <w:pgMar w:left="320" w:top="873" w:right="339" w:bottom="1440" w:gutter="0" w:footer="0" w:header="0"/>
        </w:sectPr>
      </w:pPr>
    </w:p>
    <w:bookmarkStart w:id="2" w:name="page3"/>
    <w:bookmarkEnd w:id="2"/>
    <w:p>
      <w:pPr>
        <w:spacing w:after="0"/>
        <w:tabs>
          <w:tab w:leader="none" w:pos="660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3</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460" w:right="5580" w:hanging="345"/>
        <w:spacing w:after="0" w:line="23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80" w:hanging="413"/>
        <w:spacing w:after="0" w:line="202" w:lineRule="exact"/>
        <w:tabs>
          <w:tab w:leader="none" w:pos="8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ind w:left="880" w:hanging="413"/>
        <w:spacing w:after="0" w:line="207" w:lineRule="exact"/>
        <w:tabs>
          <w:tab w:leader="none" w:pos="8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60" w:hanging="345"/>
        <w:spacing w:after="0" w:line="23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460" w:hanging="3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1840" w:hanging="267"/>
        <w:spacing w:after="0"/>
        <w:tabs>
          <w:tab w:leader="none" w:pos="18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46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320" w:type="dxa"/>
            <w:vAlign w:val="bottom"/>
            <w:vMerge w:val="continue"/>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3,966,668</w:t>
            </w:r>
          </w:p>
        </w:tc>
        <w:tc>
          <w:tcPr>
            <w:tcW w:w="0" w:type="dxa"/>
            <w:vAlign w:val="bottom"/>
          </w:tcPr>
          <w:p>
            <w:pPr>
              <w:spacing w:after="0"/>
              <w:rPr>
                <w:sz w:val="1"/>
                <w:szCs w:val="1"/>
                <w:color w:val="auto"/>
              </w:rPr>
            </w:pPr>
          </w:p>
        </w:tc>
      </w:tr>
      <w:tr>
        <w:trPr>
          <w:trHeight w:val="95"/>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6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32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REPORTING</w:t>
            </w:r>
          </w:p>
        </w:tc>
        <w:tc>
          <w:tcPr>
            <w:tcW w:w="320" w:type="dxa"/>
            <w:vAlign w:val="bottom"/>
          </w:tcPr>
          <w:p>
            <w:pPr>
              <w:spacing w:after="0"/>
              <w:rPr>
                <w:sz w:val="17"/>
                <w:szCs w:val="17"/>
                <w:color w:val="auto"/>
              </w:rPr>
            </w:pP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rPr>
              <w:t>PERSON WITH</w:t>
            </w:r>
          </w:p>
        </w:tc>
        <w:tc>
          <w:tcPr>
            <w:tcW w:w="320" w:type="dxa"/>
            <w:vAlign w:val="bottom"/>
            <w:tcBorders>
              <w:bottom w:val="single" w:sz="8" w:color="auto"/>
            </w:tcBorders>
          </w:tcPr>
          <w:p>
            <w:pPr>
              <w:spacing w:after="0"/>
              <w:rPr>
                <w:sz w:val="9"/>
                <w:szCs w:val="9"/>
                <w:color w:val="auto"/>
              </w:rPr>
            </w:pPr>
          </w:p>
        </w:tc>
        <w:tc>
          <w:tcPr>
            <w:tcW w:w="9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6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94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3,966,668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11.</w:t>
        <w:tab/>
        <w:t>AGGREGATE AMOUNT BENEFICIALLY OWNED BY EACH REPORTING PERSON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3,966,668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 w:right="3360" w:hanging="445"/>
        <w:spacing w:after="0" w:line="220" w:lineRule="exact"/>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460" w:hanging="445"/>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5.0%</w:t>
      </w:r>
    </w:p>
    <w:p>
      <w:pPr>
        <w:spacing w:after="0" w:line="31" w:lineRule="exact"/>
        <w:rPr>
          <w:rFonts w:ascii="Arial" w:cs="Arial" w:eastAsia="Arial" w:hAnsi="Arial"/>
          <w:sz w:val="18"/>
          <w:szCs w:val="18"/>
          <w:color w:val="auto"/>
        </w:rPr>
      </w:pPr>
    </w:p>
    <w:p>
      <w:pPr>
        <w:ind w:left="460" w:hanging="445"/>
        <w:spacing w:after="0"/>
        <w:tabs>
          <w:tab w:leader="none" w:pos="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right="20"/>
        <w:spacing w:after="0" w:line="23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Portfolio Services Ltd. beneficially owns 3,550,001 shares of Common Stock and 416,667 shares of Common Stock issuable upon exercise of the Series F-1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-607695</wp:posOffset>
            </wp:positionV>
            <wp:extent cx="64204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 w:name="page4"/>
    <w:bookmarkEnd w:id="3"/>
    <w:p>
      <w:pPr>
        <w:spacing w:after="0"/>
        <w:tabs>
          <w:tab w:leader="none" w:pos="660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4</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460" w:hanging="345"/>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44" w:lineRule="exact"/>
        <w:rPr>
          <w:rFonts w:ascii="Arial" w:cs="Arial" w:eastAsia="Arial" w:hAnsi="Arial"/>
          <w:sz w:val="18"/>
          <w:szCs w:val="18"/>
          <w:color w:val="auto"/>
        </w:rPr>
      </w:pPr>
    </w:p>
    <w:p>
      <w:pPr>
        <w:ind w:left="460" w:right="5580" w:hanging="345"/>
        <w:spacing w:after="0" w:line="23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80" w:hanging="413"/>
        <w:spacing w:after="0" w:line="202" w:lineRule="exact"/>
        <w:tabs>
          <w:tab w:leader="none" w:pos="8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880" w:hanging="413"/>
        <w:spacing w:after="0" w:line="207" w:lineRule="exact"/>
        <w:tabs>
          <w:tab w:leader="none" w:pos="8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460" w:hanging="345"/>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460" w:hanging="345"/>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460" w:hanging="345"/>
        <w:spacing w:after="0" w:line="23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4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0" w:lineRule="exact"/>
        <w:rPr>
          <w:rFonts w:ascii="Arial" w:cs="Arial" w:eastAsia="Arial" w:hAnsi="Arial"/>
          <w:sz w:val="18"/>
          <w:szCs w:val="18"/>
          <w:color w:val="auto"/>
        </w:rPr>
      </w:pPr>
    </w:p>
    <w:p>
      <w:pPr>
        <w:ind w:left="460" w:hanging="345"/>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47" w:lineRule="exact"/>
        <w:rPr>
          <w:rFonts w:ascii="Arial" w:cs="Arial" w:eastAsia="Arial" w:hAnsi="Arial"/>
          <w:sz w:val="18"/>
          <w:szCs w:val="18"/>
          <w:color w:val="auto"/>
        </w:rPr>
      </w:pPr>
    </w:p>
    <w:p>
      <w:pPr>
        <w:ind w:left="1840" w:hanging="267"/>
        <w:spacing w:after="0"/>
        <w:tabs>
          <w:tab w:leader="none" w:pos="18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-2118995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-1596390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-1330325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-935990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NUMBER OF</w:t>
            </w:r>
          </w:p>
        </w:tc>
        <w:tc>
          <w:tcPr>
            <w:tcW w:w="320" w:type="dxa"/>
            <w:vAlign w:val="bottom"/>
            <w:tcBorders>
              <w:bottom w:val="single" w:sz="8" w:color="auto"/>
            </w:tcBorders>
          </w:tcPr>
          <w:p>
            <w:pPr>
              <w:spacing w:after="0"/>
              <w:rPr>
                <w:sz w:val="17"/>
                <w:szCs w:val="17"/>
                <w:color w:val="auto"/>
              </w:rPr>
            </w:pPr>
          </w:p>
        </w:tc>
        <w:tc>
          <w:tcPr>
            <w:tcW w:w="94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460" w:type="dxa"/>
            <w:vAlign w:val="bottom"/>
            <w:vMerge w:val="continue"/>
          </w:tcPr>
          <w:p>
            <w:pPr>
              <w:spacing w:after="0"/>
              <w:rPr>
                <w:sz w:val="8"/>
                <w:szCs w:val="8"/>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320" w:type="dxa"/>
            <w:vAlign w:val="bottom"/>
            <w:vMerge w:val="continue"/>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4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w w:val="99"/>
              </w:rPr>
              <w:t>BENEFICIALLY</w:t>
            </w:r>
          </w:p>
        </w:tc>
        <w:tc>
          <w:tcPr>
            <w:tcW w:w="320" w:type="dxa"/>
            <w:vAlign w:val="bottom"/>
          </w:tcPr>
          <w:p>
            <w:pPr>
              <w:spacing w:after="0"/>
              <w:rPr>
                <w:sz w:val="17"/>
                <w:szCs w:val="17"/>
                <w:color w:val="auto"/>
              </w:rPr>
            </w:pPr>
          </w:p>
        </w:tc>
        <w:tc>
          <w:tcPr>
            <w:tcW w:w="9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3,966,668</w:t>
            </w:r>
          </w:p>
        </w:tc>
        <w:tc>
          <w:tcPr>
            <w:tcW w:w="0" w:type="dxa"/>
            <w:vAlign w:val="bottom"/>
          </w:tcPr>
          <w:p>
            <w:pPr>
              <w:spacing w:after="0"/>
              <w:rPr>
                <w:sz w:val="1"/>
                <w:szCs w:val="1"/>
                <w:color w:val="auto"/>
              </w:rPr>
            </w:pPr>
          </w:p>
        </w:tc>
      </w:tr>
      <w:tr>
        <w:trPr>
          <w:trHeight w:val="95"/>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OWNED BY</w:t>
            </w:r>
          </w:p>
        </w:tc>
        <w:tc>
          <w:tcPr>
            <w:tcW w:w="3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6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14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32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6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REPORTING</w:t>
            </w:r>
          </w:p>
        </w:tc>
        <w:tc>
          <w:tcPr>
            <w:tcW w:w="320" w:type="dxa"/>
            <w:vAlign w:val="bottom"/>
          </w:tcPr>
          <w:p>
            <w:pPr>
              <w:spacing w:after="0"/>
              <w:rPr>
                <w:sz w:val="17"/>
                <w:szCs w:val="17"/>
                <w:color w:val="auto"/>
              </w:rPr>
            </w:pPr>
          </w:p>
        </w:tc>
        <w:tc>
          <w:tcPr>
            <w:tcW w:w="94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color w:val="auto"/>
              </w:rPr>
              <w:t>PERSON WITH</w:t>
            </w:r>
          </w:p>
        </w:tc>
        <w:tc>
          <w:tcPr>
            <w:tcW w:w="320" w:type="dxa"/>
            <w:vAlign w:val="bottom"/>
            <w:tcBorders>
              <w:bottom w:val="single" w:sz="8" w:color="auto"/>
            </w:tcBorders>
          </w:tcPr>
          <w:p>
            <w:pPr>
              <w:spacing w:after="0"/>
              <w:rPr>
                <w:sz w:val="9"/>
                <w:szCs w:val="9"/>
                <w:color w:val="auto"/>
              </w:rPr>
            </w:pPr>
          </w:p>
        </w:tc>
        <w:tc>
          <w:tcPr>
            <w:tcW w:w="9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60" w:type="dxa"/>
            <w:vAlign w:val="bottom"/>
            <w:vMerge w:val="continue"/>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94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91"/>
        </w:trPr>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3,966,668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11.</w:t>
        <w:tab/>
        <w:t>AGGREGATE AMOUNT BENEFICIALLY OWNED BY EACH REPORTING PERSON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3,966,668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460" w:right="3360" w:hanging="445"/>
        <w:spacing w:after="0" w:line="220" w:lineRule="exact"/>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96" w:lineRule="exact"/>
        <w:rPr>
          <w:rFonts w:ascii="Arial" w:cs="Arial" w:eastAsia="Arial" w:hAnsi="Arial"/>
          <w:sz w:val="18"/>
          <w:szCs w:val="18"/>
          <w:color w:val="auto"/>
        </w:rPr>
      </w:pPr>
    </w:p>
    <w:p>
      <w:pPr>
        <w:ind w:left="460" w:hanging="445"/>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5.0%</w:t>
      </w:r>
    </w:p>
    <w:p>
      <w:pPr>
        <w:spacing w:after="0" w:line="31" w:lineRule="exact"/>
        <w:rPr>
          <w:rFonts w:ascii="Arial" w:cs="Arial" w:eastAsia="Arial" w:hAnsi="Arial"/>
          <w:sz w:val="18"/>
          <w:szCs w:val="18"/>
          <w:color w:val="auto"/>
        </w:rPr>
      </w:pPr>
    </w:p>
    <w:p>
      <w:pPr>
        <w:ind w:left="460" w:hanging="445"/>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*As of the filing date and as described in Items 4, 5(a) and 5(b), Kenneth B. Dart beneficially owns 3,550,001 shares of Common Stock and 416,667 shares of Common Stock issuable upon exercise of the Series F-1 Warrant.</w:t>
      </w:r>
    </w:p>
    <w:p>
      <w:pPr>
        <w:sectPr>
          <w:pgSz w:w="11900" w:h="16838" w:orient="portrait"/>
          <w:cols w:equalWidth="0" w:num="1">
            <w:col w:w="11240"/>
          </w:cols>
          <w:pgMar w:left="320" w:top="873" w:right="339" w:bottom="1440" w:gutter="0" w:footer="0" w:header="0"/>
        </w:sectPr>
      </w:pPr>
    </w:p>
    <w:bookmarkStart w:id="4" w:name="page5"/>
    <w:bookmarkEnd w:id="4"/>
    <w:p>
      <w:pPr>
        <w:spacing w:after="0"/>
        <w:tabs>
          <w:tab w:leader="none" w:pos="548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5</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320" w:lineRule="exact"/>
        <w:rPr>
          <w:sz w:val="20"/>
          <w:szCs w:val="20"/>
          <w:color w:val="auto"/>
        </w:rPr>
      </w:pPr>
    </w:p>
    <w:p>
      <w:pPr>
        <w:ind w:right="260"/>
        <w:spacing w:after="0" w:line="230" w:lineRule="auto"/>
        <w:rPr>
          <w:sz w:val="20"/>
          <w:szCs w:val="20"/>
          <w:color w:val="auto"/>
        </w:rPr>
      </w:pPr>
      <w:r>
        <w:rPr>
          <w:rFonts w:ascii="Arial" w:cs="Arial" w:eastAsia="Arial" w:hAnsi="Arial"/>
          <w:sz w:val="18"/>
          <w:szCs w:val="18"/>
          <w:b w:val="1"/>
          <w:bCs w:val="1"/>
          <w:color w:val="auto"/>
        </w:rPr>
        <w:t xml:space="preserve">Explanatory Note: </w:t>
      </w:r>
      <w:r>
        <w:rPr>
          <w:rFonts w:ascii="Arial" w:cs="Arial" w:eastAsia="Arial" w:hAnsi="Arial"/>
          <w:sz w:val="18"/>
          <w:szCs w:val="18"/>
          <w:color w:val="auto"/>
        </w:rPr>
        <w:t>This Amendment No. 13 to Schedule 13D (this “Amendment No. 13”) relates to shares of common stock, par value</w:t>
      </w:r>
      <w:r>
        <w:rPr>
          <w:rFonts w:ascii="Arial" w:cs="Arial" w:eastAsia="Arial" w:hAnsi="Arial"/>
          <w:sz w:val="18"/>
          <w:szCs w:val="18"/>
          <w:b w:val="1"/>
          <w:bCs w:val="1"/>
          <w:color w:val="auto"/>
        </w:rPr>
        <w:t xml:space="preserve"> </w:t>
      </w:r>
      <w:r>
        <w:rPr>
          <w:rFonts w:ascii="Arial" w:cs="Arial" w:eastAsia="Arial" w:hAnsi="Arial"/>
          <w:sz w:val="18"/>
          <w:szCs w:val="18"/>
          <w:color w:val="auto"/>
        </w:rPr>
        <w:t>$0.0010 per share (the “Common Stock”), of MARKER THERAPEUTICS, Inc., (the “Issuer”). This Amendment No. 13 amends the original Schedule 13D filed with the U.S. Securities and Exchange Commission (“SEC”) by the Reporting Persons as previously amended by Amendments No. 1 through 12 (the “Schedule 13D”). Except as otherwise specified in this Amendment No. 13, all previous Items are unchanged. Defined terms used herein but not otherwise defined have the meanings set forth in the Schedule 13D.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sold an aggregate 500,000 shares of the Issuer’s Common Stock in open market transactions.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4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3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Number of Shares Sold</w:t>
            </w:r>
          </w:p>
        </w:tc>
        <w:tc>
          <w:tcPr>
            <w:tcW w:w="5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Weighted Average Selling Price</w:t>
            </w:r>
          </w:p>
        </w:tc>
      </w:tr>
      <w:tr>
        <w:trPr>
          <w:trHeight w:val="94"/>
        </w:trPr>
        <w:tc>
          <w:tcPr>
            <w:tcW w:w="2400" w:type="dxa"/>
            <w:vAlign w:val="bottom"/>
            <w:tcBorders>
              <w:left w:val="single" w:sz="8" w:color="auto"/>
              <w:bottom w:val="single" w:sz="8" w:color="auto"/>
              <w:right w:val="single" w:sz="8" w:color="auto"/>
            </w:tcBorders>
          </w:tcPr>
          <w:p>
            <w:pPr>
              <w:spacing w:after="0"/>
              <w:rPr>
                <w:sz w:val="8"/>
                <w:szCs w:val="8"/>
                <w:color w:val="auto"/>
              </w:rPr>
            </w:pPr>
          </w:p>
        </w:tc>
        <w:tc>
          <w:tcPr>
            <w:tcW w:w="3820" w:type="dxa"/>
            <w:vAlign w:val="bottom"/>
            <w:tcBorders>
              <w:bottom w:val="single" w:sz="8" w:color="auto"/>
              <w:right w:val="single" w:sz="8" w:color="auto"/>
            </w:tcBorders>
          </w:tcPr>
          <w:p>
            <w:pPr>
              <w:spacing w:after="0"/>
              <w:rPr>
                <w:sz w:val="8"/>
                <w:szCs w:val="8"/>
                <w:color w:val="auto"/>
              </w:rPr>
            </w:pPr>
          </w:p>
        </w:tc>
        <w:tc>
          <w:tcPr>
            <w:tcW w:w="5020" w:type="dxa"/>
            <w:vAlign w:val="bottom"/>
            <w:tcBorders>
              <w:bottom w:val="single" w:sz="8" w:color="auto"/>
              <w:right w:val="single" w:sz="8" w:color="auto"/>
            </w:tcBorders>
          </w:tcPr>
          <w:p>
            <w:pPr>
              <w:spacing w:after="0"/>
              <w:rPr>
                <w:sz w:val="8"/>
                <w:szCs w:val="8"/>
                <w:color w:val="auto"/>
              </w:rPr>
            </w:pPr>
          </w:p>
        </w:tc>
      </w:tr>
      <w:tr>
        <w:trPr>
          <w:trHeight w:val="453"/>
        </w:trPr>
        <w:tc>
          <w:tcPr>
            <w:tcW w:w="2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March 15, 2021</w:t>
            </w:r>
          </w:p>
        </w:tc>
        <w:tc>
          <w:tcPr>
            <w:tcW w:w="3820" w:type="dxa"/>
            <w:vAlign w:val="bottom"/>
            <w:tcBorders>
              <w:bottom w:val="single" w:sz="8" w:color="auto"/>
              <w:right w:val="single" w:sz="8" w:color="auto"/>
            </w:tcBorders>
          </w:tcPr>
          <w:p>
            <w:pPr>
              <w:jc w:val="right"/>
              <w:ind w:right="1510"/>
              <w:spacing w:after="0"/>
              <w:rPr>
                <w:sz w:val="20"/>
                <w:szCs w:val="20"/>
                <w:color w:val="auto"/>
              </w:rPr>
            </w:pPr>
            <w:r>
              <w:rPr>
                <w:rFonts w:ascii="Arial" w:cs="Arial" w:eastAsia="Arial" w:hAnsi="Arial"/>
                <w:sz w:val="18"/>
                <w:szCs w:val="18"/>
                <w:color w:val="auto"/>
              </w:rPr>
              <w:t>500,000</w:t>
            </w:r>
          </w:p>
        </w:tc>
        <w:tc>
          <w:tcPr>
            <w:tcW w:w="5020" w:type="dxa"/>
            <w:vAlign w:val="bottom"/>
            <w:tcBorders>
              <w:bottom w:val="single" w:sz="8" w:color="auto"/>
              <w:right w:val="single" w:sz="8" w:color="auto"/>
            </w:tcBorders>
          </w:tcPr>
          <w:p>
            <w:pPr>
              <w:jc w:val="center"/>
              <w:ind w:right="2090"/>
              <w:spacing w:after="0"/>
              <w:rPr>
                <w:sz w:val="20"/>
                <w:szCs w:val="20"/>
                <w:color w:val="auto"/>
              </w:rPr>
            </w:pPr>
            <w:r>
              <w:rPr>
                <w:rFonts w:ascii="Arial" w:cs="Arial" w:eastAsia="Arial" w:hAnsi="Arial"/>
                <w:sz w:val="18"/>
                <w:szCs w:val="18"/>
                <w:color w:val="auto"/>
              </w:rPr>
              <w:t>1.8577</w:t>
            </w:r>
            <w:r>
              <w:rPr>
                <w:rFonts w:ascii="Arial" w:cs="Arial" w:eastAsia="Arial" w:hAnsi="Arial"/>
                <w:sz w:val="29"/>
                <w:szCs w:val="29"/>
                <w:color w:val="auto"/>
                <w:vertAlign w:val="superscript"/>
              </w:rPr>
              <w:t>1</w:t>
            </w:r>
          </w:p>
        </w:tc>
      </w:tr>
    </w:tbl>
    <w:p>
      <w:pPr>
        <w:spacing w:after="0" w:line="337" w:lineRule="exact"/>
        <w:rPr>
          <w:sz w:val="20"/>
          <w:szCs w:val="20"/>
          <w:color w:val="auto"/>
        </w:rPr>
      </w:pPr>
    </w:p>
    <w:p>
      <w:pPr>
        <w:ind w:left="340" w:right="20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reported is a weighted average price. These shares of Common Stock were sold through a broker dealer in multiple transactions at prices ranging from $ 1.85 to $1.91. Full information regarding the number of shares sold at each separate price can be furnished to the SEC staff upon request.</w:t>
      </w:r>
    </w:p>
    <w:p>
      <w:pPr>
        <w:spacing w:after="0" w:line="8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Reporting Persons intend generally to dispose of additional shares of Common Stock, subject to various factors, including but not limited to market conditions and other factors that the Reporting Persons may deem relevant to their investment decisions. However, the Reporting Persons have no specific plans or proposals to dispose of any specific number of shares of Common Stock or at any specific prices and the Reporting Persons reserve the right to change their current intentions. Except as otherwise described above, the Reporting Persons have no plans or proposals that relate to or would result in any transaction, event or action enumerated in paragraph (a) through (j) of Item 4 of Schedule 13D.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 5(a) – (c)</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of the date hereof, Eastern Capital Limited beneficially owns 3,966,668 shares of the Issuer’s Common Stock, representing 5.0%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the outstanding shares of Eastern Capital Limited, indirectly beneficially owns 3,966,668 shares of the Issuer’s Common stock, representing 5.0% of the Issuer’s outstanding Common Stock. Portfolio Services Ltd. has shared voting and dispositive power of the shares it beneficially owns.</w:t>
      </w:r>
    </w:p>
    <w:p>
      <w:pPr>
        <w:spacing w:after="0" w:line="12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3,966,668 shares of the Issuer’s Common Stock, representing 5.0% of the Issuer’s outstanding Common Stock. Kenneth B. Dart has shared voting and dispositive power of the shares he beneficially owns.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ownership is based on 79,303,072 shares of the Issuer’s Common Stock outstanding, as at March 15, 2021.</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have been no reportable transactions with respect to the Issuer’s Common Stock within the last 60 days by the Reporting Person other than as described in this Statement on Schedule 13D.</w:t>
      </w:r>
    </w:p>
    <w:p>
      <w:pPr>
        <w:sectPr>
          <w:pgSz w:w="11900" w:h="16838" w:orient="portrait"/>
          <w:cols w:equalWidth="0" w:num="1">
            <w:col w:w="11240"/>
          </w:cols>
          <w:pgMar w:left="320" w:top="1156" w:right="339" w:bottom="1440" w:gutter="0" w:footer="0" w:header="0"/>
        </w:sectPr>
      </w:pPr>
    </w:p>
    <w:bookmarkStart w:id="5" w:name="page6"/>
    <w:bookmarkEnd w:id="5"/>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5480" w:val="left"/>
          <w:tab w:leader="none" w:pos="1030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6</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Item 5 (d) 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5 (e)</w:t>
      </w:r>
    </w:p>
    <w:p>
      <w:pPr>
        <w:spacing w:after="0" w:line="90"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On March 15, 2021, the Reporting Persons ceased to be the beneficial owner of more than five percent of the shares of Issuer’s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Item 6 is hereby amended and supplemented as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of this Amendment No. 13 is incorporated by reference into this Item 6.</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ectPr>
          <w:pgSz w:w="11900" w:h="16838" w:orient="portrait"/>
          <w:cols w:equalWidth="0" w:num="1">
            <w:col w:w="11240"/>
          </w:cols>
          <w:pgMar w:left="320" w:top="1440" w:right="339" w:bottom="1440" w:gutter="0" w:footer="0" w:header="0"/>
        </w:sectPr>
      </w:pPr>
    </w:p>
    <w:bookmarkStart w:id="6" w:name="page7"/>
    <w:bookmarkEnd w:id="6"/>
    <w:p>
      <w:pPr>
        <w:spacing w:after="0"/>
        <w:tabs>
          <w:tab w:leader="none" w:pos="6120" w:val="left"/>
          <w:tab w:leader="none" w:pos="10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7</w:t>
      </w:r>
      <w:r>
        <w:rPr>
          <w:rFonts w:ascii="Arial" w:cs="Arial" w:eastAsia="Arial" w:hAnsi="Arial"/>
          <w:sz w:val="17"/>
          <w:szCs w:val="17"/>
          <w:color w:val="auto"/>
        </w:rPr>
        <w:t xml:space="preserve"> of </w:t>
      </w:r>
      <w:r>
        <w:rPr>
          <w:rFonts w:ascii="Arial" w:cs="Arial" w:eastAsia="Arial" w:hAnsi="Arial"/>
          <w:sz w:val="17"/>
          <w:szCs w:val="17"/>
          <w:b w:val="1"/>
          <w:bCs w:val="1"/>
          <w:color w:val="auto"/>
        </w:rPr>
        <w:t>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31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240"/>
          </w:cols>
          <w:pgMar w:left="320" w:top="873" w:right="339" w:bottom="1440" w:gutter="0" w:footer="0" w:header="0"/>
        </w:sectPr>
      </w:pPr>
    </w:p>
    <w:bookmarkStart w:id="7" w:name="page8"/>
    <w:bookmarkEnd w:id="7"/>
    <w:p>
      <w:pPr>
        <w:spacing w:after="0"/>
        <w:tabs>
          <w:tab w:leader="none" w:pos="580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7"/>
          <w:szCs w:val="17"/>
          <w:b w:val="1"/>
          <w:bCs w:val="1"/>
          <w:color w:val="auto"/>
        </w:rPr>
        <w:t>EXHIBIT 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Marker Therapeutics,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03/15/2021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180"/>
      </w:cols>
      <w:pgMar w:left="320" w:top="17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6E87C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
    <w:nsid w:val="3D1B58BA"/>
    <w:multiLevelType w:val="hybridMultilevel"/>
    <w:lvl w:ilvl="0">
      <w:lvlJc w:val="left"/>
      <w:lvlText w:val="*"/>
      <w:numFmt w:val="bullet"/>
      <w:start w:val="1"/>
    </w:lvl>
    <w:lvl w:ilvl="1">
      <w:lvlJc w:val="left"/>
      <w:lvlText w:val="%2."/>
      <w:numFmt w:val="decimal"/>
      <w:start w:val="12"/>
    </w:lvl>
  </w:abstractNum>
  <w:abstractNum w:abstractNumId="4">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2EB141F2"/>
    <w:multiLevelType w:val="hybridMultilevel"/>
    <w:lvl w:ilvl="0">
      <w:lvlJc w:val="left"/>
      <w:lvlText w:val="%1."/>
      <w:numFmt w:val="decimal"/>
      <w:start w:val="1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2021-03-15T15:58:46Z</dcterms:created>
  <dcterms:modified xsi:type="dcterms:W3CDTF">2021-03-15T15:58:46Z</dcterms:modified>
</cp:coreProperties>
</file>