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June 6, 2025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MARKER THERAPEUTICS,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2" w:lineRule="exact"/>
        <w:rPr>
          <w:sz w:val="24"/>
          <w:szCs w:val="24"/>
          <w:color w:val="auto"/>
        </w:rPr>
      </w:pPr>
    </w:p>
    <w:tbl>
      <w:tblPr>
        <w:tblLayout w:type="fixed"/>
        <w:tblInd w:w="860" w:type="dxa"/>
        <w:tblCellMar>
          <w:top w:w="0" w:type="dxa"/>
          <w:left w:w="0" w:type="dxa"/>
          <w:bottom w:w="0" w:type="dxa"/>
          <w:right w:w="0" w:type="dxa"/>
        </w:tblCellMar>
      </w:tblPr>
      <w:tr>
        <w:trPr>
          <w:trHeight w:val="207"/>
        </w:trPr>
        <w:tc>
          <w:tcPr>
            <w:tcW w:w="700" w:type="dxa"/>
            <w:vAlign w:val="bottom"/>
          </w:tcPr>
          <w:p>
            <w:pPr>
              <w:spacing w:after="0"/>
              <w:rPr>
                <w:sz w:val="17"/>
                <w:szCs w:val="17"/>
                <w:color w:val="auto"/>
              </w:rPr>
            </w:pPr>
          </w:p>
        </w:tc>
        <w:tc>
          <w:tcPr>
            <w:tcW w:w="1500" w:type="dxa"/>
            <w:vAlign w:val="bottom"/>
            <w:gridSpan w:val="2"/>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720" w:type="dxa"/>
            <w:vAlign w:val="bottom"/>
            <w:gridSpan w:val="5"/>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001-37939</w:t>
            </w:r>
          </w:p>
        </w:tc>
        <w:tc>
          <w:tcPr>
            <w:tcW w:w="228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45-4497941</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8"/>
        </w:trPr>
        <w:tc>
          <w:tcPr>
            <w:tcW w:w="2200" w:type="dxa"/>
            <w:vAlign w:val="bottom"/>
            <w:gridSpan w:val="3"/>
          </w:tcPr>
          <w:p>
            <w:pPr>
              <w:jc w:val="center"/>
              <w:ind w:right="3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960" w:type="dxa"/>
            <w:vAlign w:val="bottom"/>
          </w:tcPr>
          <w:p>
            <w:pPr>
              <w:spacing w:after="0"/>
              <w:rPr>
                <w:sz w:val="18"/>
                <w:szCs w:val="18"/>
                <w:color w:val="auto"/>
              </w:rPr>
            </w:pPr>
          </w:p>
        </w:tc>
        <w:tc>
          <w:tcPr>
            <w:tcW w:w="3760" w:type="dxa"/>
            <w:vAlign w:val="bottom"/>
            <w:gridSpan w:val="4"/>
          </w:tcPr>
          <w:p>
            <w:pPr>
              <w:jc w:val="center"/>
              <w:ind w:right="54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900" w:type="dxa"/>
            <w:vAlign w:val="bottom"/>
            <w:gridSpan w:val="5"/>
          </w:tcPr>
          <w:p>
            <w:pPr>
              <w:jc w:val="center"/>
              <w:ind w:left="13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4"/>
        </w:trPr>
        <w:tc>
          <w:tcPr>
            <w:tcW w:w="22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incorporation)</w:t>
            </w:r>
          </w:p>
        </w:tc>
        <w:tc>
          <w:tcPr>
            <w:tcW w:w="9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0"/>
        </w:trPr>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500" w:type="dxa"/>
            <w:vAlign w:val="bottom"/>
            <w:gridSpan w:val="6"/>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9"/>
              </w:rPr>
              <w:t>2450 Holcombe Blvd, Suite BCM-A, MS: BCM251</w:t>
            </w: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98"/>
        </w:trPr>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80" w:type="dxa"/>
            <w:vAlign w:val="bottom"/>
            <w:tcBorders>
              <w:bottom w:val="single" w:sz="8" w:color="auto"/>
            </w:tcBorders>
          </w:tcPr>
          <w:p>
            <w:pPr>
              <w:jc w:val="center"/>
              <w:spacing w:after="0" w:line="178" w:lineRule="exact"/>
              <w:rPr>
                <w:sz w:val="20"/>
                <w:szCs w:val="20"/>
                <w:color w:val="auto"/>
              </w:rPr>
            </w:pPr>
            <w:r>
              <w:rPr>
                <w:rFonts w:ascii="Times New Roman" w:cs="Times New Roman" w:eastAsia="Times New Roman" w:hAnsi="Times New Roman"/>
                <w:sz w:val="18"/>
                <w:szCs w:val="18"/>
                <w:b w:val="1"/>
                <w:bCs w:val="1"/>
                <w:color w:val="auto"/>
                <w:w w:val="99"/>
              </w:rPr>
              <w:t>Houston, Texas</w:t>
            </w:r>
          </w:p>
        </w:tc>
        <w:tc>
          <w:tcPr>
            <w:tcW w:w="2580" w:type="dxa"/>
            <w:vAlign w:val="bottom"/>
            <w:gridSpan w:val="3"/>
          </w:tcPr>
          <w:p>
            <w:pPr>
              <w:spacing w:after="0"/>
              <w:rPr>
                <w:sz w:val="17"/>
                <w:szCs w:val="17"/>
                <w:color w:val="auto"/>
              </w:rPr>
            </w:pPr>
          </w:p>
        </w:tc>
        <w:tc>
          <w:tcPr>
            <w:tcW w:w="2900" w:type="dxa"/>
            <w:vAlign w:val="bottom"/>
            <w:gridSpan w:val="5"/>
          </w:tcPr>
          <w:p>
            <w:pPr>
              <w:jc w:val="right"/>
              <w:ind w:right="160"/>
              <w:spacing w:after="0" w:line="198" w:lineRule="exact"/>
              <w:rPr>
                <w:sz w:val="20"/>
                <w:szCs w:val="20"/>
                <w:color w:val="auto"/>
              </w:rPr>
            </w:pPr>
            <w:r>
              <w:rPr>
                <w:rFonts w:ascii="Times New Roman" w:cs="Times New Roman" w:eastAsia="Times New Roman" w:hAnsi="Times New Roman"/>
                <w:sz w:val="18"/>
                <w:szCs w:val="18"/>
                <w:b w:val="1"/>
                <w:bCs w:val="1"/>
                <w:color w:val="auto"/>
              </w:rPr>
              <w:t>77021</w:t>
            </w:r>
          </w:p>
        </w:tc>
      </w:tr>
      <w:tr>
        <w:trPr>
          <w:trHeight w:val="20"/>
        </w:trPr>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720" w:type="dxa"/>
            <w:vAlign w:val="bottom"/>
            <w:gridSpan w:val="5"/>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4"/>
        </w:trPr>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720" w:type="dxa"/>
            <w:vAlign w:val="bottom"/>
            <w:gridSpan w:val="5"/>
          </w:tcPr>
          <w:p>
            <w:pPr>
              <w:jc w:val="center"/>
              <w:ind w:right="162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0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414"/>
        </w:trPr>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720" w:type="dxa"/>
            <w:vAlign w:val="bottom"/>
            <w:gridSpan w:val="5"/>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(713) 400-6400</w:t>
            </w: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4"/>
        </w:trPr>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720" w:type="dxa"/>
            <w:vAlign w:val="bottom"/>
            <w:gridSpan w:val="5"/>
          </w:tcPr>
          <w:p>
            <w:pPr>
              <w:jc w:val="center"/>
              <w:ind w:left="3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19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16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0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414"/>
        </w:trPr>
        <w:tc>
          <w:tcPr>
            <w:tcW w:w="4760" w:type="dxa"/>
            <w:vAlign w:val="bottom"/>
          </w:tcPr>
          <w:p>
            <w:pPr>
              <w:spacing w:after="0"/>
              <w:rPr>
                <w:sz w:val="24"/>
                <w:szCs w:val="24"/>
                <w:color w:val="auto"/>
              </w:rPr>
            </w:pPr>
          </w:p>
        </w:tc>
        <w:tc>
          <w:tcPr>
            <w:tcW w:w="22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Trading</w:t>
            </w:r>
          </w:p>
        </w:tc>
        <w:tc>
          <w:tcPr>
            <w:tcW w:w="4280" w:type="dxa"/>
            <w:vAlign w:val="bottom"/>
          </w:tcPr>
          <w:p>
            <w:pPr>
              <w:spacing w:after="0"/>
              <w:rPr>
                <w:sz w:val="24"/>
                <w:szCs w:val="24"/>
                <w:color w:val="auto"/>
              </w:rPr>
            </w:pPr>
          </w:p>
        </w:tc>
      </w:tr>
      <w:tr>
        <w:trPr>
          <w:trHeight w:val="234"/>
        </w:trPr>
        <w:tc>
          <w:tcPr>
            <w:tcW w:w="4760" w:type="dxa"/>
            <w:vAlign w:val="bottom"/>
            <w:tcBorders>
              <w:bottom w:val="single" w:sz="8" w:color="auto"/>
            </w:tcBorders>
          </w:tcPr>
          <w:p>
            <w:pPr>
              <w:jc w:val="center"/>
              <w:ind w:right="710"/>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2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8"/>
              </w:rPr>
              <w:t>Symbol(s)</w:t>
            </w:r>
          </w:p>
        </w:tc>
        <w:tc>
          <w:tcPr>
            <w:tcW w:w="4280" w:type="dxa"/>
            <w:vAlign w:val="bottom"/>
            <w:tcBorders>
              <w:bottom w:val="single" w:sz="8" w:color="auto"/>
            </w:tcBorders>
          </w:tcPr>
          <w:p>
            <w:pPr>
              <w:jc w:val="center"/>
              <w:ind w:left="49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76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MRKR</w:t>
            </w:r>
          </w:p>
        </w:tc>
        <w:tc>
          <w:tcPr>
            <w:tcW w:w="428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4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June 6, 2025, the Company held its 2025 Annual Meeting of Stockholders (the “Annual Meeting”). The stockholders considered three proposals, each of which is described in more detail in the Company’s definitive proxy statement filed with the Securities and Exchange Commission on April 24, 2025. Of the 11,314,835 shares outstanding as of the record date, 7,629,048 shares, or 67.43%, were present virtually or represented by proxy at the Annual Meeting. Set forth below are the results of the matters submitted for a vote of stockholders at the Annual Meeting.</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Proposal No. 1</w:t>
      </w:r>
      <w:r>
        <w:rPr>
          <w:rFonts w:ascii="Times New Roman" w:cs="Times New Roman" w:eastAsia="Times New Roman" w:hAnsi="Times New Roman"/>
          <w:sz w:val="18"/>
          <w:szCs w:val="18"/>
          <w:color w:val="auto"/>
        </w:rPr>
        <w:t>: Election of four nominees to serve as directors until the 2026 annual meeting of stockholders and until their respective successors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elected and qualified. The votes were cast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2"/>
              </w:rPr>
              <w:t>Votes</w:t>
            </w:r>
          </w:p>
        </w:tc>
      </w:tr>
      <w:tr>
        <w:trPr>
          <w:trHeight w:val="238"/>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5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Withheld</w:t>
            </w:r>
          </w:p>
        </w:tc>
      </w:tr>
      <w:tr>
        <w:trPr>
          <w:trHeight w:val="209"/>
        </w:trPr>
        <w:tc>
          <w:tcPr>
            <w:tcW w:w="8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David Eansor</w:t>
            </w:r>
          </w:p>
        </w:tc>
        <w:tc>
          <w:tcPr>
            <w:tcW w:w="2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4,095,249</w:t>
            </w:r>
          </w:p>
        </w:tc>
        <w:tc>
          <w:tcPr>
            <w:tcW w:w="3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711,872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Steven Elms</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4,094,745</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712,376</w:t>
            </w:r>
          </w:p>
        </w:tc>
      </w:tr>
      <w:tr>
        <w:trPr>
          <w:trHeight w:val="216"/>
        </w:trPr>
        <w:tc>
          <w:tcPr>
            <w:tcW w:w="8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Katharine Knobil</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4,079,812</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727,309</w:t>
            </w:r>
          </w:p>
        </w:tc>
      </w:tr>
      <w:tr>
        <w:trPr>
          <w:trHeight w:val="234"/>
        </w:trPr>
        <w:tc>
          <w:tcPr>
            <w:tcW w:w="8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Juan Vera</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4,143,496</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663,625</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Broker Non-Votes: 2,821,927.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nominees were elected.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No. 2</w:t>
      </w:r>
      <w:r>
        <w:rPr>
          <w:rFonts w:ascii="Times New Roman" w:cs="Times New Roman" w:eastAsia="Times New Roman" w:hAnsi="Times New Roman"/>
          <w:sz w:val="18"/>
          <w:szCs w:val="18"/>
          <w:color w:val="auto"/>
        </w:rPr>
        <w:t>: Approval, on an advisory basis, of the compensation of the Company’s named executive officers. The votes were cast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Votes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6760" w:type="dxa"/>
            <w:vAlign w:val="bottom"/>
          </w:tcPr>
          <w:p>
            <w:pPr>
              <w:spacing w:after="0"/>
              <w:rPr>
                <w:sz w:val="20"/>
                <w:szCs w:val="20"/>
                <w:color w:val="auto"/>
              </w:rPr>
            </w:pPr>
          </w:p>
        </w:tc>
        <w:tc>
          <w:tcPr>
            <w:tcW w:w="16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Abstained</w:t>
            </w:r>
          </w:p>
        </w:tc>
      </w:tr>
      <w:tr>
        <w:trPr>
          <w:trHeight w:val="209"/>
        </w:trPr>
        <w:tc>
          <w:tcPr>
            <w:tcW w:w="6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Advisory approval of named executive officer compensation</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4,449,829</w:t>
            </w:r>
          </w:p>
        </w:tc>
        <w:tc>
          <w:tcPr>
            <w:tcW w:w="3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343,434</w:t>
            </w:r>
          </w:p>
        </w:tc>
        <w:tc>
          <w:tcPr>
            <w:tcW w:w="3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13,857</w:t>
            </w:r>
          </w:p>
        </w:tc>
        <w:tc>
          <w:tcPr>
            <w:tcW w:w="100" w:type="dxa"/>
            <w:vAlign w:val="bottom"/>
            <w:tcBorders>
              <w:top w:val="single" w:sz="8" w:color="CCEEFF"/>
            </w:tcBorders>
            <w:shd w:val="clear" w:color="auto" w:fill="CCEEFF"/>
          </w:tcPr>
          <w:p>
            <w:pPr>
              <w:spacing w:after="0"/>
              <w:rPr>
                <w:sz w:val="18"/>
                <w:szCs w:val="18"/>
                <w:color w:val="auto"/>
              </w:rPr>
            </w:pPr>
          </w:p>
        </w:tc>
      </w:tr>
      <w:tr>
        <w:trPr>
          <w:trHeight w:val="432"/>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Broker Non-Votes: 2,821,927.</w:t>
            </w: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Proposal No. 3</w:t>
      </w:r>
      <w:r>
        <w:rPr>
          <w:rFonts w:ascii="Times New Roman" w:cs="Times New Roman" w:eastAsia="Times New Roman" w:hAnsi="Times New Roman"/>
          <w:sz w:val="18"/>
          <w:szCs w:val="18"/>
          <w:color w:val="auto"/>
        </w:rPr>
        <w:t>: Ratification of the selection of Marcum LLP as independent registered public accounting firm for the fiscal year ending December 31,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2025. The votes were cast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Votes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6760" w:type="dxa"/>
            <w:vAlign w:val="bottom"/>
          </w:tcPr>
          <w:p>
            <w:pPr>
              <w:spacing w:after="0"/>
              <w:rPr>
                <w:sz w:val="20"/>
                <w:szCs w:val="20"/>
                <w:color w:val="auto"/>
              </w:rPr>
            </w:pPr>
          </w:p>
        </w:tc>
        <w:tc>
          <w:tcPr>
            <w:tcW w:w="16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Abstained</w:t>
            </w:r>
          </w:p>
        </w:tc>
      </w:tr>
      <w:tr>
        <w:trPr>
          <w:trHeight w:val="210"/>
        </w:trPr>
        <w:tc>
          <w:tcPr>
            <w:tcW w:w="6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Ratification of appointment of Marcum LLP</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7,494,386</w:t>
            </w:r>
          </w:p>
        </w:tc>
        <w:tc>
          <w:tcPr>
            <w:tcW w:w="3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80,755</w:t>
            </w:r>
          </w:p>
        </w:tc>
        <w:tc>
          <w:tcPr>
            <w:tcW w:w="3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53,907</w:t>
            </w:r>
          </w:p>
        </w:tc>
        <w:tc>
          <w:tcPr>
            <w:tcW w:w="100" w:type="dxa"/>
            <w:vAlign w:val="bottom"/>
            <w:tcBorders>
              <w:top w:val="single" w:sz="8" w:color="CCEEFF"/>
            </w:tcBorders>
            <w:shd w:val="clear" w:color="auto" w:fill="CCEEFF"/>
          </w:tcPr>
          <w:p>
            <w:pPr>
              <w:spacing w:after="0"/>
              <w:rPr>
                <w:sz w:val="18"/>
                <w:szCs w:val="18"/>
                <w:color w:val="auto"/>
              </w:rPr>
            </w:pPr>
          </w:p>
        </w:tc>
      </w:tr>
      <w:tr>
        <w:trPr>
          <w:trHeight w:val="432"/>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Broker Non-Votes: 0.</w:t>
            </w: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4"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u w:val="single" w:color="auto"/>
          <w:color w:val="auto"/>
        </w:rPr>
        <w:t>Exhibit No.</w:t>
        <w:tab/>
        <w:t>Description</w:t>
      </w:r>
    </w:p>
    <w:p>
      <w:pPr>
        <w:spacing w:after="0" w:line="22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Marker Therapeutics, Inc.</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Dated: June 9, 2025</w:t>
            </w: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Juan Vera</w:t>
            </w:r>
          </w:p>
        </w:tc>
      </w:tr>
      <w:tr>
        <w:trPr>
          <w:trHeight w:val="189"/>
        </w:trPr>
        <w:tc>
          <w:tcPr>
            <w:tcW w:w="35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0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Juan Vera</w:t>
            </w:r>
          </w:p>
        </w:tc>
      </w:tr>
      <w:tr>
        <w:trPr>
          <w:trHeight w:val="236"/>
        </w:trPr>
        <w:tc>
          <w:tcPr>
            <w:tcW w:w="35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675"/>
        </w:trPr>
        <w:tc>
          <w:tcPr>
            <w:tcW w:w="35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2025-06-09T15:19:01Z</dcterms:created>
  <dcterms:modified xsi:type="dcterms:W3CDTF">2025-06-09T15:19:01Z</dcterms:modified>
</cp:coreProperties>
</file>