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July 19,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4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238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87"/>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80" w:type="dxa"/>
            <w:vAlign w:val="bottom"/>
          </w:tcPr>
          <w:p>
            <w:pPr>
              <w:spacing w:after="0"/>
              <w:rPr>
                <w:sz w:val="16"/>
                <w:szCs w:val="16"/>
                <w:color w:val="auto"/>
              </w:rPr>
            </w:pPr>
          </w:p>
        </w:tc>
        <w:tc>
          <w:tcPr>
            <w:tcW w:w="118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8"/>
              </w:rPr>
              <w:t>Houston, Texas</w:t>
            </w: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4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240" w:type="dxa"/>
            <w:vAlign w:val="bottom"/>
          </w:tcPr>
          <w:p>
            <w:pPr>
              <w:jc w:val="center"/>
              <w:ind w:right="230"/>
              <w:spacing w:after="0"/>
              <w:rPr>
                <w:sz w:val="20"/>
                <w:szCs w:val="20"/>
                <w:color w:val="auto"/>
              </w:rPr>
            </w:pPr>
            <w:r>
              <w:rPr>
                <w:rFonts w:ascii="Arial" w:cs="Arial" w:eastAsia="Arial" w:hAnsi="Arial"/>
                <w:sz w:val="18"/>
                <w:szCs w:val="18"/>
                <w:color w:val="auto"/>
                <w:w w:val="91"/>
              </w:rPr>
              <w:t>Trading</w:t>
            </w:r>
          </w:p>
        </w:tc>
        <w:tc>
          <w:tcPr>
            <w:tcW w:w="4420" w:type="dxa"/>
            <w:vAlign w:val="bottom"/>
          </w:tcPr>
          <w:p>
            <w:pPr>
              <w:spacing w:after="0"/>
              <w:rPr>
                <w:sz w:val="24"/>
                <w:szCs w:val="24"/>
                <w:color w:val="auto"/>
              </w:rPr>
            </w:pPr>
          </w:p>
        </w:tc>
      </w:tr>
      <w:tr>
        <w:trPr>
          <w:trHeight w:val="230"/>
        </w:trPr>
        <w:tc>
          <w:tcPr>
            <w:tcW w:w="4760" w:type="dxa"/>
            <w:vAlign w:val="bottom"/>
            <w:tcBorders>
              <w:bottom w:val="single" w:sz="8" w:color="auto"/>
            </w:tcBorders>
          </w:tcPr>
          <w:p>
            <w:pPr>
              <w:jc w:val="center"/>
              <w:ind w:right="77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Symbol(s)</w:t>
            </w:r>
          </w:p>
        </w:tc>
        <w:tc>
          <w:tcPr>
            <w:tcW w:w="44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60" w:type="dxa"/>
            <w:vAlign w:val="bottom"/>
          </w:tcPr>
          <w:p>
            <w:pPr>
              <w:jc w:val="center"/>
              <w:ind w:right="75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Pr>
          <w:p>
            <w:pPr>
              <w:jc w:val="center"/>
              <w:ind w:right="210"/>
              <w:spacing w:after="0"/>
              <w:rPr>
                <w:sz w:val="20"/>
                <w:szCs w:val="20"/>
                <w:color w:val="auto"/>
              </w:rPr>
            </w:pPr>
            <w:r>
              <w:rPr>
                <w:rFonts w:ascii="Arial" w:cs="Arial" w:eastAsia="Arial" w:hAnsi="Arial"/>
                <w:sz w:val="18"/>
                <w:szCs w:val="18"/>
                <w:color w:val="auto"/>
              </w:rPr>
              <w:t>MRKR</w:t>
            </w:r>
          </w:p>
        </w:tc>
        <w:tc>
          <w:tcPr>
            <w:tcW w:w="4420" w:type="dxa"/>
            <w:vAlign w:val="bottom"/>
          </w:tcPr>
          <w:p>
            <w:pPr>
              <w:jc w:val="center"/>
              <w:ind w:left="450"/>
              <w:spacing w:after="0"/>
              <w:rPr>
                <w:sz w:val="20"/>
                <w:szCs w:val="20"/>
                <w:color w:val="auto"/>
              </w:rPr>
            </w:pPr>
            <w:r>
              <w:rPr>
                <w:rFonts w:ascii="Arial" w:cs="Arial" w:eastAsia="Arial" w:hAnsi="Arial"/>
                <w:sz w:val="18"/>
                <w:szCs w:val="18"/>
                <w:color w:val="auto"/>
                <w:w w:val="92"/>
              </w:rPr>
              <w:t>The Nasdaq Stock Market LLC</w:t>
            </w:r>
          </w:p>
        </w:tc>
      </w:tr>
    </w:tbl>
    <w:p>
      <w:pPr>
        <w:spacing w:after="0" w:line="214"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July 19, 2019, the American Association for Cancer Research (the “AACR”) issued a press release entitled “Immune Cell Therapy Shows Early Promise for Patients With Pancreatic Cancer” announcing selected interim results from an investigator-sponsored clinical trial conducted by Baylor College of Medicine, which investigated Marker Therapeutics, Inc.’s (the “Company”) MultiTAA T cell therapy for the treatment of patients with pancreatic adenocarcinoma. The press release is available on AACR’s website.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will issue a press release announcing the full interim results from this trial on July 20, 2019. As previously announced, the data will be presented in a poster presentation session and will also be reviewed by Brandon G. Smaglo, M.D., FACP, Assistant Professor, Medical Director of Hematology/Oncology at the Baylor College of Medicine, Houston, Texas, on July 20, 2019 at the AACR’s Immune Cell Therapies for Cancer: Successes and Challenges of CAR T Cells and Other Forms of Adoptive Therapy conference. For those unable to attend the presentations at AACR, the Company will host a conference call and webcast on July 22, 2019, at 5:30 am PDT/8:30 am EDT featuring Dr. Smaglo and the Company’s senior management. A live webcast of the conference call, as well as a copy of Dr. Smaglo’s presentation from AACR, will be available in the investors section of the Company’s website at https://www.markertherapeutics.com/ and the webcast will be available for replay following the event.</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information in this Item 7.01 of this Current Report on 8-K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19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July, 2019.</w:t>
      </w:r>
    </w:p>
    <w:p>
      <w:pPr>
        <w:spacing w:after="0" w:line="41"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Anthony Kim</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Anthony Kim</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80"/>
      </w:cols>
      <w:pgMar w:left="240" w:top="6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2019-11-30T22:18:22Z</dcterms:created>
  <dcterms:modified xsi:type="dcterms:W3CDTF">2019-11-30T22:18:22Z</dcterms:modified>
</cp:coreProperties>
</file>