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SCHEDULE 13G</w:t>
      </w:r>
    </w:p>
    <w:p>
      <w:pPr>
        <w:spacing w:after="0" w:line="22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Under the Securities Exchange Act of 1934</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(Amendment No.  )*</w:t>
      </w:r>
    </w:p>
    <w:p>
      <w:pPr>
        <w:spacing w:after="0" w:line="225" w:lineRule="exact"/>
        <w:rPr>
          <w:sz w:val="24"/>
          <w:szCs w:val="24"/>
          <w:color w:val="auto"/>
        </w:rPr>
      </w:pPr>
    </w:p>
    <w:p>
      <w:pPr>
        <w:ind w:left="5120"/>
        <w:spacing w:after="0"/>
        <w:rPr>
          <w:sz w:val="20"/>
          <w:szCs w:val="20"/>
          <w:color w:val="auto"/>
        </w:rPr>
      </w:pPr>
      <w:r>
        <w:rPr>
          <w:rFonts w:ascii="Arial" w:cs="Arial" w:eastAsia="Arial" w:hAnsi="Arial"/>
          <w:sz w:val="18"/>
          <w:szCs w:val="18"/>
          <w:color w:val="auto"/>
        </w:rPr>
        <w:t>TapImmune Inc.</w:t>
      </w:r>
    </w:p>
    <w:p>
      <w:pPr>
        <w:spacing w:after="0" w:line="23"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Common Stock, $0.001 par value</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876033309</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January 12, 2015</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13G is filed:</w:t>
      </w:r>
    </w:p>
    <w:p>
      <w:pPr>
        <w:spacing w:after="0" w:line="225" w:lineRule="exact"/>
        <w:rPr>
          <w:sz w:val="24"/>
          <w:szCs w:val="24"/>
          <w:color w:val="auto"/>
        </w:rPr>
      </w:pPr>
    </w:p>
    <w:p>
      <w:pPr>
        <w:ind w:left="2620" w:hanging="505"/>
        <w:spacing w:after="0"/>
        <w:tabs>
          <w:tab w:leader="none" w:pos="2620" w:val="left"/>
        </w:tabs>
        <w:numPr>
          <w:ilvl w:val="1"/>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36" w:lineRule="exact"/>
        <w:rPr>
          <w:rFonts w:ascii="Arial" w:cs="Arial" w:eastAsia="Arial" w:hAnsi="Arial"/>
          <w:sz w:val="18"/>
          <w:szCs w:val="18"/>
          <w:color w:val="auto"/>
        </w:rPr>
      </w:pPr>
    </w:p>
    <w:p>
      <w:pPr>
        <w:ind w:left="2620" w:hanging="577"/>
        <w:spacing w:after="0"/>
        <w:tabs>
          <w:tab w:leader="none" w:pos="2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43" w:lineRule="exact"/>
        <w:rPr>
          <w:rFonts w:ascii="MS PGothic" w:cs="MS PGothic" w:eastAsia="MS PGothic" w:hAnsi="MS PGothic"/>
          <w:sz w:val="18"/>
          <w:szCs w:val="18"/>
          <w:color w:val="auto"/>
        </w:rPr>
      </w:pPr>
    </w:p>
    <w:p>
      <w:pPr>
        <w:ind w:left="2620" w:hanging="505"/>
        <w:spacing w:after="0"/>
        <w:tabs>
          <w:tab w:leader="none" w:pos="2620" w:val="left"/>
        </w:tabs>
        <w:numPr>
          <w:ilvl w:val="1"/>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4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(Page 1 of 11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73" w:lineRule="exact"/>
        <w:rPr>
          <w:sz w:val="24"/>
          <w:szCs w:val="24"/>
          <w:color w:val="auto"/>
        </w:rPr>
      </w:pPr>
    </w:p>
    <w:p>
      <w:pPr>
        <w:ind w:right="20" w:firstLine="648"/>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80"/>
          </w:cols>
          <w:pgMar w:left="240" w:top="229"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3"/>
        </w:trPr>
        <w:tc>
          <w:tcPr>
            <w:tcW w:w="1740" w:type="dxa"/>
            <w:vAlign w:val="bottom"/>
            <w:tcBorders>
              <w:top w:val="single" w:sz="8" w:color="auto"/>
              <w:left w:val="single" w:sz="8" w:color="auto"/>
              <w:right w:val="single" w:sz="8" w:color="auto"/>
            </w:tcBorders>
          </w:tcPr>
          <w:p>
            <w:pPr>
              <w:jc w:val="center"/>
              <w:spacing w:after="0" w:line="283" w:lineRule="exact"/>
              <w:rPr>
                <w:sz w:val="20"/>
                <w:szCs w:val="20"/>
                <w:color w:val="auto"/>
              </w:rPr>
            </w:pPr>
            <w:r>
              <w:rPr>
                <w:rFonts w:ascii="Arial" w:cs="Arial" w:eastAsia="Arial" w:hAnsi="Arial"/>
                <w:sz w:val="29"/>
                <w:szCs w:val="29"/>
                <w:b w:val="1"/>
                <w:bCs w:val="1"/>
                <w:color w:val="auto"/>
                <w:w w:val="86"/>
              </w:rPr>
              <w:t>1</w:t>
            </w:r>
          </w:p>
        </w:tc>
        <w:tc>
          <w:tcPr>
            <w:tcW w:w="54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NAMES OF REPORTING PERSONS</w:t>
            </w:r>
          </w:p>
        </w:tc>
        <w:tc>
          <w:tcPr>
            <w:tcW w:w="42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tcPr>
          <w:p>
            <w:pPr>
              <w:spacing w:after="0"/>
              <w:rPr>
                <w:sz w:val="20"/>
                <w:szCs w:val="20"/>
                <w:color w:val="auto"/>
              </w:rPr>
            </w:pPr>
          </w:p>
        </w:tc>
        <w:tc>
          <w:tcPr>
            <w:tcW w:w="5460" w:type="dxa"/>
            <w:vAlign w:val="bottom"/>
            <w:gridSpan w:val="2"/>
          </w:tcPr>
          <w:p>
            <w:pPr>
              <w:ind w:left="240"/>
              <w:spacing w:after="0"/>
              <w:rPr>
                <w:sz w:val="20"/>
                <w:szCs w:val="20"/>
                <w:color w:val="auto"/>
              </w:rPr>
            </w:pPr>
            <w:r>
              <w:rPr>
                <w:rFonts w:ascii="Arial" w:cs="Arial" w:eastAsia="Arial" w:hAnsi="Arial"/>
                <w:sz w:val="18"/>
                <w:szCs w:val="18"/>
                <w:color w:val="auto"/>
              </w:rPr>
              <w:t>Iroquois Capital Management L.L.C.</w:t>
            </w:r>
          </w:p>
        </w:tc>
        <w:tc>
          <w:tcPr>
            <w:tcW w:w="4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bottom w:val="single" w:sz="8" w:color="auto"/>
              <w:right w:val="single" w:sz="8" w:color="auto"/>
            </w:tcBorders>
          </w:tcPr>
          <w:p>
            <w:pPr>
              <w:spacing w:after="0"/>
              <w:rPr>
                <w:sz w:val="17"/>
                <w:szCs w:val="17"/>
                <w:color w:val="auto"/>
              </w:rPr>
            </w:pPr>
          </w:p>
        </w:tc>
        <w:tc>
          <w:tcPr>
            <w:tcW w:w="5460" w:type="dxa"/>
            <w:vAlign w:val="bottom"/>
            <w:tcBorders>
              <w:bottom w:val="single" w:sz="8" w:color="auto"/>
            </w:tcBorders>
            <w:gridSpan w:val="2"/>
          </w:tcPr>
          <w:p>
            <w:pPr>
              <w:spacing w:after="0"/>
              <w:rPr>
                <w:sz w:val="17"/>
                <w:szCs w:val="17"/>
                <w:color w:val="auto"/>
              </w:rPr>
            </w:pPr>
          </w:p>
        </w:tc>
        <w:tc>
          <w:tcPr>
            <w:tcW w:w="42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vMerge w:val="restart"/>
          </w:tcPr>
          <w:p>
            <w:pPr>
              <w:jc w:val="center"/>
              <w:spacing w:after="0" w:line="263" w:lineRule="exact"/>
              <w:rPr>
                <w:sz w:val="20"/>
                <w:szCs w:val="20"/>
                <w:color w:val="auto"/>
              </w:rPr>
            </w:pPr>
            <w:r>
              <w:rPr>
                <w:rFonts w:ascii="Arial" w:cs="Arial" w:eastAsia="Arial" w:hAnsi="Arial"/>
                <w:sz w:val="29"/>
                <w:szCs w:val="29"/>
                <w:b w:val="1"/>
                <w:bCs w:val="1"/>
                <w:color w:val="auto"/>
                <w:w w:val="86"/>
              </w:rPr>
              <w:t>2</w:t>
            </w:r>
          </w:p>
        </w:tc>
        <w:tc>
          <w:tcPr>
            <w:tcW w:w="5460" w:type="dxa"/>
            <w:vAlign w:val="bottom"/>
            <w:gridSpan w:val="2"/>
          </w:tcPr>
          <w:p>
            <w:pPr>
              <w:ind w:left="240"/>
              <w:spacing w:after="0"/>
              <w:rPr>
                <w:sz w:val="20"/>
                <w:szCs w:val="20"/>
                <w:color w:val="auto"/>
              </w:rPr>
            </w:pPr>
            <w:r>
              <w:rPr>
                <w:rFonts w:ascii="Arial" w:cs="Arial" w:eastAsia="Arial" w:hAnsi="Arial"/>
                <w:sz w:val="18"/>
                <w:szCs w:val="18"/>
                <w:color w:val="auto"/>
                <w:w w:val="99"/>
              </w:rPr>
              <w:t>CHECK THE APPROPRIATE BOX IF A MEMBER OF A GROUP</w:t>
            </w:r>
          </w:p>
        </w:tc>
        <w:tc>
          <w:tcPr>
            <w:tcW w:w="4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39"/>
        </w:trPr>
        <w:tc>
          <w:tcPr>
            <w:tcW w:w="1740" w:type="dxa"/>
            <w:vAlign w:val="bottom"/>
            <w:tcBorders>
              <w:left w:val="single" w:sz="8" w:color="auto"/>
              <w:right w:val="single" w:sz="8" w:color="auto"/>
            </w:tcBorders>
            <w:vMerge w:val="continue"/>
          </w:tcPr>
          <w:p>
            <w:pPr>
              <w:spacing w:after="0"/>
              <w:rPr>
                <w:sz w:val="3"/>
                <w:szCs w:val="3"/>
                <w:color w:val="auto"/>
              </w:rPr>
            </w:pPr>
          </w:p>
        </w:tc>
        <w:tc>
          <w:tcPr>
            <w:tcW w:w="1160" w:type="dxa"/>
            <w:vAlign w:val="bottom"/>
          </w:tcPr>
          <w:p>
            <w:pPr>
              <w:spacing w:after="0"/>
              <w:rPr>
                <w:sz w:val="3"/>
                <w:szCs w:val="3"/>
                <w:color w:val="auto"/>
              </w:rPr>
            </w:pPr>
          </w:p>
        </w:tc>
        <w:tc>
          <w:tcPr>
            <w:tcW w:w="4300" w:type="dxa"/>
            <w:vAlign w:val="bottom"/>
          </w:tcPr>
          <w:p>
            <w:pPr>
              <w:spacing w:after="0"/>
              <w:rPr>
                <w:sz w:val="3"/>
                <w:szCs w:val="3"/>
                <w:color w:val="auto"/>
              </w:rPr>
            </w:pPr>
          </w:p>
        </w:tc>
        <w:tc>
          <w:tcPr>
            <w:tcW w:w="422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7"/>
        </w:trPr>
        <w:tc>
          <w:tcPr>
            <w:tcW w:w="1740" w:type="dxa"/>
            <w:vAlign w:val="bottom"/>
            <w:tcBorders>
              <w:left w:val="single" w:sz="8" w:color="auto"/>
              <w:bottom w:val="single" w:sz="8" w:color="auto"/>
              <w:right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tcPr>
          <w:p>
            <w:pPr>
              <w:spacing w:after="0"/>
              <w:rPr>
                <w:sz w:val="18"/>
                <w:szCs w:val="18"/>
                <w:color w:val="auto"/>
              </w:rPr>
            </w:pPr>
          </w:p>
        </w:tc>
        <w:tc>
          <w:tcPr>
            <w:tcW w:w="4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3</w:t>
            </w:r>
          </w:p>
        </w:tc>
        <w:tc>
          <w:tcPr>
            <w:tcW w:w="5460" w:type="dxa"/>
            <w:vAlign w:val="bottom"/>
            <w:gridSpan w:val="2"/>
          </w:tcPr>
          <w:p>
            <w:pPr>
              <w:ind w:left="240"/>
              <w:spacing w:after="0"/>
              <w:rPr>
                <w:sz w:val="20"/>
                <w:szCs w:val="20"/>
                <w:color w:val="auto"/>
              </w:rPr>
            </w:pPr>
            <w:r>
              <w:rPr>
                <w:rFonts w:ascii="Arial" w:cs="Arial" w:eastAsia="Arial" w:hAnsi="Arial"/>
                <w:sz w:val="18"/>
                <w:szCs w:val="18"/>
                <w:color w:val="auto"/>
              </w:rPr>
              <w:t>SEC USE ONLY</w:t>
            </w:r>
          </w:p>
        </w:tc>
        <w:tc>
          <w:tcPr>
            <w:tcW w:w="4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1740" w:type="dxa"/>
            <w:vAlign w:val="bottom"/>
            <w:tcBorders>
              <w:left w:val="single" w:sz="8" w:color="auto"/>
              <w:right w:val="single" w:sz="8" w:color="auto"/>
            </w:tcBorders>
            <w:vMerge w:val="continue"/>
          </w:tcPr>
          <w:p>
            <w:pPr>
              <w:spacing w:after="0"/>
              <w:rPr>
                <w:sz w:val="12"/>
                <w:szCs w:val="12"/>
                <w:color w:val="auto"/>
              </w:rPr>
            </w:pPr>
          </w:p>
        </w:tc>
        <w:tc>
          <w:tcPr>
            <w:tcW w:w="116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42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8"/>
        </w:trPr>
        <w:tc>
          <w:tcPr>
            <w:tcW w:w="1740" w:type="dxa"/>
            <w:vAlign w:val="bottom"/>
            <w:tcBorders>
              <w:left w:val="single" w:sz="8" w:color="auto"/>
              <w:bottom w:val="single" w:sz="8" w:color="auto"/>
              <w:right w:val="single" w:sz="8" w:color="auto"/>
            </w:tcBorders>
          </w:tcPr>
          <w:p>
            <w:pPr>
              <w:spacing w:after="0"/>
              <w:rPr>
                <w:sz w:val="5"/>
                <w:szCs w:val="5"/>
                <w:color w:val="auto"/>
              </w:rPr>
            </w:pPr>
          </w:p>
        </w:tc>
        <w:tc>
          <w:tcPr>
            <w:tcW w:w="5460" w:type="dxa"/>
            <w:vAlign w:val="bottom"/>
            <w:tcBorders>
              <w:bottom w:val="single" w:sz="8" w:color="auto"/>
            </w:tcBorders>
            <w:gridSpan w:val="2"/>
          </w:tcPr>
          <w:p>
            <w:pPr>
              <w:spacing w:after="0"/>
              <w:rPr>
                <w:sz w:val="5"/>
                <w:szCs w:val="5"/>
                <w:color w:val="auto"/>
              </w:rPr>
            </w:pPr>
          </w:p>
        </w:tc>
        <w:tc>
          <w:tcPr>
            <w:tcW w:w="4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740" w:type="dxa"/>
            <w:vAlign w:val="bottom"/>
            <w:tcBorders>
              <w:left w:val="single" w:sz="8" w:color="auto"/>
              <w:right w:val="single" w:sz="8" w:color="auto"/>
            </w:tcBorders>
          </w:tcPr>
          <w:p>
            <w:pPr>
              <w:jc w:val="center"/>
              <w:spacing w:after="0" w:line="263" w:lineRule="exact"/>
              <w:rPr>
                <w:sz w:val="20"/>
                <w:szCs w:val="20"/>
                <w:color w:val="auto"/>
              </w:rPr>
            </w:pPr>
            <w:r>
              <w:rPr>
                <w:rFonts w:ascii="Arial" w:cs="Arial" w:eastAsia="Arial" w:hAnsi="Arial"/>
                <w:sz w:val="29"/>
                <w:szCs w:val="29"/>
                <w:b w:val="1"/>
                <w:bCs w:val="1"/>
                <w:color w:val="auto"/>
                <w:w w:val="86"/>
              </w:rPr>
              <w:t>4</w:t>
            </w:r>
          </w:p>
        </w:tc>
        <w:tc>
          <w:tcPr>
            <w:tcW w:w="5460" w:type="dxa"/>
            <w:vAlign w:val="bottom"/>
            <w:gridSpan w:val="2"/>
          </w:tcPr>
          <w:p>
            <w:pPr>
              <w:spacing w:after="0"/>
              <w:rPr>
                <w:sz w:val="20"/>
                <w:szCs w:val="20"/>
                <w:color w:val="auto"/>
              </w:rPr>
            </w:pPr>
            <w:r>
              <w:rPr>
                <w:rFonts w:ascii="Arial" w:cs="Arial" w:eastAsia="Arial" w:hAnsi="Arial"/>
                <w:sz w:val="18"/>
                <w:szCs w:val="18"/>
                <w:color w:val="auto"/>
              </w:rPr>
              <w:t>CITIZENSHIP OR PLACE OF ORGANIZATION</w:t>
            </w:r>
          </w:p>
        </w:tc>
        <w:tc>
          <w:tcPr>
            <w:tcW w:w="42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tcPr>
          <w:p>
            <w:pPr>
              <w:spacing w:after="0"/>
              <w:rPr>
                <w:sz w:val="20"/>
                <w:szCs w:val="20"/>
                <w:color w:val="auto"/>
              </w:rPr>
            </w:pPr>
          </w:p>
        </w:tc>
        <w:tc>
          <w:tcPr>
            <w:tcW w:w="1160" w:type="dxa"/>
            <w:vAlign w:val="bottom"/>
          </w:tcPr>
          <w:p>
            <w:pPr>
              <w:ind w:left="240"/>
              <w:spacing w:after="0"/>
              <w:rPr>
                <w:sz w:val="20"/>
                <w:szCs w:val="20"/>
                <w:color w:val="auto"/>
              </w:rPr>
            </w:pPr>
            <w:r>
              <w:rPr>
                <w:rFonts w:ascii="Arial" w:cs="Arial" w:eastAsia="Arial" w:hAnsi="Arial"/>
                <w:sz w:val="18"/>
                <w:szCs w:val="18"/>
                <w:color w:val="auto"/>
              </w:rPr>
              <w:t>Delaware</w:t>
            </w:r>
          </w:p>
        </w:tc>
        <w:tc>
          <w:tcPr>
            <w:tcW w:w="4300" w:type="dxa"/>
            <w:vAlign w:val="bottom"/>
          </w:tcPr>
          <w:p>
            <w:pPr>
              <w:spacing w:after="0"/>
              <w:rPr>
                <w:sz w:val="20"/>
                <w:szCs w:val="20"/>
                <w:color w:val="auto"/>
              </w:rPr>
            </w:pPr>
          </w:p>
        </w:tc>
        <w:tc>
          <w:tcPr>
            <w:tcW w:w="4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bottom w:val="single" w:sz="8" w:color="auto"/>
              <w:right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4300" w:type="dxa"/>
            <w:vAlign w:val="bottom"/>
            <w:tcBorders>
              <w:bottom w:val="single" w:sz="8" w:color="auto"/>
            </w:tcBorders>
          </w:tcPr>
          <w:p>
            <w:pPr>
              <w:spacing w:after="0"/>
              <w:rPr>
                <w:sz w:val="17"/>
                <w:szCs w:val="17"/>
                <w:color w:val="auto"/>
              </w:rPr>
            </w:pPr>
          </w:p>
        </w:tc>
        <w:tc>
          <w:tcPr>
            <w:tcW w:w="42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68"/>
        </w:trPr>
        <w:tc>
          <w:tcPr>
            <w:tcW w:w="1740" w:type="dxa"/>
            <w:vAlign w:val="bottom"/>
            <w:tcBorders>
              <w:left w:val="single" w:sz="8" w:color="auto"/>
              <w:right w:val="single" w:sz="8" w:color="auto"/>
            </w:tcBorders>
          </w:tcPr>
          <w:p>
            <w:pPr>
              <w:spacing w:after="0"/>
              <w:rPr>
                <w:sz w:val="24"/>
                <w:szCs w:val="24"/>
                <w:color w:val="auto"/>
              </w:rPr>
            </w:pPr>
          </w:p>
        </w:tc>
        <w:tc>
          <w:tcPr>
            <w:tcW w:w="1160" w:type="dxa"/>
            <w:vAlign w:val="bottom"/>
            <w:tcBorders>
              <w:right w:val="single" w:sz="8" w:color="auto"/>
            </w:tcBorders>
          </w:tcPr>
          <w:p>
            <w:pPr>
              <w:ind w:left="500"/>
              <w:spacing w:after="0"/>
              <w:rPr>
                <w:sz w:val="20"/>
                <w:szCs w:val="20"/>
                <w:color w:val="auto"/>
              </w:rPr>
            </w:pPr>
            <w:r>
              <w:rPr>
                <w:rFonts w:ascii="Arial" w:cs="Arial" w:eastAsia="Arial" w:hAnsi="Arial"/>
                <w:sz w:val="29"/>
                <w:szCs w:val="29"/>
                <w:b w:val="1"/>
                <w:bCs w:val="1"/>
                <w:color w:val="auto"/>
              </w:rPr>
              <w:t>5</w:t>
            </w:r>
          </w:p>
        </w:tc>
        <w:tc>
          <w:tcPr>
            <w:tcW w:w="4300" w:type="dxa"/>
            <w:vAlign w:val="bottom"/>
          </w:tcPr>
          <w:p>
            <w:pPr>
              <w:spacing w:after="0"/>
              <w:rPr>
                <w:sz w:val="20"/>
                <w:szCs w:val="20"/>
                <w:color w:val="auto"/>
              </w:rPr>
            </w:pPr>
            <w:r>
              <w:rPr>
                <w:rFonts w:ascii="Arial" w:cs="Arial" w:eastAsia="Arial" w:hAnsi="Arial"/>
                <w:sz w:val="18"/>
                <w:szCs w:val="18"/>
                <w:color w:val="auto"/>
              </w:rPr>
              <w:t>SOLE VOTING POWER</w:t>
            </w:r>
          </w:p>
        </w:tc>
        <w:tc>
          <w:tcPr>
            <w:tcW w:w="4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740" w:type="dxa"/>
            <w:vAlign w:val="bottom"/>
            <w:tcBorders>
              <w:left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4300" w:type="dxa"/>
            <w:vAlign w:val="bottom"/>
            <w:tcBorders>
              <w:bottom w:val="single" w:sz="8" w:color="auto"/>
            </w:tcBorders>
          </w:tcPr>
          <w:p>
            <w:pPr>
              <w:spacing w:after="0"/>
              <w:rPr>
                <w:sz w:val="20"/>
                <w:szCs w:val="20"/>
                <w:color w:val="auto"/>
              </w:rPr>
            </w:pPr>
          </w:p>
        </w:tc>
        <w:tc>
          <w:tcPr>
            <w:tcW w:w="42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1160" w:type="dxa"/>
            <w:vAlign w:val="bottom"/>
            <w:tcBorders>
              <w:right w:val="single" w:sz="8" w:color="auto"/>
            </w:tcBorders>
          </w:tcPr>
          <w:p>
            <w:pPr>
              <w:ind w:left="500"/>
              <w:spacing w:after="0" w:line="263" w:lineRule="exact"/>
              <w:rPr>
                <w:sz w:val="20"/>
                <w:szCs w:val="20"/>
                <w:color w:val="auto"/>
              </w:rPr>
            </w:pPr>
            <w:r>
              <w:rPr>
                <w:rFonts w:ascii="Arial" w:cs="Arial" w:eastAsia="Arial" w:hAnsi="Arial"/>
                <w:sz w:val="29"/>
                <w:szCs w:val="29"/>
                <w:b w:val="1"/>
                <w:bCs w:val="1"/>
                <w:color w:val="auto"/>
              </w:rPr>
              <w:t>6</w:t>
            </w:r>
          </w:p>
        </w:tc>
        <w:tc>
          <w:tcPr>
            <w:tcW w:w="4300" w:type="dxa"/>
            <w:vAlign w:val="bottom"/>
          </w:tcPr>
          <w:p>
            <w:pPr>
              <w:spacing w:after="0"/>
              <w:rPr>
                <w:sz w:val="20"/>
                <w:szCs w:val="20"/>
                <w:color w:val="auto"/>
              </w:rPr>
            </w:pPr>
            <w:r>
              <w:rPr>
                <w:rFonts w:ascii="Arial" w:cs="Arial" w:eastAsia="Arial" w:hAnsi="Arial"/>
                <w:sz w:val="18"/>
                <w:szCs w:val="18"/>
                <w:color w:val="auto"/>
              </w:rPr>
              <w:t>SHARED VOTING POWER</w:t>
            </w:r>
          </w:p>
        </w:tc>
        <w:tc>
          <w:tcPr>
            <w:tcW w:w="42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1740" w:type="dxa"/>
            <w:vAlign w:val="bottom"/>
            <w:tcBorders>
              <w:left w:val="single" w:sz="8" w:color="auto"/>
              <w:right w:val="single" w:sz="8" w:color="auto"/>
            </w:tcBorders>
            <w:vMerge w:val="continue"/>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4300" w:type="dxa"/>
            <w:vAlign w:val="bottom"/>
            <w:vMerge w:val="restart"/>
          </w:tcPr>
          <w:p>
            <w:pPr>
              <w:ind w:left="320"/>
              <w:spacing w:after="0"/>
              <w:rPr>
                <w:sz w:val="20"/>
                <w:szCs w:val="20"/>
                <w:color w:val="auto"/>
              </w:rPr>
            </w:pPr>
            <w:r>
              <w:rPr>
                <w:rFonts w:ascii="Arial" w:cs="Arial" w:eastAsia="Arial" w:hAnsi="Arial"/>
                <w:sz w:val="18"/>
                <w:szCs w:val="18"/>
                <w:color w:val="auto"/>
              </w:rPr>
              <w:t>1,445,800 shares of Common Stock</w:t>
            </w:r>
          </w:p>
        </w:tc>
        <w:tc>
          <w:tcPr>
            <w:tcW w:w="4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SHARES</w:t>
            </w:r>
          </w:p>
        </w:tc>
        <w:tc>
          <w:tcPr>
            <w:tcW w:w="1160" w:type="dxa"/>
            <w:vAlign w:val="bottom"/>
            <w:tcBorders>
              <w:right w:val="single" w:sz="8" w:color="auto"/>
            </w:tcBorders>
          </w:tcPr>
          <w:p>
            <w:pPr>
              <w:spacing w:after="0"/>
              <w:rPr>
                <w:sz w:val="7"/>
                <w:szCs w:val="7"/>
                <w:color w:val="auto"/>
              </w:rPr>
            </w:pPr>
          </w:p>
        </w:tc>
        <w:tc>
          <w:tcPr>
            <w:tcW w:w="4300" w:type="dxa"/>
            <w:vAlign w:val="bottom"/>
            <w:vMerge w:val="continue"/>
          </w:tcPr>
          <w:p>
            <w:pPr>
              <w:spacing w:after="0"/>
              <w:rPr>
                <w:sz w:val="7"/>
                <w:szCs w:val="7"/>
                <w:color w:val="auto"/>
              </w:rPr>
            </w:pPr>
          </w:p>
        </w:tc>
        <w:tc>
          <w:tcPr>
            <w:tcW w:w="4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740" w:type="dxa"/>
            <w:vAlign w:val="bottom"/>
            <w:tcBorders>
              <w:left w:val="single" w:sz="8" w:color="auto"/>
              <w:right w:val="single" w:sz="8" w:color="auto"/>
            </w:tcBorders>
            <w:vMerge w:val="continue"/>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8520" w:type="dxa"/>
            <w:vAlign w:val="bottom"/>
            <w:tcBorders>
              <w:right w:val="single" w:sz="8" w:color="auto"/>
            </w:tcBorders>
            <w:gridSpan w:val="2"/>
            <w:vMerge w:val="restart"/>
          </w:tcPr>
          <w:p>
            <w:pPr>
              <w:ind w:left="320"/>
              <w:spacing w:after="0"/>
              <w:rPr>
                <w:sz w:val="20"/>
                <w:szCs w:val="20"/>
                <w:color w:val="auto"/>
              </w:rPr>
            </w:pPr>
            <w:r>
              <w:rPr>
                <w:rFonts w:ascii="Arial" w:cs="Arial" w:eastAsia="Arial" w:hAnsi="Arial"/>
                <w:sz w:val="18"/>
                <w:szCs w:val="18"/>
                <w:color w:val="auto"/>
                <w:w w:val="98"/>
              </w:rPr>
              <w:t>3,750,000 shares of Common Stock issuable upon exercise of Series A, D and E Warrants (See Item 4)*</w:t>
            </w:r>
          </w:p>
        </w:tc>
        <w:tc>
          <w:tcPr>
            <w:tcW w:w="0" w:type="dxa"/>
            <w:vAlign w:val="bottom"/>
          </w:tcPr>
          <w:p>
            <w:pPr>
              <w:spacing w:after="0"/>
              <w:rPr>
                <w:sz w:val="1"/>
                <w:szCs w:val="1"/>
                <w:color w:val="auto"/>
              </w:rPr>
            </w:pPr>
          </w:p>
        </w:tc>
      </w:tr>
      <w:tr>
        <w:trPr>
          <w:trHeight w:val="81"/>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1160" w:type="dxa"/>
            <w:vAlign w:val="bottom"/>
            <w:tcBorders>
              <w:right w:val="single" w:sz="8" w:color="auto"/>
            </w:tcBorders>
          </w:tcPr>
          <w:p>
            <w:pPr>
              <w:spacing w:after="0"/>
              <w:rPr>
                <w:sz w:val="7"/>
                <w:szCs w:val="7"/>
                <w:color w:val="auto"/>
              </w:rPr>
            </w:pPr>
          </w:p>
        </w:tc>
        <w:tc>
          <w:tcPr>
            <w:tcW w:w="852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740" w:type="dxa"/>
            <w:vAlign w:val="bottom"/>
            <w:tcBorders>
              <w:left w:val="single" w:sz="8" w:color="auto"/>
              <w:right w:val="single" w:sz="8" w:color="auto"/>
            </w:tcBorders>
            <w:vMerge w:val="continue"/>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8520" w:type="dxa"/>
            <w:vAlign w:val="bottom"/>
            <w:tcBorders>
              <w:right w:val="single" w:sz="8" w:color="auto"/>
            </w:tcBorders>
            <w:gridSpan w:val="2"/>
            <w:vMerge w:val="restart"/>
          </w:tcPr>
          <w:p>
            <w:pPr>
              <w:ind w:left="320"/>
              <w:spacing w:after="0"/>
              <w:rPr>
                <w:sz w:val="20"/>
                <w:szCs w:val="20"/>
                <w:color w:val="auto"/>
              </w:rPr>
            </w:pPr>
            <w:r>
              <w:rPr>
                <w:rFonts w:ascii="Arial" w:cs="Arial" w:eastAsia="Arial" w:hAnsi="Arial"/>
                <w:sz w:val="18"/>
                <w:szCs w:val="18"/>
                <w:color w:val="auto"/>
              </w:rPr>
              <w:t>2,500,000 shares of Common Stock issuable upon exercise of Series B and C Warrants (See Item 4)*</w:t>
            </w:r>
          </w:p>
        </w:tc>
        <w:tc>
          <w:tcPr>
            <w:tcW w:w="0" w:type="dxa"/>
            <w:vAlign w:val="bottom"/>
          </w:tcPr>
          <w:p>
            <w:pPr>
              <w:spacing w:after="0"/>
              <w:rPr>
                <w:sz w:val="1"/>
                <w:szCs w:val="1"/>
                <w:color w:val="auto"/>
              </w:rPr>
            </w:pPr>
          </w:p>
        </w:tc>
      </w:tr>
      <w:tr>
        <w:trPr>
          <w:trHeight w:val="95"/>
        </w:trPr>
        <w:tc>
          <w:tcPr>
            <w:tcW w:w="1740" w:type="dxa"/>
            <w:vAlign w:val="bottom"/>
            <w:tcBorders>
              <w:left w:val="single" w:sz="8" w:color="auto"/>
              <w:right w:val="single" w:sz="8" w:color="auto"/>
            </w:tcBorders>
            <w:vMerge w:val="restart"/>
          </w:tcPr>
          <w:p>
            <w:pPr>
              <w:jc w:val="center"/>
              <w:spacing w:after="0" w:line="157" w:lineRule="exact"/>
              <w:rPr>
                <w:sz w:val="20"/>
                <w:szCs w:val="20"/>
                <w:color w:val="auto"/>
              </w:rPr>
            </w:pPr>
            <w:r>
              <w:rPr>
                <w:rFonts w:ascii="Arial" w:cs="Arial" w:eastAsia="Arial" w:hAnsi="Arial"/>
                <w:sz w:val="18"/>
                <w:szCs w:val="18"/>
                <w:color w:val="auto"/>
                <w:w w:val="97"/>
              </w:rPr>
              <w:t>OWNED BY</w:t>
            </w:r>
          </w:p>
        </w:tc>
        <w:tc>
          <w:tcPr>
            <w:tcW w:w="1160" w:type="dxa"/>
            <w:vAlign w:val="bottom"/>
            <w:tcBorders>
              <w:right w:val="single" w:sz="8" w:color="auto"/>
            </w:tcBorders>
          </w:tcPr>
          <w:p>
            <w:pPr>
              <w:spacing w:after="0"/>
              <w:rPr>
                <w:sz w:val="8"/>
                <w:szCs w:val="8"/>
                <w:color w:val="auto"/>
              </w:rPr>
            </w:pPr>
          </w:p>
        </w:tc>
        <w:tc>
          <w:tcPr>
            <w:tcW w:w="852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740" w:type="dxa"/>
            <w:vAlign w:val="bottom"/>
            <w:tcBorders>
              <w:left w:val="single" w:sz="8" w:color="auto"/>
              <w:right w:val="single" w:sz="8" w:color="auto"/>
            </w:tcBorders>
            <w:vMerge w:val="continue"/>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4300" w:type="dxa"/>
            <w:vAlign w:val="bottom"/>
            <w:tcBorders>
              <w:bottom w:val="single" w:sz="8" w:color="auto"/>
            </w:tcBorders>
          </w:tcPr>
          <w:p>
            <w:pPr>
              <w:spacing w:after="0"/>
              <w:rPr>
                <w:sz w:val="7"/>
                <w:szCs w:val="7"/>
                <w:color w:val="auto"/>
              </w:rPr>
            </w:pPr>
          </w:p>
        </w:tc>
        <w:tc>
          <w:tcPr>
            <w:tcW w:w="4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EACH</w:t>
            </w:r>
          </w:p>
        </w:tc>
        <w:tc>
          <w:tcPr>
            <w:tcW w:w="1160" w:type="dxa"/>
            <w:vAlign w:val="bottom"/>
            <w:tcBorders>
              <w:right w:val="single" w:sz="8" w:color="auto"/>
            </w:tcBorders>
          </w:tcPr>
          <w:p>
            <w:pPr>
              <w:ind w:left="500"/>
              <w:spacing w:after="0" w:line="250" w:lineRule="exact"/>
              <w:rPr>
                <w:sz w:val="20"/>
                <w:szCs w:val="20"/>
                <w:color w:val="auto"/>
              </w:rPr>
            </w:pPr>
            <w:r>
              <w:rPr>
                <w:rFonts w:ascii="Arial" w:cs="Arial" w:eastAsia="Arial" w:hAnsi="Arial"/>
                <w:sz w:val="28"/>
                <w:szCs w:val="28"/>
                <w:b w:val="1"/>
                <w:bCs w:val="1"/>
                <w:color w:val="auto"/>
              </w:rPr>
              <w:t>7</w:t>
            </w:r>
          </w:p>
        </w:tc>
        <w:tc>
          <w:tcPr>
            <w:tcW w:w="4300" w:type="dxa"/>
            <w:vAlign w:val="bottom"/>
          </w:tcPr>
          <w:p>
            <w:pPr>
              <w:spacing w:after="0"/>
              <w:rPr>
                <w:sz w:val="20"/>
                <w:szCs w:val="20"/>
                <w:color w:val="auto"/>
              </w:rPr>
            </w:pPr>
            <w:r>
              <w:rPr>
                <w:rFonts w:ascii="Arial" w:cs="Arial" w:eastAsia="Arial" w:hAnsi="Arial"/>
                <w:sz w:val="18"/>
                <w:szCs w:val="18"/>
                <w:color w:val="auto"/>
              </w:rPr>
              <w:t>SOLE DISPOSITIVE POWER</w:t>
            </w:r>
          </w:p>
        </w:tc>
        <w:tc>
          <w:tcPr>
            <w:tcW w:w="4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740" w:type="dxa"/>
            <w:vAlign w:val="bottom"/>
            <w:tcBorders>
              <w:left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REPORTING</w:t>
            </w:r>
          </w:p>
        </w:tc>
        <w:tc>
          <w:tcPr>
            <w:tcW w:w="1160" w:type="dxa"/>
            <w:vAlign w:val="bottom"/>
            <w:tcBorders>
              <w:right w:val="single" w:sz="8" w:color="auto"/>
            </w:tcBorders>
          </w:tcPr>
          <w:p>
            <w:pPr>
              <w:spacing w:after="0"/>
              <w:rPr>
                <w:sz w:val="17"/>
                <w:szCs w:val="17"/>
                <w:color w:val="auto"/>
              </w:rPr>
            </w:pPr>
          </w:p>
        </w:tc>
        <w:tc>
          <w:tcPr>
            <w:tcW w:w="4300" w:type="dxa"/>
            <w:vAlign w:val="bottom"/>
          </w:tcPr>
          <w:p>
            <w:pPr>
              <w:spacing w:after="0"/>
              <w:rPr>
                <w:sz w:val="17"/>
                <w:szCs w:val="17"/>
                <w:color w:val="auto"/>
              </w:rPr>
            </w:pPr>
          </w:p>
        </w:tc>
        <w:tc>
          <w:tcPr>
            <w:tcW w:w="4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160" w:type="dxa"/>
            <w:vAlign w:val="bottom"/>
            <w:tcBorders>
              <w:bottom w:val="single" w:sz="8" w:color="auto"/>
              <w:right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4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740" w:type="dxa"/>
            <w:vAlign w:val="bottom"/>
            <w:tcBorders>
              <w:left w:val="single" w:sz="8" w:color="auto"/>
              <w:right w:val="single" w:sz="8" w:color="auto"/>
            </w:tcBorders>
            <w:vMerge w:val="continue"/>
          </w:tcPr>
          <w:p>
            <w:pPr>
              <w:spacing w:after="0"/>
              <w:rPr>
                <w:sz w:val="15"/>
                <w:szCs w:val="15"/>
                <w:color w:val="auto"/>
              </w:rPr>
            </w:pPr>
          </w:p>
        </w:tc>
        <w:tc>
          <w:tcPr>
            <w:tcW w:w="1160" w:type="dxa"/>
            <w:vAlign w:val="bottom"/>
            <w:tcBorders>
              <w:right w:val="single" w:sz="8" w:color="auto"/>
            </w:tcBorders>
            <w:vMerge w:val="restart"/>
          </w:tcPr>
          <w:p>
            <w:pPr>
              <w:ind w:left="500"/>
              <w:spacing w:after="0" w:line="263" w:lineRule="exact"/>
              <w:rPr>
                <w:sz w:val="20"/>
                <w:szCs w:val="20"/>
                <w:color w:val="auto"/>
              </w:rPr>
            </w:pPr>
            <w:r>
              <w:rPr>
                <w:rFonts w:ascii="Arial" w:cs="Arial" w:eastAsia="Arial" w:hAnsi="Arial"/>
                <w:sz w:val="29"/>
                <w:szCs w:val="29"/>
                <w:b w:val="1"/>
                <w:bCs w:val="1"/>
                <w:color w:val="auto"/>
              </w:rPr>
              <w:t>8</w:t>
            </w:r>
          </w:p>
        </w:tc>
        <w:tc>
          <w:tcPr>
            <w:tcW w:w="430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4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740" w:type="dxa"/>
            <w:vAlign w:val="bottom"/>
            <w:tcBorders>
              <w:left w:val="single" w:sz="8" w:color="auto"/>
              <w:right w:val="single" w:sz="8" w:color="auto"/>
            </w:tcBorders>
          </w:tcPr>
          <w:p>
            <w:pPr>
              <w:spacing w:after="0"/>
              <w:rPr>
                <w:sz w:val="6"/>
                <w:szCs w:val="6"/>
                <w:color w:val="auto"/>
              </w:rPr>
            </w:pPr>
          </w:p>
        </w:tc>
        <w:tc>
          <w:tcPr>
            <w:tcW w:w="1160" w:type="dxa"/>
            <w:vAlign w:val="bottom"/>
            <w:tcBorders>
              <w:right w:val="single" w:sz="8" w:color="auto"/>
            </w:tcBorders>
            <w:vMerge w:val="continue"/>
          </w:tcPr>
          <w:p>
            <w:pPr>
              <w:spacing w:after="0"/>
              <w:rPr>
                <w:sz w:val="6"/>
                <w:szCs w:val="6"/>
                <w:color w:val="auto"/>
              </w:rPr>
            </w:pPr>
          </w:p>
        </w:tc>
        <w:tc>
          <w:tcPr>
            <w:tcW w:w="4300" w:type="dxa"/>
            <w:vAlign w:val="bottom"/>
            <w:vMerge w:val="continue"/>
          </w:tcPr>
          <w:p>
            <w:pPr>
              <w:spacing w:after="0"/>
              <w:rPr>
                <w:sz w:val="6"/>
                <w:szCs w:val="6"/>
                <w:color w:val="auto"/>
              </w:rPr>
            </w:pPr>
          </w:p>
        </w:tc>
        <w:tc>
          <w:tcPr>
            <w:tcW w:w="4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4300" w:type="dxa"/>
            <w:vAlign w:val="bottom"/>
          </w:tcPr>
          <w:p>
            <w:pPr>
              <w:ind w:left="320"/>
              <w:spacing w:after="0"/>
              <w:rPr>
                <w:sz w:val="20"/>
                <w:szCs w:val="20"/>
                <w:color w:val="auto"/>
              </w:rPr>
            </w:pPr>
            <w:r>
              <w:rPr>
                <w:rFonts w:ascii="Arial" w:cs="Arial" w:eastAsia="Arial" w:hAnsi="Arial"/>
                <w:sz w:val="18"/>
                <w:szCs w:val="18"/>
                <w:color w:val="auto"/>
              </w:rPr>
              <w:t>1,445,800 shares of Common Stock</w:t>
            </w:r>
          </w:p>
        </w:tc>
        <w:tc>
          <w:tcPr>
            <w:tcW w:w="4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852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w w:val="98"/>
              </w:rPr>
              <w:t>3,750,000 shares of Common Stock issuable upon exercise of Series A, D and E Warrants (See Item 4)*</w:t>
            </w: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852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rPr>
              <w:t>2,500,000 shares of Common Stock issuable upon exercise of Series B and C Warrants (See Item 4)*</w:t>
            </w:r>
          </w:p>
        </w:tc>
        <w:tc>
          <w:tcPr>
            <w:tcW w:w="0" w:type="dxa"/>
            <w:vAlign w:val="bottom"/>
          </w:tcPr>
          <w:p>
            <w:pPr>
              <w:spacing w:after="0"/>
              <w:rPr>
                <w:sz w:val="1"/>
                <w:szCs w:val="1"/>
                <w:color w:val="auto"/>
              </w:rPr>
            </w:pPr>
          </w:p>
        </w:tc>
      </w:tr>
      <w:tr>
        <w:trPr>
          <w:trHeight w:val="81"/>
        </w:trPr>
        <w:tc>
          <w:tcPr>
            <w:tcW w:w="1740" w:type="dxa"/>
            <w:vAlign w:val="bottom"/>
            <w:tcBorders>
              <w:left w:val="single" w:sz="8" w:color="auto"/>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8520" w:type="dxa"/>
            <w:vAlign w:val="bottom"/>
            <w:tcBorders>
              <w:bottom w:val="single" w:sz="8" w:color="auto"/>
              <w:right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1740" w:type="dxa"/>
            <w:vAlign w:val="bottom"/>
            <w:tcBorders>
              <w:left w:val="single" w:sz="8" w:color="auto"/>
              <w:right w:val="single" w:sz="8" w:color="auto"/>
            </w:tcBorders>
          </w:tcPr>
          <w:p>
            <w:pPr>
              <w:jc w:val="center"/>
              <w:spacing w:after="0" w:line="263" w:lineRule="exact"/>
              <w:rPr>
                <w:sz w:val="20"/>
                <w:szCs w:val="20"/>
                <w:color w:val="auto"/>
              </w:rPr>
            </w:pPr>
            <w:r>
              <w:rPr>
                <w:rFonts w:ascii="Arial" w:cs="Arial" w:eastAsia="Arial" w:hAnsi="Arial"/>
                <w:sz w:val="29"/>
                <w:szCs w:val="29"/>
                <w:b w:val="1"/>
                <w:bCs w:val="1"/>
                <w:color w:val="auto"/>
                <w:w w:val="86"/>
              </w:rPr>
              <w:t>9</w:t>
            </w:r>
          </w:p>
        </w:tc>
        <w:tc>
          <w:tcPr>
            <w:tcW w:w="96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5460" w:type="dxa"/>
            <w:vAlign w:val="bottom"/>
            <w:gridSpan w:val="2"/>
          </w:tcPr>
          <w:p>
            <w:pPr>
              <w:ind w:left="340"/>
              <w:spacing w:after="0"/>
              <w:rPr>
                <w:sz w:val="20"/>
                <w:szCs w:val="20"/>
                <w:color w:val="auto"/>
              </w:rPr>
            </w:pPr>
            <w:r>
              <w:rPr>
                <w:rFonts w:ascii="Arial" w:cs="Arial" w:eastAsia="Arial" w:hAnsi="Arial"/>
                <w:sz w:val="18"/>
                <w:szCs w:val="18"/>
                <w:color w:val="auto"/>
              </w:rPr>
              <w:t>1,445,800 shares of Common Stock</w:t>
            </w:r>
          </w:p>
        </w:tc>
        <w:tc>
          <w:tcPr>
            <w:tcW w:w="4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9680" w:type="dxa"/>
            <w:vAlign w:val="bottom"/>
            <w:tcBorders>
              <w:right w:val="single" w:sz="8" w:color="auto"/>
            </w:tcBorders>
            <w:gridSpan w:val="3"/>
          </w:tcPr>
          <w:p>
            <w:pPr>
              <w:ind w:left="340"/>
              <w:spacing w:after="0"/>
              <w:rPr>
                <w:sz w:val="20"/>
                <w:szCs w:val="20"/>
                <w:color w:val="auto"/>
              </w:rPr>
            </w:pPr>
            <w:r>
              <w:rPr>
                <w:rFonts w:ascii="Arial" w:cs="Arial" w:eastAsia="Arial" w:hAnsi="Arial"/>
                <w:sz w:val="18"/>
                <w:szCs w:val="18"/>
                <w:color w:val="auto"/>
              </w:rPr>
              <w:t>3,750,000 shares of Common Stock issuable upon exercise of Series A, D and E Warrants (See Item 4)*</w:t>
            </w: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tcPr>
          <w:p>
            <w:pPr>
              <w:spacing w:after="0"/>
              <w:rPr>
                <w:sz w:val="20"/>
                <w:szCs w:val="20"/>
                <w:color w:val="auto"/>
              </w:rPr>
            </w:pPr>
          </w:p>
        </w:tc>
        <w:tc>
          <w:tcPr>
            <w:tcW w:w="9680" w:type="dxa"/>
            <w:vAlign w:val="bottom"/>
            <w:tcBorders>
              <w:right w:val="single" w:sz="8" w:color="auto"/>
            </w:tcBorders>
            <w:gridSpan w:val="3"/>
          </w:tcPr>
          <w:p>
            <w:pPr>
              <w:ind w:left="340"/>
              <w:spacing w:after="0"/>
              <w:rPr>
                <w:sz w:val="20"/>
                <w:szCs w:val="20"/>
                <w:color w:val="auto"/>
              </w:rPr>
            </w:pPr>
            <w:r>
              <w:rPr>
                <w:rFonts w:ascii="Arial" w:cs="Arial" w:eastAsia="Arial" w:hAnsi="Arial"/>
                <w:sz w:val="18"/>
                <w:szCs w:val="18"/>
                <w:color w:val="auto"/>
              </w:rPr>
              <w:t>2,500,000 shares of Common Stock issuable upon exercise of Series B and C Warrants (See Item 4)*</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bottom w:val="single" w:sz="8" w:color="auto"/>
              <w:right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520" w:type="dxa"/>
            <w:vAlign w:val="bottom"/>
            <w:tcBorders>
              <w:bottom w:val="single" w:sz="8" w:color="auto"/>
              <w:right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vMerge w:val="restart"/>
          </w:tcPr>
          <w:p>
            <w:pPr>
              <w:jc w:val="center"/>
              <w:spacing w:after="0" w:line="331" w:lineRule="exact"/>
              <w:rPr>
                <w:sz w:val="20"/>
                <w:szCs w:val="20"/>
                <w:color w:val="auto"/>
              </w:rPr>
            </w:pPr>
            <w:r>
              <w:rPr>
                <w:rFonts w:ascii="Arial" w:cs="Arial" w:eastAsia="Arial" w:hAnsi="Arial"/>
                <w:sz w:val="29"/>
                <w:szCs w:val="29"/>
                <w:b w:val="1"/>
                <w:bCs w:val="1"/>
                <w:color w:val="auto"/>
                <w:w w:val="92"/>
              </w:rPr>
              <w:t>10</w:t>
            </w:r>
          </w:p>
        </w:tc>
        <w:tc>
          <w:tcPr>
            <w:tcW w:w="9680" w:type="dxa"/>
            <w:vAlign w:val="bottom"/>
            <w:tcBorders>
              <w:right w:val="single" w:sz="8" w:color="auto"/>
            </w:tcBorders>
            <w:gridSpan w:val="3"/>
          </w:tcPr>
          <w:p>
            <w:pPr>
              <w:ind w:left="240"/>
              <w:spacing w:after="0"/>
              <w:rPr>
                <w:sz w:val="20"/>
                <w:szCs w:val="20"/>
                <w:color w:val="auto"/>
              </w:rPr>
            </w:pPr>
            <w:r>
              <w:rPr>
                <w:rFonts w:ascii="Arial" w:cs="Arial" w:eastAsia="Arial" w:hAnsi="Arial"/>
                <w:sz w:val="18"/>
                <w:szCs w:val="18"/>
                <w:color w:val="auto"/>
              </w:rPr>
              <w:t>CHECK BOX IF THE AGGREGATE AMOUNT IN ROW (9) EXCLUDES CERTAIN SHARES   o</w:t>
            </w:r>
          </w:p>
        </w:tc>
        <w:tc>
          <w:tcPr>
            <w:tcW w:w="0" w:type="dxa"/>
            <w:vAlign w:val="bottom"/>
          </w:tcPr>
          <w:p>
            <w:pPr>
              <w:spacing w:after="0"/>
              <w:rPr>
                <w:sz w:val="1"/>
                <w:szCs w:val="1"/>
                <w:color w:val="auto"/>
              </w:rPr>
            </w:pPr>
          </w:p>
        </w:tc>
      </w:tr>
      <w:tr>
        <w:trPr>
          <w:trHeight w:val="107"/>
        </w:trPr>
        <w:tc>
          <w:tcPr>
            <w:tcW w:w="1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4300" w:type="dxa"/>
            <w:vAlign w:val="bottom"/>
            <w:tcBorders>
              <w:bottom w:val="single" w:sz="8" w:color="auto"/>
            </w:tcBorders>
          </w:tcPr>
          <w:p>
            <w:pPr>
              <w:spacing w:after="0"/>
              <w:rPr>
                <w:sz w:val="9"/>
                <w:szCs w:val="9"/>
                <w:color w:val="auto"/>
              </w:rPr>
            </w:pPr>
          </w:p>
        </w:tc>
        <w:tc>
          <w:tcPr>
            <w:tcW w:w="42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740" w:type="dxa"/>
            <w:vAlign w:val="bottom"/>
            <w:tcBorders>
              <w:left w:val="single" w:sz="8" w:color="auto"/>
              <w:right w:val="single" w:sz="8" w:color="auto"/>
            </w:tcBorders>
          </w:tcPr>
          <w:p>
            <w:pPr>
              <w:jc w:val="center"/>
              <w:spacing w:after="0" w:line="263" w:lineRule="exact"/>
              <w:rPr>
                <w:sz w:val="20"/>
                <w:szCs w:val="20"/>
                <w:color w:val="auto"/>
              </w:rPr>
            </w:pPr>
            <w:r>
              <w:rPr>
                <w:rFonts w:ascii="Arial" w:cs="Arial" w:eastAsia="Arial" w:hAnsi="Arial"/>
                <w:sz w:val="29"/>
                <w:szCs w:val="29"/>
                <w:b w:val="1"/>
                <w:bCs w:val="1"/>
                <w:color w:val="auto"/>
                <w:w w:val="80"/>
              </w:rPr>
              <w:t>11</w:t>
            </w:r>
          </w:p>
        </w:tc>
        <w:tc>
          <w:tcPr>
            <w:tcW w:w="5460" w:type="dxa"/>
            <w:vAlign w:val="bottom"/>
            <w:gridSpan w:val="2"/>
          </w:tcPr>
          <w:p>
            <w:pPr>
              <w:spacing w:after="0"/>
              <w:rPr>
                <w:sz w:val="20"/>
                <w:szCs w:val="20"/>
                <w:color w:val="auto"/>
              </w:rPr>
            </w:pPr>
            <w:r>
              <w:rPr>
                <w:rFonts w:ascii="Arial" w:cs="Arial" w:eastAsia="Arial" w:hAnsi="Arial"/>
                <w:sz w:val="18"/>
                <w:szCs w:val="18"/>
                <w:color w:val="auto"/>
              </w:rPr>
              <w:t>PERCENT OF CLASS REPRESENTED BY AMOUNT IN ROW (9)</w:t>
            </w:r>
          </w:p>
        </w:tc>
        <w:tc>
          <w:tcPr>
            <w:tcW w:w="42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tcPr>
          <w:p>
            <w:pPr>
              <w:spacing w:after="0"/>
              <w:rPr>
                <w:sz w:val="20"/>
                <w:szCs w:val="20"/>
                <w:color w:val="auto"/>
              </w:rPr>
            </w:pPr>
          </w:p>
        </w:tc>
        <w:tc>
          <w:tcPr>
            <w:tcW w:w="5460" w:type="dxa"/>
            <w:vAlign w:val="bottom"/>
            <w:gridSpan w:val="2"/>
          </w:tcPr>
          <w:p>
            <w:pPr>
              <w:ind w:left="240"/>
              <w:spacing w:after="0"/>
              <w:rPr>
                <w:sz w:val="20"/>
                <w:szCs w:val="20"/>
                <w:color w:val="auto"/>
              </w:rPr>
            </w:pPr>
            <w:r>
              <w:rPr>
                <w:rFonts w:ascii="Arial" w:cs="Arial" w:eastAsia="Arial" w:hAnsi="Arial"/>
                <w:sz w:val="18"/>
                <w:szCs w:val="18"/>
                <w:color w:val="auto"/>
              </w:rPr>
              <w:t>9.9% (See Item 4)*</w:t>
            </w:r>
          </w:p>
        </w:tc>
        <w:tc>
          <w:tcPr>
            <w:tcW w:w="4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bottom w:val="single" w:sz="8" w:color="auto"/>
              <w:right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4300" w:type="dxa"/>
            <w:vAlign w:val="bottom"/>
            <w:tcBorders>
              <w:bottom w:val="single" w:sz="8" w:color="auto"/>
            </w:tcBorders>
          </w:tcPr>
          <w:p>
            <w:pPr>
              <w:spacing w:after="0"/>
              <w:rPr>
                <w:sz w:val="17"/>
                <w:szCs w:val="17"/>
                <w:color w:val="auto"/>
              </w:rPr>
            </w:pPr>
          </w:p>
        </w:tc>
        <w:tc>
          <w:tcPr>
            <w:tcW w:w="42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1740" w:type="dxa"/>
            <w:vAlign w:val="bottom"/>
            <w:tcBorders>
              <w:left w:val="single" w:sz="8" w:color="auto"/>
              <w:right w:val="single" w:sz="8" w:color="auto"/>
            </w:tcBorders>
          </w:tcPr>
          <w:p>
            <w:pPr>
              <w:jc w:val="center"/>
              <w:spacing w:after="0" w:line="316" w:lineRule="exact"/>
              <w:rPr>
                <w:sz w:val="20"/>
                <w:szCs w:val="20"/>
                <w:color w:val="auto"/>
              </w:rPr>
            </w:pPr>
            <w:r>
              <w:rPr>
                <w:rFonts w:ascii="Arial" w:cs="Arial" w:eastAsia="Arial" w:hAnsi="Arial"/>
                <w:sz w:val="29"/>
                <w:szCs w:val="29"/>
                <w:b w:val="1"/>
                <w:bCs w:val="1"/>
                <w:color w:val="auto"/>
                <w:w w:val="92"/>
              </w:rPr>
              <w:t>12</w:t>
            </w:r>
          </w:p>
        </w:tc>
        <w:tc>
          <w:tcPr>
            <w:tcW w:w="5460" w:type="dxa"/>
            <w:vAlign w:val="bottom"/>
            <w:gridSpan w:val="2"/>
          </w:tcPr>
          <w:p>
            <w:pPr>
              <w:spacing w:after="0"/>
              <w:rPr>
                <w:sz w:val="20"/>
                <w:szCs w:val="20"/>
                <w:color w:val="auto"/>
              </w:rPr>
            </w:pPr>
            <w:r>
              <w:rPr>
                <w:rFonts w:ascii="Arial" w:cs="Arial" w:eastAsia="Arial" w:hAnsi="Arial"/>
                <w:sz w:val="18"/>
                <w:szCs w:val="18"/>
                <w:color w:val="auto"/>
              </w:rPr>
              <w:t>TYPE OF REPORTING PERSON</w:t>
            </w:r>
          </w:p>
        </w:tc>
        <w:tc>
          <w:tcPr>
            <w:tcW w:w="4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4300" w:type="dxa"/>
            <w:vAlign w:val="bottom"/>
            <w:tcBorders>
              <w:bottom w:val="single" w:sz="8" w:color="auto"/>
            </w:tcBorders>
          </w:tcPr>
          <w:p>
            <w:pPr>
              <w:spacing w:after="0"/>
              <w:rPr>
                <w:sz w:val="20"/>
                <w:szCs w:val="20"/>
                <w:color w:val="auto"/>
              </w:rPr>
            </w:pPr>
          </w:p>
        </w:tc>
        <w:tc>
          <w:tcPr>
            <w:tcW w:w="42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8"/>
        <w:spacing w:after="0" w:line="291" w:lineRule="auto"/>
        <w:tabs>
          <w:tab w:leader="none" w:pos="149" w:val="left"/>
        </w:tabs>
        <w:numPr>
          <w:ilvl w:val="0"/>
          <w:numId w:val="2"/>
        </w:numPr>
        <w:rPr>
          <w:rFonts w:ascii="Arial" w:cs="Arial" w:eastAsia="Arial" w:hAnsi="Arial"/>
          <w:sz w:val="16"/>
          <w:szCs w:val="16"/>
          <w:color w:val="auto"/>
        </w:rPr>
      </w:pPr>
      <w:r>
        <w:rPr>
          <w:rFonts w:ascii="Arial" w:cs="Arial" w:eastAsia="Arial" w:hAnsi="Arial"/>
          <w:sz w:val="16"/>
          <w:szCs w:val="16"/>
          <w:color w:val="auto"/>
        </w:rPr>
        <w:t>As more fully described in Item 4, the Series A, D and E Warrants are subject to a 4.9% blocker and the Series B and C Warrants are subject to a 9.9% blocker and the percentage set forth in row (11) gives effect to such blockers. However, as more fully described in Item 4, the securities reported in rows (6),</w:t>
      </w:r>
    </w:p>
    <w:p>
      <w:pPr>
        <w:jc w:val="both"/>
        <w:spacing w:after="0" w:line="255" w:lineRule="auto"/>
        <w:rPr>
          <w:rFonts w:ascii="Arial" w:cs="Arial" w:eastAsia="Arial" w:hAnsi="Arial"/>
          <w:sz w:val="16"/>
          <w:szCs w:val="16"/>
          <w:color w:val="auto"/>
        </w:rPr>
      </w:pPr>
      <w:r>
        <w:rPr>
          <w:rFonts w:ascii="Arial" w:cs="Arial" w:eastAsia="Arial" w:hAnsi="Arial"/>
          <w:sz w:val="18"/>
          <w:szCs w:val="18"/>
          <w:color w:val="auto"/>
        </w:rPr>
        <w:t>(8) and (9) show the number of shares of Common Stock that would be issuable upon full exercise of such reported securities and do not give effect to such blocker. Therefore, the actual number of shares of Common Stock beneficially owned by such Reporting Person, after giving effect to such blocker, is less than the number of securities reported in rows (6), (8) and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3"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83"/>
        </w:trPr>
        <w:tc>
          <w:tcPr>
            <w:tcW w:w="1740" w:type="dxa"/>
            <w:vAlign w:val="bottom"/>
            <w:tcBorders>
              <w:top w:val="single" w:sz="8" w:color="auto"/>
              <w:left w:val="single" w:sz="8" w:color="auto"/>
              <w:right w:val="single" w:sz="8" w:color="auto"/>
            </w:tcBorders>
          </w:tcPr>
          <w:p>
            <w:pPr>
              <w:jc w:val="center"/>
              <w:spacing w:after="0" w:line="283" w:lineRule="exact"/>
              <w:rPr>
                <w:sz w:val="20"/>
                <w:szCs w:val="20"/>
                <w:color w:val="auto"/>
              </w:rPr>
            </w:pPr>
            <w:r>
              <w:rPr>
                <w:rFonts w:ascii="Arial" w:cs="Arial" w:eastAsia="Arial" w:hAnsi="Arial"/>
                <w:sz w:val="29"/>
                <w:szCs w:val="29"/>
                <w:b w:val="1"/>
                <w:bCs w:val="1"/>
                <w:color w:val="auto"/>
                <w:w w:val="86"/>
              </w:rPr>
              <w:t>1</w:t>
            </w:r>
          </w:p>
        </w:tc>
        <w:tc>
          <w:tcPr>
            <w:tcW w:w="54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NAMES OF REPORTING PERSONS</w:t>
            </w:r>
          </w:p>
        </w:tc>
        <w:tc>
          <w:tcPr>
            <w:tcW w:w="42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740" w:type="dxa"/>
            <w:vAlign w:val="bottom"/>
            <w:tcBorders>
              <w:left w:val="single" w:sz="8" w:color="auto"/>
              <w:bottom w:val="single" w:sz="8" w:color="auto"/>
              <w:right w:val="single" w:sz="8" w:color="auto"/>
            </w:tcBorders>
          </w:tcPr>
          <w:p>
            <w:pPr>
              <w:spacing w:after="0"/>
              <w:rPr>
                <w:sz w:val="18"/>
                <w:szCs w:val="18"/>
                <w:color w:val="auto"/>
              </w:rPr>
            </w:pPr>
          </w:p>
        </w:tc>
        <w:tc>
          <w:tcPr>
            <w:tcW w:w="546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Joshua Silverman</w:t>
            </w:r>
          </w:p>
        </w:tc>
        <w:tc>
          <w:tcPr>
            <w:tcW w:w="4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vMerge w:val="restart"/>
          </w:tcPr>
          <w:p>
            <w:pPr>
              <w:jc w:val="center"/>
              <w:spacing w:after="0" w:line="263" w:lineRule="exact"/>
              <w:rPr>
                <w:sz w:val="20"/>
                <w:szCs w:val="20"/>
                <w:color w:val="auto"/>
              </w:rPr>
            </w:pPr>
            <w:r>
              <w:rPr>
                <w:rFonts w:ascii="Arial" w:cs="Arial" w:eastAsia="Arial" w:hAnsi="Arial"/>
                <w:sz w:val="29"/>
                <w:szCs w:val="29"/>
                <w:b w:val="1"/>
                <w:bCs w:val="1"/>
                <w:color w:val="auto"/>
                <w:w w:val="86"/>
              </w:rPr>
              <w:t>2</w:t>
            </w:r>
          </w:p>
        </w:tc>
        <w:tc>
          <w:tcPr>
            <w:tcW w:w="5460" w:type="dxa"/>
            <w:vAlign w:val="bottom"/>
            <w:gridSpan w:val="2"/>
          </w:tcPr>
          <w:p>
            <w:pPr>
              <w:ind w:left="240"/>
              <w:spacing w:after="0"/>
              <w:rPr>
                <w:sz w:val="20"/>
                <w:szCs w:val="20"/>
                <w:color w:val="auto"/>
              </w:rPr>
            </w:pPr>
            <w:r>
              <w:rPr>
                <w:rFonts w:ascii="Arial" w:cs="Arial" w:eastAsia="Arial" w:hAnsi="Arial"/>
                <w:sz w:val="18"/>
                <w:szCs w:val="18"/>
                <w:color w:val="auto"/>
                <w:w w:val="99"/>
              </w:rPr>
              <w:t>CHECK THE APPROPRIATE BOX IF A MEMBER OF A GROUP</w:t>
            </w:r>
          </w:p>
        </w:tc>
        <w:tc>
          <w:tcPr>
            <w:tcW w:w="4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39"/>
        </w:trPr>
        <w:tc>
          <w:tcPr>
            <w:tcW w:w="1740" w:type="dxa"/>
            <w:vAlign w:val="bottom"/>
            <w:tcBorders>
              <w:left w:val="single" w:sz="8" w:color="auto"/>
              <w:right w:val="single" w:sz="8" w:color="auto"/>
            </w:tcBorders>
            <w:vMerge w:val="continue"/>
          </w:tcPr>
          <w:p>
            <w:pPr>
              <w:spacing w:after="0"/>
              <w:rPr>
                <w:sz w:val="3"/>
                <w:szCs w:val="3"/>
                <w:color w:val="auto"/>
              </w:rPr>
            </w:pPr>
          </w:p>
        </w:tc>
        <w:tc>
          <w:tcPr>
            <w:tcW w:w="1160" w:type="dxa"/>
            <w:vAlign w:val="bottom"/>
          </w:tcPr>
          <w:p>
            <w:pPr>
              <w:spacing w:after="0"/>
              <w:rPr>
                <w:sz w:val="3"/>
                <w:szCs w:val="3"/>
                <w:color w:val="auto"/>
              </w:rPr>
            </w:pPr>
          </w:p>
        </w:tc>
        <w:tc>
          <w:tcPr>
            <w:tcW w:w="4300" w:type="dxa"/>
            <w:vAlign w:val="bottom"/>
          </w:tcPr>
          <w:p>
            <w:pPr>
              <w:spacing w:after="0"/>
              <w:rPr>
                <w:sz w:val="3"/>
                <w:szCs w:val="3"/>
                <w:color w:val="auto"/>
              </w:rPr>
            </w:pPr>
          </w:p>
        </w:tc>
        <w:tc>
          <w:tcPr>
            <w:tcW w:w="422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7"/>
        </w:trPr>
        <w:tc>
          <w:tcPr>
            <w:tcW w:w="1740" w:type="dxa"/>
            <w:vAlign w:val="bottom"/>
            <w:tcBorders>
              <w:left w:val="single" w:sz="8" w:color="auto"/>
              <w:bottom w:val="single" w:sz="8" w:color="auto"/>
              <w:right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tcPr>
          <w:p>
            <w:pPr>
              <w:spacing w:after="0"/>
              <w:rPr>
                <w:sz w:val="18"/>
                <w:szCs w:val="18"/>
                <w:color w:val="auto"/>
              </w:rPr>
            </w:pPr>
          </w:p>
        </w:tc>
        <w:tc>
          <w:tcPr>
            <w:tcW w:w="4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3</w:t>
            </w:r>
          </w:p>
        </w:tc>
        <w:tc>
          <w:tcPr>
            <w:tcW w:w="5460" w:type="dxa"/>
            <w:vAlign w:val="bottom"/>
            <w:gridSpan w:val="2"/>
          </w:tcPr>
          <w:p>
            <w:pPr>
              <w:ind w:left="240"/>
              <w:spacing w:after="0"/>
              <w:rPr>
                <w:sz w:val="20"/>
                <w:szCs w:val="20"/>
                <w:color w:val="auto"/>
              </w:rPr>
            </w:pPr>
            <w:r>
              <w:rPr>
                <w:rFonts w:ascii="Arial" w:cs="Arial" w:eastAsia="Arial" w:hAnsi="Arial"/>
                <w:sz w:val="18"/>
                <w:szCs w:val="18"/>
                <w:color w:val="auto"/>
              </w:rPr>
              <w:t>SEC USE ONLY</w:t>
            </w:r>
          </w:p>
        </w:tc>
        <w:tc>
          <w:tcPr>
            <w:tcW w:w="4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1740" w:type="dxa"/>
            <w:vAlign w:val="bottom"/>
            <w:tcBorders>
              <w:left w:val="single" w:sz="8" w:color="auto"/>
              <w:right w:val="single" w:sz="8" w:color="auto"/>
            </w:tcBorders>
            <w:vMerge w:val="continue"/>
          </w:tcPr>
          <w:p>
            <w:pPr>
              <w:spacing w:after="0"/>
              <w:rPr>
                <w:sz w:val="12"/>
                <w:szCs w:val="12"/>
                <w:color w:val="auto"/>
              </w:rPr>
            </w:pPr>
          </w:p>
        </w:tc>
        <w:tc>
          <w:tcPr>
            <w:tcW w:w="116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42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8"/>
        </w:trPr>
        <w:tc>
          <w:tcPr>
            <w:tcW w:w="1740" w:type="dxa"/>
            <w:vAlign w:val="bottom"/>
            <w:tcBorders>
              <w:left w:val="single" w:sz="8" w:color="auto"/>
              <w:bottom w:val="single" w:sz="8" w:color="auto"/>
              <w:right w:val="single" w:sz="8" w:color="auto"/>
            </w:tcBorders>
          </w:tcPr>
          <w:p>
            <w:pPr>
              <w:spacing w:after="0"/>
              <w:rPr>
                <w:sz w:val="5"/>
                <w:szCs w:val="5"/>
                <w:color w:val="auto"/>
              </w:rPr>
            </w:pPr>
          </w:p>
        </w:tc>
        <w:tc>
          <w:tcPr>
            <w:tcW w:w="5460" w:type="dxa"/>
            <w:vAlign w:val="bottom"/>
            <w:tcBorders>
              <w:bottom w:val="single" w:sz="8" w:color="auto"/>
            </w:tcBorders>
            <w:gridSpan w:val="2"/>
          </w:tcPr>
          <w:p>
            <w:pPr>
              <w:spacing w:after="0"/>
              <w:rPr>
                <w:sz w:val="5"/>
                <w:szCs w:val="5"/>
                <w:color w:val="auto"/>
              </w:rPr>
            </w:pPr>
          </w:p>
        </w:tc>
        <w:tc>
          <w:tcPr>
            <w:tcW w:w="4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740" w:type="dxa"/>
            <w:vAlign w:val="bottom"/>
            <w:tcBorders>
              <w:left w:val="single" w:sz="8" w:color="auto"/>
              <w:right w:val="single" w:sz="8" w:color="auto"/>
            </w:tcBorders>
          </w:tcPr>
          <w:p>
            <w:pPr>
              <w:jc w:val="center"/>
              <w:spacing w:after="0" w:line="263" w:lineRule="exact"/>
              <w:rPr>
                <w:sz w:val="20"/>
                <w:szCs w:val="20"/>
                <w:color w:val="auto"/>
              </w:rPr>
            </w:pPr>
            <w:r>
              <w:rPr>
                <w:rFonts w:ascii="Arial" w:cs="Arial" w:eastAsia="Arial" w:hAnsi="Arial"/>
                <w:sz w:val="29"/>
                <w:szCs w:val="29"/>
                <w:b w:val="1"/>
                <w:bCs w:val="1"/>
                <w:color w:val="auto"/>
                <w:w w:val="86"/>
              </w:rPr>
              <w:t>4</w:t>
            </w:r>
          </w:p>
        </w:tc>
        <w:tc>
          <w:tcPr>
            <w:tcW w:w="5460" w:type="dxa"/>
            <w:vAlign w:val="bottom"/>
            <w:gridSpan w:val="2"/>
          </w:tcPr>
          <w:p>
            <w:pPr>
              <w:spacing w:after="0"/>
              <w:rPr>
                <w:sz w:val="20"/>
                <w:szCs w:val="20"/>
                <w:color w:val="auto"/>
              </w:rPr>
            </w:pPr>
            <w:r>
              <w:rPr>
                <w:rFonts w:ascii="Arial" w:cs="Arial" w:eastAsia="Arial" w:hAnsi="Arial"/>
                <w:sz w:val="18"/>
                <w:szCs w:val="18"/>
                <w:color w:val="auto"/>
              </w:rPr>
              <w:t>CITIZENSHIP OR PLACE OF ORGANIZATION</w:t>
            </w:r>
          </w:p>
        </w:tc>
        <w:tc>
          <w:tcPr>
            <w:tcW w:w="42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tcPr>
          <w:p>
            <w:pPr>
              <w:spacing w:after="0"/>
              <w:rPr>
                <w:sz w:val="20"/>
                <w:szCs w:val="20"/>
                <w:color w:val="auto"/>
              </w:rPr>
            </w:pPr>
          </w:p>
        </w:tc>
        <w:tc>
          <w:tcPr>
            <w:tcW w:w="5460" w:type="dxa"/>
            <w:vAlign w:val="bottom"/>
            <w:gridSpan w:val="2"/>
          </w:tcPr>
          <w:p>
            <w:pPr>
              <w:ind w:left="240"/>
              <w:spacing w:after="0"/>
              <w:rPr>
                <w:sz w:val="20"/>
                <w:szCs w:val="20"/>
                <w:color w:val="auto"/>
              </w:rPr>
            </w:pPr>
            <w:r>
              <w:rPr>
                <w:rFonts w:ascii="Arial" w:cs="Arial" w:eastAsia="Arial" w:hAnsi="Arial"/>
                <w:sz w:val="18"/>
                <w:szCs w:val="18"/>
                <w:color w:val="auto"/>
              </w:rPr>
              <w:t>United States of America</w:t>
            </w:r>
          </w:p>
        </w:tc>
        <w:tc>
          <w:tcPr>
            <w:tcW w:w="4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740" w:type="dxa"/>
            <w:vAlign w:val="bottom"/>
            <w:tcBorders>
              <w:left w:val="single" w:sz="8" w:color="auto"/>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4300" w:type="dxa"/>
            <w:vAlign w:val="bottom"/>
            <w:tcBorders>
              <w:bottom w:val="single" w:sz="8" w:color="auto"/>
            </w:tcBorders>
          </w:tcPr>
          <w:p>
            <w:pPr>
              <w:spacing w:after="0"/>
              <w:rPr>
                <w:sz w:val="7"/>
                <w:szCs w:val="7"/>
                <w:color w:val="auto"/>
              </w:rPr>
            </w:pPr>
          </w:p>
        </w:tc>
        <w:tc>
          <w:tcPr>
            <w:tcW w:w="4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68"/>
        </w:trPr>
        <w:tc>
          <w:tcPr>
            <w:tcW w:w="1740" w:type="dxa"/>
            <w:vAlign w:val="bottom"/>
            <w:tcBorders>
              <w:left w:val="single" w:sz="8" w:color="auto"/>
              <w:right w:val="single" w:sz="8" w:color="auto"/>
            </w:tcBorders>
          </w:tcPr>
          <w:p>
            <w:pPr>
              <w:spacing w:after="0"/>
              <w:rPr>
                <w:sz w:val="24"/>
                <w:szCs w:val="24"/>
                <w:color w:val="auto"/>
              </w:rPr>
            </w:pPr>
          </w:p>
        </w:tc>
        <w:tc>
          <w:tcPr>
            <w:tcW w:w="1160" w:type="dxa"/>
            <w:vAlign w:val="bottom"/>
            <w:tcBorders>
              <w:right w:val="single" w:sz="8" w:color="auto"/>
            </w:tcBorders>
          </w:tcPr>
          <w:p>
            <w:pPr>
              <w:ind w:left="500"/>
              <w:spacing w:after="0"/>
              <w:rPr>
                <w:sz w:val="20"/>
                <w:szCs w:val="20"/>
                <w:color w:val="auto"/>
              </w:rPr>
            </w:pPr>
            <w:r>
              <w:rPr>
                <w:rFonts w:ascii="Arial" w:cs="Arial" w:eastAsia="Arial" w:hAnsi="Arial"/>
                <w:sz w:val="29"/>
                <w:szCs w:val="29"/>
                <w:b w:val="1"/>
                <w:bCs w:val="1"/>
                <w:color w:val="auto"/>
              </w:rPr>
              <w:t>5</w:t>
            </w:r>
          </w:p>
        </w:tc>
        <w:tc>
          <w:tcPr>
            <w:tcW w:w="4300" w:type="dxa"/>
            <w:vAlign w:val="bottom"/>
          </w:tcPr>
          <w:p>
            <w:pPr>
              <w:spacing w:after="0"/>
              <w:rPr>
                <w:sz w:val="20"/>
                <w:szCs w:val="20"/>
                <w:color w:val="auto"/>
              </w:rPr>
            </w:pPr>
            <w:r>
              <w:rPr>
                <w:rFonts w:ascii="Arial" w:cs="Arial" w:eastAsia="Arial" w:hAnsi="Arial"/>
                <w:sz w:val="18"/>
                <w:szCs w:val="18"/>
                <w:color w:val="auto"/>
              </w:rPr>
              <w:t>SOLE VOTING POWER</w:t>
            </w:r>
          </w:p>
        </w:tc>
        <w:tc>
          <w:tcPr>
            <w:tcW w:w="4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740" w:type="dxa"/>
            <w:vAlign w:val="bottom"/>
            <w:tcBorders>
              <w:left w:val="single" w:sz="8" w:color="auto"/>
              <w:right w:val="single" w:sz="8" w:color="auto"/>
            </w:tcBorders>
          </w:tcPr>
          <w:p>
            <w:pPr>
              <w:spacing w:after="0"/>
              <w:rPr>
                <w:sz w:val="9"/>
                <w:szCs w:val="9"/>
                <w:color w:val="auto"/>
              </w:rPr>
            </w:pPr>
          </w:p>
        </w:tc>
        <w:tc>
          <w:tcPr>
            <w:tcW w:w="1160" w:type="dxa"/>
            <w:vAlign w:val="bottom"/>
            <w:tcBorders>
              <w:bottom w:val="single" w:sz="8" w:color="auto"/>
              <w:right w:val="single" w:sz="8" w:color="auto"/>
            </w:tcBorders>
          </w:tcPr>
          <w:p>
            <w:pPr>
              <w:spacing w:after="0"/>
              <w:rPr>
                <w:sz w:val="9"/>
                <w:szCs w:val="9"/>
                <w:color w:val="auto"/>
              </w:rPr>
            </w:pPr>
          </w:p>
        </w:tc>
        <w:tc>
          <w:tcPr>
            <w:tcW w:w="4300" w:type="dxa"/>
            <w:vAlign w:val="bottom"/>
            <w:tcBorders>
              <w:bottom w:val="single" w:sz="8" w:color="auto"/>
            </w:tcBorders>
          </w:tcPr>
          <w:p>
            <w:pPr>
              <w:spacing w:after="0"/>
              <w:rPr>
                <w:sz w:val="9"/>
                <w:szCs w:val="9"/>
                <w:color w:val="auto"/>
              </w:rPr>
            </w:pPr>
          </w:p>
        </w:tc>
        <w:tc>
          <w:tcPr>
            <w:tcW w:w="42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1160" w:type="dxa"/>
            <w:vAlign w:val="bottom"/>
            <w:tcBorders>
              <w:right w:val="single" w:sz="8" w:color="auto"/>
            </w:tcBorders>
          </w:tcPr>
          <w:p>
            <w:pPr>
              <w:ind w:left="500"/>
              <w:spacing w:after="0" w:line="263" w:lineRule="exact"/>
              <w:rPr>
                <w:sz w:val="20"/>
                <w:szCs w:val="20"/>
                <w:color w:val="auto"/>
              </w:rPr>
            </w:pPr>
            <w:r>
              <w:rPr>
                <w:rFonts w:ascii="Arial" w:cs="Arial" w:eastAsia="Arial" w:hAnsi="Arial"/>
                <w:sz w:val="29"/>
                <w:szCs w:val="29"/>
                <w:b w:val="1"/>
                <w:bCs w:val="1"/>
                <w:color w:val="auto"/>
              </w:rPr>
              <w:t>6</w:t>
            </w:r>
          </w:p>
        </w:tc>
        <w:tc>
          <w:tcPr>
            <w:tcW w:w="4300" w:type="dxa"/>
            <w:vAlign w:val="bottom"/>
          </w:tcPr>
          <w:p>
            <w:pPr>
              <w:spacing w:after="0"/>
              <w:rPr>
                <w:sz w:val="20"/>
                <w:szCs w:val="20"/>
                <w:color w:val="auto"/>
              </w:rPr>
            </w:pPr>
            <w:r>
              <w:rPr>
                <w:rFonts w:ascii="Arial" w:cs="Arial" w:eastAsia="Arial" w:hAnsi="Arial"/>
                <w:sz w:val="18"/>
                <w:szCs w:val="18"/>
                <w:color w:val="auto"/>
              </w:rPr>
              <w:t>SHARED VOTING POWER</w:t>
            </w:r>
          </w:p>
        </w:tc>
        <w:tc>
          <w:tcPr>
            <w:tcW w:w="42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740" w:type="dxa"/>
            <w:vAlign w:val="bottom"/>
            <w:tcBorders>
              <w:left w:val="single" w:sz="8" w:color="auto"/>
              <w:right w:val="single" w:sz="8" w:color="auto"/>
            </w:tcBorders>
            <w:vMerge w:val="continue"/>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4300" w:type="dxa"/>
            <w:vAlign w:val="bottom"/>
          </w:tcPr>
          <w:p>
            <w:pPr>
              <w:ind w:left="320"/>
              <w:spacing w:after="0" w:line="189" w:lineRule="exact"/>
              <w:rPr>
                <w:sz w:val="20"/>
                <w:szCs w:val="20"/>
                <w:color w:val="auto"/>
              </w:rPr>
            </w:pPr>
            <w:r>
              <w:rPr>
                <w:rFonts w:ascii="Arial" w:cs="Arial" w:eastAsia="Arial" w:hAnsi="Arial"/>
                <w:sz w:val="18"/>
                <w:szCs w:val="18"/>
                <w:color w:val="auto"/>
              </w:rPr>
              <w:t>1,445,800 shares of Common Stock</w:t>
            </w:r>
          </w:p>
        </w:tc>
        <w:tc>
          <w:tcPr>
            <w:tcW w:w="4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160" w:type="dxa"/>
            <w:vAlign w:val="bottom"/>
            <w:tcBorders>
              <w:right w:val="single" w:sz="8" w:color="auto"/>
            </w:tcBorders>
          </w:tcPr>
          <w:p>
            <w:pPr>
              <w:spacing w:after="0"/>
              <w:rPr>
                <w:sz w:val="18"/>
                <w:szCs w:val="18"/>
                <w:color w:val="auto"/>
              </w:rPr>
            </w:pPr>
          </w:p>
        </w:tc>
        <w:tc>
          <w:tcPr>
            <w:tcW w:w="852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w w:val="98"/>
              </w:rPr>
              <w:t>3,750,000 shares of Common Stock issuable upon exercise of Series A, D and E Warrants (See Item 4)*</w:t>
            </w: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1160" w:type="dxa"/>
            <w:vAlign w:val="bottom"/>
            <w:tcBorders>
              <w:right w:val="single" w:sz="8" w:color="auto"/>
            </w:tcBorders>
          </w:tcPr>
          <w:p>
            <w:pPr>
              <w:spacing w:after="0"/>
              <w:rPr>
                <w:sz w:val="18"/>
                <w:szCs w:val="18"/>
                <w:color w:val="auto"/>
              </w:rPr>
            </w:pPr>
          </w:p>
        </w:tc>
        <w:tc>
          <w:tcPr>
            <w:tcW w:w="852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rPr>
              <w:t>2,500,000 shares of Common Stock issuable upon exercise of Series B and C Warrants (See Item 4)*</w:t>
            </w:r>
          </w:p>
        </w:tc>
        <w:tc>
          <w:tcPr>
            <w:tcW w:w="0" w:type="dxa"/>
            <w:vAlign w:val="bottom"/>
          </w:tcPr>
          <w:p>
            <w:pPr>
              <w:spacing w:after="0"/>
              <w:rPr>
                <w:sz w:val="1"/>
                <w:szCs w:val="1"/>
                <w:color w:val="auto"/>
              </w:rPr>
            </w:pPr>
          </w:p>
        </w:tc>
      </w:tr>
      <w:tr>
        <w:trPr>
          <w:trHeight w:val="122"/>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1160" w:type="dxa"/>
            <w:vAlign w:val="bottom"/>
            <w:tcBorders>
              <w:bottom w:val="single" w:sz="8" w:color="auto"/>
              <w:right w:val="single" w:sz="8" w:color="auto"/>
            </w:tcBorders>
          </w:tcPr>
          <w:p>
            <w:pPr>
              <w:spacing w:after="0"/>
              <w:rPr>
                <w:sz w:val="10"/>
                <w:szCs w:val="10"/>
                <w:color w:val="auto"/>
              </w:rPr>
            </w:pPr>
          </w:p>
        </w:tc>
        <w:tc>
          <w:tcPr>
            <w:tcW w:w="4300" w:type="dxa"/>
            <w:vAlign w:val="bottom"/>
            <w:tcBorders>
              <w:bottom w:val="single" w:sz="8" w:color="auto"/>
            </w:tcBorders>
          </w:tcPr>
          <w:p>
            <w:pPr>
              <w:spacing w:after="0"/>
              <w:rPr>
                <w:sz w:val="10"/>
                <w:szCs w:val="10"/>
                <w:color w:val="auto"/>
              </w:rPr>
            </w:pPr>
          </w:p>
        </w:tc>
        <w:tc>
          <w:tcPr>
            <w:tcW w:w="4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740" w:type="dxa"/>
            <w:vAlign w:val="bottom"/>
            <w:tcBorders>
              <w:left w:val="single" w:sz="8" w:color="auto"/>
              <w:right w:val="single" w:sz="8" w:color="auto"/>
            </w:tcBorders>
            <w:vMerge w:val="continue"/>
          </w:tcPr>
          <w:p>
            <w:pPr>
              <w:spacing w:after="0"/>
              <w:rPr>
                <w:sz w:val="6"/>
                <w:szCs w:val="6"/>
                <w:color w:val="auto"/>
              </w:rPr>
            </w:pPr>
          </w:p>
        </w:tc>
        <w:tc>
          <w:tcPr>
            <w:tcW w:w="1160" w:type="dxa"/>
            <w:vAlign w:val="bottom"/>
            <w:tcBorders>
              <w:right w:val="single" w:sz="8" w:color="auto"/>
            </w:tcBorders>
            <w:vMerge w:val="restart"/>
          </w:tcPr>
          <w:p>
            <w:pPr>
              <w:ind w:left="500"/>
              <w:spacing w:after="0" w:line="290" w:lineRule="exact"/>
              <w:rPr>
                <w:sz w:val="20"/>
                <w:szCs w:val="20"/>
                <w:color w:val="auto"/>
              </w:rPr>
            </w:pPr>
            <w:r>
              <w:rPr>
                <w:rFonts w:ascii="Arial" w:cs="Arial" w:eastAsia="Arial" w:hAnsi="Arial"/>
                <w:sz w:val="29"/>
                <w:szCs w:val="29"/>
                <w:b w:val="1"/>
                <w:bCs w:val="1"/>
                <w:color w:val="auto"/>
              </w:rPr>
              <w:t>7</w:t>
            </w:r>
          </w:p>
        </w:tc>
        <w:tc>
          <w:tcPr>
            <w:tcW w:w="430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4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EACH</w:t>
            </w:r>
          </w:p>
        </w:tc>
        <w:tc>
          <w:tcPr>
            <w:tcW w:w="1160" w:type="dxa"/>
            <w:vAlign w:val="bottom"/>
            <w:tcBorders>
              <w:right w:val="single" w:sz="8" w:color="auto"/>
            </w:tcBorders>
            <w:vMerge w:val="continue"/>
          </w:tcPr>
          <w:p>
            <w:pPr>
              <w:spacing w:after="0"/>
              <w:rPr>
                <w:sz w:val="18"/>
                <w:szCs w:val="18"/>
                <w:color w:val="auto"/>
              </w:rPr>
            </w:pPr>
          </w:p>
        </w:tc>
        <w:tc>
          <w:tcPr>
            <w:tcW w:w="4300" w:type="dxa"/>
            <w:vAlign w:val="bottom"/>
            <w:vMerge w:val="continue"/>
          </w:tcPr>
          <w:p>
            <w:pPr>
              <w:spacing w:after="0"/>
              <w:rPr>
                <w:sz w:val="18"/>
                <w:szCs w:val="18"/>
                <w:color w:val="auto"/>
              </w:rPr>
            </w:pPr>
          </w:p>
        </w:tc>
        <w:tc>
          <w:tcPr>
            <w:tcW w:w="4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740" w:type="dxa"/>
            <w:vAlign w:val="bottom"/>
            <w:tcBorders>
              <w:left w:val="single" w:sz="8" w:color="auto"/>
              <w:right w:val="single" w:sz="8" w:color="auto"/>
            </w:tcBorders>
          </w:tcPr>
          <w:p>
            <w:pPr>
              <w:jc w:val="center"/>
              <w:spacing w:after="0" w:line="190" w:lineRule="exact"/>
              <w:rPr>
                <w:sz w:val="20"/>
                <w:szCs w:val="20"/>
                <w:color w:val="auto"/>
              </w:rPr>
            </w:pPr>
            <w:r>
              <w:rPr>
                <w:rFonts w:ascii="Arial" w:cs="Arial" w:eastAsia="Arial" w:hAnsi="Arial"/>
                <w:sz w:val="18"/>
                <w:szCs w:val="18"/>
                <w:color w:val="auto"/>
                <w:w w:val="93"/>
              </w:rPr>
              <w:t>REPORTING</w:t>
            </w:r>
          </w:p>
        </w:tc>
        <w:tc>
          <w:tcPr>
            <w:tcW w:w="1160" w:type="dxa"/>
            <w:vAlign w:val="bottom"/>
            <w:tcBorders>
              <w:bottom w:val="single" w:sz="8" w:color="auto"/>
              <w:right w:val="single" w:sz="8" w:color="auto"/>
            </w:tcBorders>
          </w:tcPr>
          <w:p>
            <w:pPr>
              <w:spacing w:after="0"/>
              <w:rPr>
                <w:sz w:val="16"/>
                <w:szCs w:val="16"/>
                <w:color w:val="auto"/>
              </w:rPr>
            </w:pPr>
          </w:p>
        </w:tc>
        <w:tc>
          <w:tcPr>
            <w:tcW w:w="4300" w:type="dxa"/>
            <w:vAlign w:val="bottom"/>
            <w:tcBorders>
              <w:bottom w:val="single" w:sz="8" w:color="auto"/>
            </w:tcBorders>
          </w:tcPr>
          <w:p>
            <w:pPr>
              <w:spacing w:after="0"/>
              <w:rPr>
                <w:sz w:val="16"/>
                <w:szCs w:val="16"/>
                <w:color w:val="auto"/>
              </w:rPr>
            </w:pPr>
          </w:p>
        </w:tc>
        <w:tc>
          <w:tcPr>
            <w:tcW w:w="42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160" w:type="dxa"/>
            <w:vAlign w:val="bottom"/>
            <w:tcBorders>
              <w:right w:val="single" w:sz="8" w:color="auto"/>
            </w:tcBorders>
          </w:tcPr>
          <w:p>
            <w:pPr>
              <w:ind w:left="500"/>
              <w:spacing w:after="0" w:line="263" w:lineRule="exact"/>
              <w:rPr>
                <w:sz w:val="20"/>
                <w:szCs w:val="20"/>
                <w:color w:val="auto"/>
              </w:rPr>
            </w:pPr>
            <w:r>
              <w:rPr>
                <w:rFonts w:ascii="Arial" w:cs="Arial" w:eastAsia="Arial" w:hAnsi="Arial"/>
                <w:sz w:val="29"/>
                <w:szCs w:val="29"/>
                <w:b w:val="1"/>
                <w:bCs w:val="1"/>
                <w:color w:val="auto"/>
              </w:rPr>
              <w:t>8</w:t>
            </w:r>
          </w:p>
        </w:tc>
        <w:tc>
          <w:tcPr>
            <w:tcW w:w="430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42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4300" w:type="dxa"/>
            <w:vAlign w:val="bottom"/>
          </w:tcPr>
          <w:p>
            <w:pPr>
              <w:ind w:left="320"/>
              <w:spacing w:after="0"/>
              <w:rPr>
                <w:sz w:val="20"/>
                <w:szCs w:val="20"/>
                <w:color w:val="auto"/>
              </w:rPr>
            </w:pPr>
            <w:r>
              <w:rPr>
                <w:rFonts w:ascii="Arial" w:cs="Arial" w:eastAsia="Arial" w:hAnsi="Arial"/>
                <w:sz w:val="18"/>
                <w:szCs w:val="18"/>
                <w:color w:val="auto"/>
              </w:rPr>
              <w:t>1,445,800 shares of Common Stock</w:t>
            </w:r>
          </w:p>
        </w:tc>
        <w:tc>
          <w:tcPr>
            <w:tcW w:w="4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852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w w:val="98"/>
              </w:rPr>
              <w:t>3,750,000 shares of Common Stock issuable upon exercise of Series A, D and E Warrants (See Item 4)*</w:t>
            </w: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852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rPr>
              <w:t>2,500,000 shares of Common Stock issuable upon exercise of Series B and C Warrants (See Item 4)*</w:t>
            </w:r>
          </w:p>
        </w:tc>
        <w:tc>
          <w:tcPr>
            <w:tcW w:w="0" w:type="dxa"/>
            <w:vAlign w:val="bottom"/>
          </w:tcPr>
          <w:p>
            <w:pPr>
              <w:spacing w:after="0"/>
              <w:rPr>
                <w:sz w:val="1"/>
                <w:szCs w:val="1"/>
                <w:color w:val="auto"/>
              </w:rPr>
            </w:pPr>
          </w:p>
        </w:tc>
      </w:tr>
      <w:tr>
        <w:trPr>
          <w:trHeight w:val="81"/>
        </w:trPr>
        <w:tc>
          <w:tcPr>
            <w:tcW w:w="1740" w:type="dxa"/>
            <w:vAlign w:val="bottom"/>
            <w:tcBorders>
              <w:left w:val="single" w:sz="8" w:color="auto"/>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8520" w:type="dxa"/>
            <w:vAlign w:val="bottom"/>
            <w:tcBorders>
              <w:bottom w:val="single" w:sz="8" w:color="auto"/>
              <w:right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1740" w:type="dxa"/>
            <w:vAlign w:val="bottom"/>
            <w:tcBorders>
              <w:left w:val="single" w:sz="8" w:color="auto"/>
              <w:right w:val="single" w:sz="8" w:color="auto"/>
            </w:tcBorders>
          </w:tcPr>
          <w:p>
            <w:pPr>
              <w:jc w:val="center"/>
              <w:spacing w:after="0" w:line="263" w:lineRule="exact"/>
              <w:rPr>
                <w:sz w:val="20"/>
                <w:szCs w:val="20"/>
                <w:color w:val="auto"/>
              </w:rPr>
            </w:pPr>
            <w:r>
              <w:rPr>
                <w:rFonts w:ascii="Arial" w:cs="Arial" w:eastAsia="Arial" w:hAnsi="Arial"/>
                <w:sz w:val="29"/>
                <w:szCs w:val="29"/>
                <w:b w:val="1"/>
                <w:bCs w:val="1"/>
                <w:color w:val="auto"/>
                <w:w w:val="86"/>
              </w:rPr>
              <w:t>9</w:t>
            </w:r>
          </w:p>
        </w:tc>
        <w:tc>
          <w:tcPr>
            <w:tcW w:w="96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5460" w:type="dxa"/>
            <w:vAlign w:val="bottom"/>
            <w:gridSpan w:val="2"/>
          </w:tcPr>
          <w:p>
            <w:pPr>
              <w:ind w:left="340"/>
              <w:spacing w:after="0"/>
              <w:rPr>
                <w:sz w:val="20"/>
                <w:szCs w:val="20"/>
                <w:color w:val="auto"/>
              </w:rPr>
            </w:pPr>
            <w:r>
              <w:rPr>
                <w:rFonts w:ascii="Arial" w:cs="Arial" w:eastAsia="Arial" w:hAnsi="Arial"/>
                <w:sz w:val="18"/>
                <w:szCs w:val="18"/>
                <w:color w:val="auto"/>
              </w:rPr>
              <w:t>1,445,800 shares of Common Stock</w:t>
            </w:r>
          </w:p>
        </w:tc>
        <w:tc>
          <w:tcPr>
            <w:tcW w:w="4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9680" w:type="dxa"/>
            <w:vAlign w:val="bottom"/>
            <w:tcBorders>
              <w:right w:val="single" w:sz="8" w:color="auto"/>
            </w:tcBorders>
            <w:gridSpan w:val="3"/>
          </w:tcPr>
          <w:p>
            <w:pPr>
              <w:ind w:left="340"/>
              <w:spacing w:after="0"/>
              <w:rPr>
                <w:sz w:val="20"/>
                <w:szCs w:val="20"/>
                <w:color w:val="auto"/>
              </w:rPr>
            </w:pPr>
            <w:r>
              <w:rPr>
                <w:rFonts w:ascii="Arial" w:cs="Arial" w:eastAsia="Arial" w:hAnsi="Arial"/>
                <w:sz w:val="18"/>
                <w:szCs w:val="18"/>
                <w:color w:val="auto"/>
              </w:rPr>
              <w:t>3,750,000 shares of Common Stock issuable upon exercise of Series A, D and E Warrants (See Item 4)*</w:t>
            </w: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tcPr>
          <w:p>
            <w:pPr>
              <w:spacing w:after="0"/>
              <w:rPr>
                <w:sz w:val="20"/>
                <w:szCs w:val="20"/>
                <w:color w:val="auto"/>
              </w:rPr>
            </w:pPr>
          </w:p>
        </w:tc>
        <w:tc>
          <w:tcPr>
            <w:tcW w:w="9680" w:type="dxa"/>
            <w:vAlign w:val="bottom"/>
            <w:tcBorders>
              <w:right w:val="single" w:sz="8" w:color="auto"/>
            </w:tcBorders>
            <w:gridSpan w:val="3"/>
          </w:tcPr>
          <w:p>
            <w:pPr>
              <w:ind w:left="340"/>
              <w:spacing w:after="0"/>
              <w:rPr>
                <w:sz w:val="20"/>
                <w:szCs w:val="20"/>
                <w:color w:val="auto"/>
              </w:rPr>
            </w:pPr>
            <w:r>
              <w:rPr>
                <w:rFonts w:ascii="Arial" w:cs="Arial" w:eastAsia="Arial" w:hAnsi="Arial"/>
                <w:sz w:val="18"/>
                <w:szCs w:val="18"/>
                <w:color w:val="auto"/>
              </w:rPr>
              <w:t>2,500,000 shares of Common Stock issuable upon exercise of Series B and C Warrants (See Item 4)*</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bottom w:val="single" w:sz="8" w:color="auto"/>
              <w:right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520" w:type="dxa"/>
            <w:vAlign w:val="bottom"/>
            <w:tcBorders>
              <w:bottom w:val="single" w:sz="8" w:color="auto"/>
              <w:right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vMerge w:val="restart"/>
          </w:tcPr>
          <w:p>
            <w:pPr>
              <w:jc w:val="center"/>
              <w:spacing w:after="0" w:line="331" w:lineRule="exact"/>
              <w:rPr>
                <w:sz w:val="20"/>
                <w:szCs w:val="20"/>
                <w:color w:val="auto"/>
              </w:rPr>
            </w:pPr>
            <w:r>
              <w:rPr>
                <w:rFonts w:ascii="Arial" w:cs="Arial" w:eastAsia="Arial" w:hAnsi="Arial"/>
                <w:sz w:val="29"/>
                <w:szCs w:val="29"/>
                <w:b w:val="1"/>
                <w:bCs w:val="1"/>
                <w:color w:val="auto"/>
                <w:w w:val="92"/>
              </w:rPr>
              <w:t>10</w:t>
            </w:r>
          </w:p>
        </w:tc>
        <w:tc>
          <w:tcPr>
            <w:tcW w:w="9680" w:type="dxa"/>
            <w:vAlign w:val="bottom"/>
            <w:tcBorders>
              <w:right w:val="single" w:sz="8" w:color="auto"/>
            </w:tcBorders>
            <w:gridSpan w:val="3"/>
          </w:tcPr>
          <w:p>
            <w:pPr>
              <w:ind w:left="240"/>
              <w:spacing w:after="0"/>
              <w:rPr>
                <w:sz w:val="20"/>
                <w:szCs w:val="20"/>
                <w:color w:val="auto"/>
              </w:rPr>
            </w:pPr>
            <w:r>
              <w:rPr>
                <w:rFonts w:ascii="Arial" w:cs="Arial" w:eastAsia="Arial" w:hAnsi="Arial"/>
                <w:sz w:val="18"/>
                <w:szCs w:val="18"/>
                <w:color w:val="auto"/>
              </w:rPr>
              <w:t>CHECK BOX IF THE AGGREGATE AMOUNT IN ROW (9) EXCLUDES CERTAIN SHARES   o</w:t>
            </w:r>
          </w:p>
        </w:tc>
        <w:tc>
          <w:tcPr>
            <w:tcW w:w="0" w:type="dxa"/>
            <w:vAlign w:val="bottom"/>
          </w:tcPr>
          <w:p>
            <w:pPr>
              <w:spacing w:after="0"/>
              <w:rPr>
                <w:sz w:val="1"/>
                <w:szCs w:val="1"/>
                <w:color w:val="auto"/>
              </w:rPr>
            </w:pPr>
          </w:p>
        </w:tc>
      </w:tr>
      <w:tr>
        <w:trPr>
          <w:trHeight w:val="107"/>
        </w:trPr>
        <w:tc>
          <w:tcPr>
            <w:tcW w:w="1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4300" w:type="dxa"/>
            <w:vAlign w:val="bottom"/>
            <w:tcBorders>
              <w:bottom w:val="single" w:sz="8" w:color="auto"/>
            </w:tcBorders>
          </w:tcPr>
          <w:p>
            <w:pPr>
              <w:spacing w:after="0"/>
              <w:rPr>
                <w:sz w:val="9"/>
                <w:szCs w:val="9"/>
                <w:color w:val="auto"/>
              </w:rPr>
            </w:pPr>
          </w:p>
        </w:tc>
        <w:tc>
          <w:tcPr>
            <w:tcW w:w="42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740" w:type="dxa"/>
            <w:vAlign w:val="bottom"/>
            <w:tcBorders>
              <w:left w:val="single" w:sz="8" w:color="auto"/>
              <w:right w:val="single" w:sz="8" w:color="auto"/>
            </w:tcBorders>
          </w:tcPr>
          <w:p>
            <w:pPr>
              <w:jc w:val="center"/>
              <w:spacing w:after="0" w:line="263" w:lineRule="exact"/>
              <w:rPr>
                <w:sz w:val="20"/>
                <w:szCs w:val="20"/>
                <w:color w:val="auto"/>
              </w:rPr>
            </w:pPr>
            <w:r>
              <w:rPr>
                <w:rFonts w:ascii="Arial" w:cs="Arial" w:eastAsia="Arial" w:hAnsi="Arial"/>
                <w:sz w:val="29"/>
                <w:szCs w:val="29"/>
                <w:b w:val="1"/>
                <w:bCs w:val="1"/>
                <w:color w:val="auto"/>
                <w:w w:val="80"/>
              </w:rPr>
              <w:t>11</w:t>
            </w:r>
          </w:p>
        </w:tc>
        <w:tc>
          <w:tcPr>
            <w:tcW w:w="5460" w:type="dxa"/>
            <w:vAlign w:val="bottom"/>
            <w:gridSpan w:val="2"/>
          </w:tcPr>
          <w:p>
            <w:pPr>
              <w:spacing w:after="0"/>
              <w:rPr>
                <w:sz w:val="20"/>
                <w:szCs w:val="20"/>
                <w:color w:val="auto"/>
              </w:rPr>
            </w:pPr>
            <w:r>
              <w:rPr>
                <w:rFonts w:ascii="Arial" w:cs="Arial" w:eastAsia="Arial" w:hAnsi="Arial"/>
                <w:sz w:val="18"/>
                <w:szCs w:val="18"/>
                <w:color w:val="auto"/>
              </w:rPr>
              <w:t>PERCENT OF CLASS REPRESENTED BY AMOUNT IN ROW (9)</w:t>
            </w:r>
          </w:p>
        </w:tc>
        <w:tc>
          <w:tcPr>
            <w:tcW w:w="42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tcPr>
          <w:p>
            <w:pPr>
              <w:spacing w:after="0"/>
              <w:rPr>
                <w:sz w:val="20"/>
                <w:szCs w:val="20"/>
                <w:color w:val="auto"/>
              </w:rPr>
            </w:pPr>
          </w:p>
        </w:tc>
        <w:tc>
          <w:tcPr>
            <w:tcW w:w="5460" w:type="dxa"/>
            <w:vAlign w:val="bottom"/>
            <w:gridSpan w:val="2"/>
          </w:tcPr>
          <w:p>
            <w:pPr>
              <w:ind w:left="240"/>
              <w:spacing w:after="0"/>
              <w:rPr>
                <w:sz w:val="20"/>
                <w:szCs w:val="20"/>
                <w:color w:val="auto"/>
              </w:rPr>
            </w:pPr>
            <w:r>
              <w:rPr>
                <w:rFonts w:ascii="Arial" w:cs="Arial" w:eastAsia="Arial" w:hAnsi="Arial"/>
                <w:sz w:val="18"/>
                <w:szCs w:val="18"/>
                <w:color w:val="auto"/>
              </w:rPr>
              <w:t>9.9% (See Item 4)*</w:t>
            </w:r>
          </w:p>
        </w:tc>
        <w:tc>
          <w:tcPr>
            <w:tcW w:w="4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bottom w:val="single" w:sz="8" w:color="auto"/>
              <w:right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4300" w:type="dxa"/>
            <w:vAlign w:val="bottom"/>
            <w:tcBorders>
              <w:bottom w:val="single" w:sz="8" w:color="auto"/>
            </w:tcBorders>
          </w:tcPr>
          <w:p>
            <w:pPr>
              <w:spacing w:after="0"/>
              <w:rPr>
                <w:sz w:val="17"/>
                <w:szCs w:val="17"/>
                <w:color w:val="auto"/>
              </w:rPr>
            </w:pPr>
          </w:p>
        </w:tc>
        <w:tc>
          <w:tcPr>
            <w:tcW w:w="42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1740" w:type="dxa"/>
            <w:vAlign w:val="bottom"/>
            <w:tcBorders>
              <w:left w:val="single" w:sz="8" w:color="auto"/>
              <w:right w:val="single" w:sz="8" w:color="auto"/>
            </w:tcBorders>
          </w:tcPr>
          <w:p>
            <w:pPr>
              <w:jc w:val="center"/>
              <w:spacing w:after="0" w:line="263" w:lineRule="exact"/>
              <w:rPr>
                <w:sz w:val="20"/>
                <w:szCs w:val="20"/>
                <w:color w:val="auto"/>
              </w:rPr>
            </w:pPr>
            <w:r>
              <w:rPr>
                <w:rFonts w:ascii="Arial" w:cs="Arial" w:eastAsia="Arial" w:hAnsi="Arial"/>
                <w:sz w:val="29"/>
                <w:szCs w:val="29"/>
                <w:b w:val="1"/>
                <w:bCs w:val="1"/>
                <w:color w:val="auto"/>
                <w:w w:val="92"/>
              </w:rPr>
              <w:t>12</w:t>
            </w:r>
          </w:p>
        </w:tc>
        <w:tc>
          <w:tcPr>
            <w:tcW w:w="5460" w:type="dxa"/>
            <w:vAlign w:val="bottom"/>
            <w:gridSpan w:val="2"/>
          </w:tcPr>
          <w:p>
            <w:pPr>
              <w:spacing w:after="0"/>
              <w:rPr>
                <w:sz w:val="20"/>
                <w:szCs w:val="20"/>
                <w:color w:val="auto"/>
              </w:rPr>
            </w:pPr>
            <w:r>
              <w:rPr>
                <w:rFonts w:ascii="Arial" w:cs="Arial" w:eastAsia="Arial" w:hAnsi="Arial"/>
                <w:sz w:val="18"/>
                <w:szCs w:val="18"/>
                <w:color w:val="auto"/>
              </w:rPr>
              <w:t>TYPE OF REPORTING PERSON</w:t>
            </w:r>
          </w:p>
        </w:tc>
        <w:tc>
          <w:tcPr>
            <w:tcW w:w="42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tcPr>
          <w:p>
            <w:pPr>
              <w:spacing w:after="0"/>
              <w:rPr>
                <w:sz w:val="20"/>
                <w:szCs w:val="20"/>
                <w:color w:val="auto"/>
              </w:rPr>
            </w:pPr>
          </w:p>
        </w:tc>
        <w:tc>
          <w:tcPr>
            <w:tcW w:w="1160" w:type="dxa"/>
            <w:vAlign w:val="bottom"/>
          </w:tcPr>
          <w:p>
            <w:pPr>
              <w:ind w:left="240"/>
              <w:spacing w:after="0"/>
              <w:rPr>
                <w:sz w:val="20"/>
                <w:szCs w:val="20"/>
                <w:color w:val="auto"/>
              </w:rPr>
            </w:pPr>
            <w:r>
              <w:rPr>
                <w:rFonts w:ascii="Arial" w:cs="Arial" w:eastAsia="Arial" w:hAnsi="Arial"/>
                <w:sz w:val="18"/>
                <w:szCs w:val="18"/>
                <w:color w:val="auto"/>
              </w:rPr>
              <w:t>IN; HC</w:t>
            </w:r>
          </w:p>
        </w:tc>
        <w:tc>
          <w:tcPr>
            <w:tcW w:w="4300" w:type="dxa"/>
            <w:vAlign w:val="bottom"/>
          </w:tcPr>
          <w:p>
            <w:pPr>
              <w:spacing w:after="0"/>
              <w:rPr>
                <w:sz w:val="20"/>
                <w:szCs w:val="20"/>
                <w:color w:val="auto"/>
              </w:rPr>
            </w:pPr>
          </w:p>
        </w:tc>
        <w:tc>
          <w:tcPr>
            <w:tcW w:w="4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740" w:type="dxa"/>
            <w:vAlign w:val="bottom"/>
            <w:tcBorders>
              <w:left w:val="single" w:sz="8" w:color="auto"/>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4300" w:type="dxa"/>
            <w:vAlign w:val="bottom"/>
            <w:tcBorders>
              <w:bottom w:val="single" w:sz="8" w:color="auto"/>
            </w:tcBorders>
          </w:tcPr>
          <w:p>
            <w:pPr>
              <w:spacing w:after="0"/>
              <w:rPr>
                <w:sz w:val="7"/>
                <w:szCs w:val="7"/>
                <w:color w:val="auto"/>
              </w:rPr>
            </w:pPr>
          </w:p>
        </w:tc>
        <w:tc>
          <w:tcPr>
            <w:tcW w:w="4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8"/>
        <w:spacing w:after="0" w:line="291" w:lineRule="auto"/>
        <w:tabs>
          <w:tab w:leader="none" w:pos="149"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more fully described in Item 4, the Series A, D and E Warrants are subject to a 4.9% blocker and the Series B and C Warrants are subject to a 9.9% blocker and the percentage set forth in row (11) gives effect to such blocker. However, as more fully described in Item 4, the securities reported in rows (6),</w:t>
      </w:r>
    </w:p>
    <w:p>
      <w:pPr>
        <w:jc w:val="both"/>
        <w:spacing w:after="0" w:line="255" w:lineRule="auto"/>
        <w:rPr>
          <w:rFonts w:ascii="Arial" w:cs="Arial" w:eastAsia="Arial" w:hAnsi="Arial"/>
          <w:sz w:val="16"/>
          <w:szCs w:val="16"/>
          <w:color w:val="auto"/>
        </w:rPr>
      </w:pPr>
      <w:r>
        <w:rPr>
          <w:rFonts w:ascii="Arial" w:cs="Arial" w:eastAsia="Arial" w:hAnsi="Arial"/>
          <w:sz w:val="18"/>
          <w:szCs w:val="18"/>
          <w:color w:val="auto"/>
        </w:rPr>
        <w:t>(8) and (9) show the number of shares of Common Stock that would be issuable upon full exercise of such reported securities and do not give effect to such blocker. Therefore, the actual number of shares of Common Stock beneficially owned by such Reporting Person, after giving effect to such blocker, is less than the number of securities reported in rows (6), (8) and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3"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83"/>
        </w:trPr>
        <w:tc>
          <w:tcPr>
            <w:tcW w:w="1740" w:type="dxa"/>
            <w:vAlign w:val="bottom"/>
            <w:tcBorders>
              <w:top w:val="single" w:sz="8" w:color="auto"/>
              <w:left w:val="single" w:sz="8" w:color="auto"/>
              <w:right w:val="single" w:sz="8" w:color="auto"/>
            </w:tcBorders>
          </w:tcPr>
          <w:p>
            <w:pPr>
              <w:jc w:val="center"/>
              <w:spacing w:after="0" w:line="283" w:lineRule="exact"/>
              <w:rPr>
                <w:sz w:val="20"/>
                <w:szCs w:val="20"/>
                <w:color w:val="auto"/>
              </w:rPr>
            </w:pPr>
            <w:r>
              <w:rPr>
                <w:rFonts w:ascii="Arial" w:cs="Arial" w:eastAsia="Arial" w:hAnsi="Arial"/>
                <w:sz w:val="29"/>
                <w:szCs w:val="29"/>
                <w:b w:val="1"/>
                <w:bCs w:val="1"/>
                <w:color w:val="auto"/>
                <w:w w:val="86"/>
              </w:rPr>
              <w:t>1</w:t>
            </w:r>
          </w:p>
        </w:tc>
        <w:tc>
          <w:tcPr>
            <w:tcW w:w="5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NAMES OF REPORTING PERSONS</w:t>
            </w:r>
          </w:p>
        </w:tc>
        <w:tc>
          <w:tcPr>
            <w:tcW w:w="42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Richard Abbe</w:t>
            </w:r>
          </w:p>
        </w:tc>
        <w:tc>
          <w:tcPr>
            <w:tcW w:w="4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740" w:type="dxa"/>
            <w:vAlign w:val="bottom"/>
            <w:tcBorders>
              <w:left w:val="single" w:sz="8" w:color="auto"/>
              <w:bottom w:val="single" w:sz="8" w:color="auto"/>
              <w:right w:val="single" w:sz="8" w:color="auto"/>
            </w:tcBorders>
          </w:tcPr>
          <w:p>
            <w:pPr>
              <w:spacing w:after="0"/>
              <w:rPr>
                <w:sz w:val="7"/>
                <w:szCs w:val="7"/>
                <w:color w:val="auto"/>
              </w:rPr>
            </w:pPr>
          </w:p>
        </w:tc>
        <w:tc>
          <w:tcPr>
            <w:tcW w:w="5420" w:type="dxa"/>
            <w:vAlign w:val="bottom"/>
            <w:tcBorders>
              <w:bottom w:val="single" w:sz="8" w:color="auto"/>
            </w:tcBorders>
            <w:gridSpan w:val="2"/>
          </w:tcPr>
          <w:p>
            <w:pPr>
              <w:spacing w:after="0"/>
              <w:rPr>
                <w:sz w:val="7"/>
                <w:szCs w:val="7"/>
                <w:color w:val="auto"/>
              </w:rPr>
            </w:pPr>
          </w:p>
        </w:tc>
        <w:tc>
          <w:tcPr>
            <w:tcW w:w="42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vMerge w:val="restart"/>
          </w:tcPr>
          <w:p>
            <w:pPr>
              <w:jc w:val="center"/>
              <w:spacing w:after="0" w:line="263" w:lineRule="exact"/>
              <w:rPr>
                <w:sz w:val="20"/>
                <w:szCs w:val="20"/>
                <w:color w:val="auto"/>
              </w:rPr>
            </w:pPr>
            <w:r>
              <w:rPr>
                <w:rFonts w:ascii="Arial" w:cs="Arial" w:eastAsia="Arial" w:hAnsi="Arial"/>
                <w:sz w:val="29"/>
                <w:szCs w:val="29"/>
                <w:b w:val="1"/>
                <w:bCs w:val="1"/>
                <w:color w:val="auto"/>
                <w:w w:val="86"/>
              </w:rPr>
              <w:t>2</w:t>
            </w:r>
          </w:p>
        </w:tc>
        <w:tc>
          <w:tcPr>
            <w:tcW w:w="542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w:t>
            </w:r>
          </w:p>
        </w:tc>
        <w:tc>
          <w:tcPr>
            <w:tcW w:w="4260" w:type="dxa"/>
            <w:vAlign w:val="bottom"/>
            <w:tcBorders>
              <w:right w:val="single" w:sz="8" w:color="auto"/>
            </w:tcBorders>
            <w:vMerge w:val="restart"/>
          </w:tcPr>
          <w:p>
            <w:pPr>
              <w:ind w:left="280"/>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39"/>
        </w:trPr>
        <w:tc>
          <w:tcPr>
            <w:tcW w:w="1740" w:type="dxa"/>
            <w:vAlign w:val="bottom"/>
            <w:tcBorders>
              <w:left w:val="single" w:sz="8" w:color="auto"/>
              <w:right w:val="single" w:sz="8" w:color="auto"/>
            </w:tcBorders>
            <w:vMerge w:val="continue"/>
          </w:tcPr>
          <w:p>
            <w:pPr>
              <w:spacing w:after="0"/>
              <w:rPr>
                <w:sz w:val="3"/>
                <w:szCs w:val="3"/>
                <w:color w:val="auto"/>
              </w:rPr>
            </w:pPr>
          </w:p>
        </w:tc>
        <w:tc>
          <w:tcPr>
            <w:tcW w:w="1160" w:type="dxa"/>
            <w:vAlign w:val="bottom"/>
          </w:tcPr>
          <w:p>
            <w:pPr>
              <w:spacing w:after="0"/>
              <w:rPr>
                <w:sz w:val="3"/>
                <w:szCs w:val="3"/>
                <w:color w:val="auto"/>
              </w:rPr>
            </w:pPr>
          </w:p>
        </w:tc>
        <w:tc>
          <w:tcPr>
            <w:tcW w:w="4260" w:type="dxa"/>
            <w:vAlign w:val="bottom"/>
          </w:tcPr>
          <w:p>
            <w:pPr>
              <w:spacing w:after="0"/>
              <w:rPr>
                <w:sz w:val="3"/>
                <w:szCs w:val="3"/>
                <w:color w:val="auto"/>
              </w:rPr>
            </w:pPr>
          </w:p>
        </w:tc>
        <w:tc>
          <w:tcPr>
            <w:tcW w:w="426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7"/>
        </w:trPr>
        <w:tc>
          <w:tcPr>
            <w:tcW w:w="1740" w:type="dxa"/>
            <w:vAlign w:val="bottom"/>
            <w:tcBorders>
              <w:left w:val="single" w:sz="8" w:color="auto"/>
              <w:bottom w:val="single" w:sz="8" w:color="auto"/>
              <w:right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260" w:type="dxa"/>
            <w:vAlign w:val="bottom"/>
            <w:tcBorders>
              <w:bottom w:val="single" w:sz="8" w:color="auto"/>
            </w:tcBorders>
          </w:tcPr>
          <w:p>
            <w:pPr>
              <w:spacing w:after="0"/>
              <w:rPr>
                <w:sz w:val="18"/>
                <w:szCs w:val="18"/>
                <w:color w:val="auto"/>
              </w:rPr>
            </w:pPr>
          </w:p>
        </w:tc>
        <w:tc>
          <w:tcPr>
            <w:tcW w:w="426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3</w:t>
            </w:r>
          </w:p>
        </w:tc>
        <w:tc>
          <w:tcPr>
            <w:tcW w:w="542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42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1740" w:type="dxa"/>
            <w:vAlign w:val="bottom"/>
            <w:tcBorders>
              <w:left w:val="single" w:sz="8" w:color="auto"/>
              <w:right w:val="single" w:sz="8" w:color="auto"/>
            </w:tcBorders>
            <w:vMerge w:val="continue"/>
          </w:tcPr>
          <w:p>
            <w:pPr>
              <w:spacing w:after="0"/>
              <w:rPr>
                <w:sz w:val="12"/>
                <w:szCs w:val="12"/>
                <w:color w:val="auto"/>
              </w:rPr>
            </w:pPr>
          </w:p>
        </w:tc>
        <w:tc>
          <w:tcPr>
            <w:tcW w:w="11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1740" w:type="dxa"/>
            <w:vAlign w:val="bottom"/>
            <w:tcBorders>
              <w:left w:val="single" w:sz="8" w:color="auto"/>
              <w:bottom w:val="single" w:sz="8" w:color="auto"/>
              <w:right w:val="single" w:sz="8" w:color="auto"/>
            </w:tcBorders>
          </w:tcPr>
          <w:p>
            <w:pPr>
              <w:spacing w:after="0"/>
              <w:rPr>
                <w:sz w:val="6"/>
                <w:szCs w:val="6"/>
                <w:color w:val="auto"/>
              </w:rPr>
            </w:pPr>
          </w:p>
        </w:tc>
        <w:tc>
          <w:tcPr>
            <w:tcW w:w="5420" w:type="dxa"/>
            <w:vAlign w:val="bottom"/>
            <w:tcBorders>
              <w:bottom w:val="single" w:sz="8" w:color="auto"/>
            </w:tcBorders>
            <w:gridSpan w:val="2"/>
          </w:tcPr>
          <w:p>
            <w:pPr>
              <w:spacing w:after="0"/>
              <w:rPr>
                <w:sz w:val="6"/>
                <w:szCs w:val="6"/>
                <w:color w:val="auto"/>
              </w:rPr>
            </w:pPr>
          </w:p>
        </w:tc>
        <w:tc>
          <w:tcPr>
            <w:tcW w:w="42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1740" w:type="dxa"/>
            <w:vAlign w:val="bottom"/>
            <w:tcBorders>
              <w:left w:val="single" w:sz="8" w:color="auto"/>
              <w:right w:val="single" w:sz="8" w:color="auto"/>
            </w:tcBorders>
          </w:tcPr>
          <w:p>
            <w:pPr>
              <w:jc w:val="center"/>
              <w:spacing w:after="0" w:line="263" w:lineRule="exact"/>
              <w:rPr>
                <w:sz w:val="20"/>
                <w:szCs w:val="20"/>
                <w:color w:val="auto"/>
              </w:rPr>
            </w:pPr>
            <w:r>
              <w:rPr>
                <w:rFonts w:ascii="Arial" w:cs="Arial" w:eastAsia="Arial" w:hAnsi="Arial"/>
                <w:sz w:val="29"/>
                <w:szCs w:val="29"/>
                <w:b w:val="1"/>
                <w:bCs w:val="1"/>
                <w:color w:val="auto"/>
                <w:w w:val="86"/>
              </w:rPr>
              <w:t>4</w:t>
            </w:r>
          </w:p>
        </w:tc>
        <w:tc>
          <w:tcPr>
            <w:tcW w:w="5420" w:type="dxa"/>
            <w:vAlign w:val="bottom"/>
            <w:gridSpan w:val="2"/>
          </w:tcPr>
          <w:p>
            <w:pPr>
              <w:spacing w:after="0"/>
              <w:rPr>
                <w:sz w:val="20"/>
                <w:szCs w:val="20"/>
                <w:color w:val="auto"/>
              </w:rPr>
            </w:pPr>
            <w:r>
              <w:rPr>
                <w:rFonts w:ascii="Arial" w:cs="Arial" w:eastAsia="Arial" w:hAnsi="Arial"/>
                <w:sz w:val="18"/>
                <w:szCs w:val="18"/>
                <w:color w:val="auto"/>
              </w:rPr>
              <w:t>CITIZENSHIP OR PLACE OF ORGANIZATION</w:t>
            </w:r>
          </w:p>
        </w:tc>
        <w:tc>
          <w:tcPr>
            <w:tcW w:w="42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United States of America</w:t>
            </w:r>
          </w:p>
        </w:tc>
        <w:tc>
          <w:tcPr>
            <w:tcW w:w="4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740" w:type="dxa"/>
            <w:vAlign w:val="bottom"/>
            <w:tcBorders>
              <w:left w:val="single" w:sz="8" w:color="auto"/>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4260" w:type="dxa"/>
            <w:vAlign w:val="bottom"/>
            <w:tcBorders>
              <w:bottom w:val="single" w:sz="8" w:color="auto"/>
            </w:tcBorders>
          </w:tcPr>
          <w:p>
            <w:pPr>
              <w:spacing w:after="0"/>
              <w:rPr>
                <w:sz w:val="7"/>
                <w:szCs w:val="7"/>
                <w:color w:val="auto"/>
              </w:rPr>
            </w:pPr>
          </w:p>
        </w:tc>
        <w:tc>
          <w:tcPr>
            <w:tcW w:w="42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1740" w:type="dxa"/>
            <w:vAlign w:val="bottom"/>
            <w:tcBorders>
              <w:left w:val="single" w:sz="8" w:color="auto"/>
              <w:right w:val="single" w:sz="8" w:color="auto"/>
            </w:tcBorders>
          </w:tcPr>
          <w:p>
            <w:pPr>
              <w:spacing w:after="0"/>
              <w:rPr>
                <w:sz w:val="22"/>
                <w:szCs w:val="22"/>
                <w:color w:val="auto"/>
              </w:rPr>
            </w:pPr>
          </w:p>
        </w:tc>
        <w:tc>
          <w:tcPr>
            <w:tcW w:w="1160" w:type="dxa"/>
            <w:vAlign w:val="bottom"/>
            <w:tcBorders>
              <w:right w:val="single" w:sz="8" w:color="auto"/>
            </w:tcBorders>
          </w:tcPr>
          <w:p>
            <w:pPr>
              <w:ind w:left="520"/>
              <w:spacing w:after="0" w:line="263" w:lineRule="exact"/>
              <w:rPr>
                <w:sz w:val="20"/>
                <w:szCs w:val="20"/>
                <w:color w:val="auto"/>
              </w:rPr>
            </w:pPr>
            <w:r>
              <w:rPr>
                <w:rFonts w:ascii="Arial" w:cs="Arial" w:eastAsia="Arial" w:hAnsi="Arial"/>
                <w:sz w:val="29"/>
                <w:szCs w:val="29"/>
                <w:b w:val="1"/>
                <w:bCs w:val="1"/>
                <w:color w:val="auto"/>
              </w:rPr>
              <w:t>5</w:t>
            </w:r>
          </w:p>
        </w:tc>
        <w:tc>
          <w:tcPr>
            <w:tcW w:w="4260" w:type="dxa"/>
            <w:vAlign w:val="bottom"/>
          </w:tcPr>
          <w:p>
            <w:pPr>
              <w:spacing w:after="0"/>
              <w:rPr>
                <w:sz w:val="20"/>
                <w:szCs w:val="20"/>
                <w:color w:val="auto"/>
              </w:rPr>
            </w:pPr>
            <w:r>
              <w:rPr>
                <w:rFonts w:ascii="Arial" w:cs="Arial" w:eastAsia="Arial" w:hAnsi="Arial"/>
                <w:sz w:val="18"/>
                <w:szCs w:val="18"/>
                <w:color w:val="auto"/>
              </w:rPr>
              <w:t>SOLE VOTING POWER</w:t>
            </w:r>
          </w:p>
        </w:tc>
        <w:tc>
          <w:tcPr>
            <w:tcW w:w="42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4260" w:type="dxa"/>
            <w:vAlign w:val="bottom"/>
          </w:tcPr>
          <w:p>
            <w:pPr>
              <w:ind w:left="340"/>
              <w:spacing w:after="0"/>
              <w:rPr>
                <w:sz w:val="20"/>
                <w:szCs w:val="20"/>
                <w:color w:val="auto"/>
              </w:rPr>
            </w:pPr>
            <w:r>
              <w:rPr>
                <w:rFonts w:ascii="Arial" w:cs="Arial" w:eastAsia="Arial" w:hAnsi="Arial"/>
                <w:sz w:val="18"/>
                <w:szCs w:val="18"/>
                <w:color w:val="auto"/>
              </w:rPr>
              <w:t>499,995 shares of Common Stock</w:t>
            </w:r>
          </w:p>
        </w:tc>
        <w:tc>
          <w:tcPr>
            <w:tcW w:w="4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852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w w:val="98"/>
              </w:rPr>
              <w:t>1,499,985 shares of Common Stock issuable upon exercise of Series A, D and E Warrants (See Item 4)*</w:t>
            </w: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852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rPr>
              <w:t>999,990 shares of Common Stock issuable upon exercise of Series B and C Warrants (See Item 4)*</w:t>
            </w:r>
          </w:p>
        </w:tc>
        <w:tc>
          <w:tcPr>
            <w:tcW w:w="0" w:type="dxa"/>
            <w:vAlign w:val="bottom"/>
          </w:tcPr>
          <w:p>
            <w:pPr>
              <w:spacing w:after="0"/>
              <w:rPr>
                <w:sz w:val="1"/>
                <w:szCs w:val="1"/>
                <w:color w:val="auto"/>
              </w:rPr>
            </w:pPr>
          </w:p>
        </w:tc>
      </w:tr>
      <w:tr>
        <w:trPr>
          <w:trHeight w:val="81"/>
        </w:trPr>
        <w:tc>
          <w:tcPr>
            <w:tcW w:w="1740" w:type="dxa"/>
            <w:vAlign w:val="bottom"/>
            <w:tcBorders>
              <w:left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4260" w:type="dxa"/>
            <w:vAlign w:val="bottom"/>
            <w:tcBorders>
              <w:bottom w:val="single" w:sz="8" w:color="auto"/>
            </w:tcBorders>
          </w:tcPr>
          <w:p>
            <w:pPr>
              <w:spacing w:after="0"/>
              <w:rPr>
                <w:sz w:val="7"/>
                <w:szCs w:val="7"/>
                <w:color w:val="auto"/>
              </w:rPr>
            </w:pPr>
          </w:p>
        </w:tc>
        <w:tc>
          <w:tcPr>
            <w:tcW w:w="42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1160" w:type="dxa"/>
            <w:vAlign w:val="bottom"/>
            <w:tcBorders>
              <w:right w:val="single" w:sz="8" w:color="auto"/>
            </w:tcBorders>
          </w:tcPr>
          <w:p>
            <w:pPr>
              <w:ind w:left="500"/>
              <w:spacing w:after="0" w:line="263" w:lineRule="exact"/>
              <w:rPr>
                <w:sz w:val="20"/>
                <w:szCs w:val="20"/>
                <w:color w:val="auto"/>
              </w:rPr>
            </w:pPr>
            <w:r>
              <w:rPr>
                <w:rFonts w:ascii="Arial" w:cs="Arial" w:eastAsia="Arial" w:hAnsi="Arial"/>
                <w:sz w:val="29"/>
                <w:szCs w:val="29"/>
                <w:b w:val="1"/>
                <w:bCs w:val="1"/>
                <w:color w:val="auto"/>
              </w:rPr>
              <w:t>6</w:t>
            </w:r>
          </w:p>
        </w:tc>
        <w:tc>
          <w:tcPr>
            <w:tcW w:w="4260" w:type="dxa"/>
            <w:vAlign w:val="bottom"/>
          </w:tcPr>
          <w:p>
            <w:pPr>
              <w:spacing w:after="0"/>
              <w:rPr>
                <w:sz w:val="20"/>
                <w:szCs w:val="20"/>
                <w:color w:val="auto"/>
              </w:rPr>
            </w:pPr>
            <w:r>
              <w:rPr>
                <w:rFonts w:ascii="Arial" w:cs="Arial" w:eastAsia="Arial" w:hAnsi="Arial"/>
                <w:sz w:val="18"/>
                <w:szCs w:val="18"/>
                <w:color w:val="auto"/>
              </w:rPr>
              <w:t>SHARED VOTING POWER</w:t>
            </w:r>
          </w:p>
        </w:tc>
        <w:tc>
          <w:tcPr>
            <w:tcW w:w="42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740" w:type="dxa"/>
            <w:vAlign w:val="bottom"/>
            <w:tcBorders>
              <w:left w:val="single" w:sz="8" w:color="auto"/>
              <w:right w:val="single" w:sz="8" w:color="auto"/>
            </w:tcBorders>
            <w:vMerge w:val="continue"/>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4260" w:type="dxa"/>
            <w:vAlign w:val="bottom"/>
          </w:tcPr>
          <w:p>
            <w:pPr>
              <w:ind w:left="320"/>
              <w:spacing w:after="0" w:line="189" w:lineRule="exact"/>
              <w:rPr>
                <w:sz w:val="20"/>
                <w:szCs w:val="20"/>
                <w:color w:val="auto"/>
              </w:rPr>
            </w:pPr>
            <w:r>
              <w:rPr>
                <w:rFonts w:ascii="Arial" w:cs="Arial" w:eastAsia="Arial" w:hAnsi="Arial"/>
                <w:sz w:val="18"/>
                <w:szCs w:val="18"/>
                <w:color w:val="auto"/>
              </w:rPr>
              <w:t>1,445,800 shares of Common Stock</w:t>
            </w:r>
          </w:p>
        </w:tc>
        <w:tc>
          <w:tcPr>
            <w:tcW w:w="4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160" w:type="dxa"/>
            <w:vAlign w:val="bottom"/>
            <w:tcBorders>
              <w:right w:val="single" w:sz="8" w:color="auto"/>
            </w:tcBorders>
          </w:tcPr>
          <w:p>
            <w:pPr>
              <w:spacing w:after="0"/>
              <w:rPr>
                <w:sz w:val="18"/>
                <w:szCs w:val="18"/>
                <w:color w:val="auto"/>
              </w:rPr>
            </w:pPr>
          </w:p>
        </w:tc>
        <w:tc>
          <w:tcPr>
            <w:tcW w:w="852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w w:val="98"/>
              </w:rPr>
              <w:t>3,750,000 shares of Common Stock issuable upon exercise of Series A, D and E Warrants (See Item 4)*</w:t>
            </w: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1160" w:type="dxa"/>
            <w:vAlign w:val="bottom"/>
            <w:tcBorders>
              <w:right w:val="single" w:sz="8" w:color="auto"/>
            </w:tcBorders>
          </w:tcPr>
          <w:p>
            <w:pPr>
              <w:spacing w:after="0"/>
              <w:rPr>
                <w:sz w:val="18"/>
                <w:szCs w:val="18"/>
                <w:color w:val="auto"/>
              </w:rPr>
            </w:pPr>
          </w:p>
        </w:tc>
        <w:tc>
          <w:tcPr>
            <w:tcW w:w="852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rPr>
              <w:t>2,500,000 shares of Common Stock issuable upon exercise of Series B and C Warrants (See Item 4)*</w:t>
            </w:r>
          </w:p>
        </w:tc>
        <w:tc>
          <w:tcPr>
            <w:tcW w:w="0" w:type="dxa"/>
            <w:vAlign w:val="bottom"/>
          </w:tcPr>
          <w:p>
            <w:pPr>
              <w:spacing w:after="0"/>
              <w:rPr>
                <w:sz w:val="1"/>
                <w:szCs w:val="1"/>
                <w:color w:val="auto"/>
              </w:rPr>
            </w:pPr>
          </w:p>
        </w:tc>
      </w:tr>
      <w:tr>
        <w:trPr>
          <w:trHeight w:val="122"/>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1160" w:type="dxa"/>
            <w:vAlign w:val="bottom"/>
            <w:tcBorders>
              <w:bottom w:val="single" w:sz="8" w:color="auto"/>
              <w:right w:val="single" w:sz="8" w:color="auto"/>
            </w:tcBorders>
          </w:tcPr>
          <w:p>
            <w:pPr>
              <w:spacing w:after="0"/>
              <w:rPr>
                <w:sz w:val="10"/>
                <w:szCs w:val="10"/>
                <w:color w:val="auto"/>
              </w:rPr>
            </w:pPr>
          </w:p>
        </w:tc>
        <w:tc>
          <w:tcPr>
            <w:tcW w:w="4260" w:type="dxa"/>
            <w:vAlign w:val="bottom"/>
            <w:tcBorders>
              <w:bottom w:val="single" w:sz="8" w:color="auto"/>
            </w:tcBorders>
          </w:tcPr>
          <w:p>
            <w:pPr>
              <w:spacing w:after="0"/>
              <w:rPr>
                <w:sz w:val="10"/>
                <w:szCs w:val="10"/>
                <w:color w:val="auto"/>
              </w:rPr>
            </w:pPr>
          </w:p>
        </w:tc>
        <w:tc>
          <w:tcPr>
            <w:tcW w:w="42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740" w:type="dxa"/>
            <w:vAlign w:val="bottom"/>
            <w:tcBorders>
              <w:left w:val="single" w:sz="8" w:color="auto"/>
              <w:right w:val="single" w:sz="8" w:color="auto"/>
            </w:tcBorders>
            <w:vMerge w:val="continue"/>
          </w:tcPr>
          <w:p>
            <w:pPr>
              <w:spacing w:after="0"/>
              <w:rPr>
                <w:sz w:val="6"/>
                <w:szCs w:val="6"/>
                <w:color w:val="auto"/>
              </w:rPr>
            </w:pPr>
          </w:p>
        </w:tc>
        <w:tc>
          <w:tcPr>
            <w:tcW w:w="1160" w:type="dxa"/>
            <w:vAlign w:val="bottom"/>
            <w:tcBorders>
              <w:right w:val="single" w:sz="8" w:color="auto"/>
            </w:tcBorders>
            <w:vMerge w:val="restart"/>
          </w:tcPr>
          <w:p>
            <w:pPr>
              <w:ind w:left="500"/>
              <w:spacing w:after="0" w:line="263" w:lineRule="exact"/>
              <w:rPr>
                <w:sz w:val="20"/>
                <w:szCs w:val="20"/>
                <w:color w:val="auto"/>
              </w:rPr>
            </w:pPr>
            <w:r>
              <w:rPr>
                <w:rFonts w:ascii="Arial" w:cs="Arial" w:eastAsia="Arial" w:hAnsi="Arial"/>
                <w:sz w:val="29"/>
                <w:szCs w:val="29"/>
                <w:b w:val="1"/>
                <w:bCs w:val="1"/>
                <w:color w:val="auto"/>
              </w:rPr>
              <w:t>7</w:t>
            </w:r>
          </w:p>
        </w:tc>
        <w:tc>
          <w:tcPr>
            <w:tcW w:w="426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4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740" w:type="dxa"/>
            <w:vAlign w:val="bottom"/>
            <w:tcBorders>
              <w:left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9"/>
              </w:rPr>
              <w:t>EACH</w:t>
            </w:r>
          </w:p>
        </w:tc>
        <w:tc>
          <w:tcPr>
            <w:tcW w:w="1160" w:type="dxa"/>
            <w:vAlign w:val="bottom"/>
            <w:tcBorders>
              <w:right w:val="single" w:sz="8" w:color="auto"/>
            </w:tcBorders>
            <w:vMerge w:val="continue"/>
          </w:tcPr>
          <w:p>
            <w:pPr>
              <w:spacing w:after="0"/>
              <w:rPr>
                <w:sz w:val="16"/>
                <w:szCs w:val="16"/>
                <w:color w:val="auto"/>
              </w:rPr>
            </w:pPr>
          </w:p>
        </w:tc>
        <w:tc>
          <w:tcPr>
            <w:tcW w:w="4260" w:type="dxa"/>
            <w:vAlign w:val="bottom"/>
            <w:vMerge w:val="continue"/>
          </w:tcPr>
          <w:p>
            <w:pPr>
              <w:spacing w:after="0"/>
              <w:rPr>
                <w:sz w:val="16"/>
                <w:szCs w:val="16"/>
                <w:color w:val="auto"/>
              </w:rPr>
            </w:pPr>
          </w:p>
        </w:tc>
        <w:tc>
          <w:tcPr>
            <w:tcW w:w="4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160" w:type="dxa"/>
            <w:vAlign w:val="bottom"/>
            <w:tcBorders>
              <w:right w:val="single" w:sz="8" w:color="auto"/>
            </w:tcBorders>
          </w:tcPr>
          <w:p>
            <w:pPr>
              <w:spacing w:after="0"/>
              <w:rPr>
                <w:sz w:val="18"/>
                <w:szCs w:val="18"/>
                <w:color w:val="auto"/>
              </w:rPr>
            </w:pPr>
          </w:p>
        </w:tc>
        <w:tc>
          <w:tcPr>
            <w:tcW w:w="4260" w:type="dxa"/>
            <w:vAlign w:val="bottom"/>
          </w:tcPr>
          <w:p>
            <w:pPr>
              <w:ind w:left="340"/>
              <w:spacing w:after="0"/>
              <w:rPr>
                <w:sz w:val="20"/>
                <w:szCs w:val="20"/>
                <w:color w:val="auto"/>
              </w:rPr>
            </w:pPr>
            <w:r>
              <w:rPr>
                <w:rFonts w:ascii="Arial" w:cs="Arial" w:eastAsia="Arial" w:hAnsi="Arial"/>
                <w:sz w:val="18"/>
                <w:szCs w:val="18"/>
                <w:color w:val="auto"/>
              </w:rPr>
              <w:t>499,995 shares of Common Stock</w:t>
            </w:r>
          </w:p>
        </w:tc>
        <w:tc>
          <w:tcPr>
            <w:tcW w:w="4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160" w:type="dxa"/>
            <w:vAlign w:val="bottom"/>
            <w:tcBorders>
              <w:right w:val="single" w:sz="8" w:color="auto"/>
            </w:tcBorders>
          </w:tcPr>
          <w:p>
            <w:pPr>
              <w:spacing w:after="0"/>
              <w:rPr>
                <w:sz w:val="18"/>
                <w:szCs w:val="18"/>
                <w:color w:val="auto"/>
              </w:rPr>
            </w:pPr>
          </w:p>
        </w:tc>
        <w:tc>
          <w:tcPr>
            <w:tcW w:w="852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w w:val="98"/>
              </w:rPr>
              <w:t>1,499,985 shares of Common Stock issuable upon exercise of Series A, D and E Warrants (See Item 4)*</w:t>
            </w: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852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rPr>
              <w:t>999,990 shares of Common Stock issuable upon exercise of Series B and C Warrants (See Item 4)*</w:t>
            </w:r>
          </w:p>
        </w:tc>
        <w:tc>
          <w:tcPr>
            <w:tcW w:w="0" w:type="dxa"/>
            <w:vAlign w:val="bottom"/>
          </w:tcPr>
          <w:p>
            <w:pPr>
              <w:spacing w:after="0"/>
              <w:rPr>
                <w:sz w:val="1"/>
                <w:szCs w:val="1"/>
                <w:color w:val="auto"/>
              </w:rPr>
            </w:pPr>
          </w:p>
        </w:tc>
      </w:tr>
      <w:tr>
        <w:trPr>
          <w:trHeight w:val="81"/>
        </w:trPr>
        <w:tc>
          <w:tcPr>
            <w:tcW w:w="1740" w:type="dxa"/>
            <w:vAlign w:val="bottom"/>
            <w:tcBorders>
              <w:left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4260" w:type="dxa"/>
            <w:vAlign w:val="bottom"/>
            <w:tcBorders>
              <w:bottom w:val="single" w:sz="8" w:color="auto"/>
            </w:tcBorders>
          </w:tcPr>
          <w:p>
            <w:pPr>
              <w:spacing w:after="0"/>
              <w:rPr>
                <w:sz w:val="7"/>
                <w:szCs w:val="7"/>
                <w:color w:val="auto"/>
              </w:rPr>
            </w:pPr>
          </w:p>
        </w:tc>
        <w:tc>
          <w:tcPr>
            <w:tcW w:w="42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1740" w:type="dxa"/>
            <w:vAlign w:val="bottom"/>
            <w:tcBorders>
              <w:left w:val="single" w:sz="8" w:color="auto"/>
              <w:right w:val="single" w:sz="8" w:color="auto"/>
            </w:tcBorders>
          </w:tcPr>
          <w:p>
            <w:pPr>
              <w:spacing w:after="0"/>
              <w:rPr>
                <w:sz w:val="22"/>
                <w:szCs w:val="22"/>
                <w:color w:val="auto"/>
              </w:rPr>
            </w:pPr>
          </w:p>
        </w:tc>
        <w:tc>
          <w:tcPr>
            <w:tcW w:w="1160" w:type="dxa"/>
            <w:vAlign w:val="bottom"/>
            <w:tcBorders>
              <w:right w:val="single" w:sz="8" w:color="auto"/>
            </w:tcBorders>
          </w:tcPr>
          <w:p>
            <w:pPr>
              <w:ind w:left="500"/>
              <w:spacing w:after="0" w:line="263" w:lineRule="exact"/>
              <w:rPr>
                <w:sz w:val="20"/>
                <w:szCs w:val="20"/>
                <w:color w:val="auto"/>
              </w:rPr>
            </w:pPr>
            <w:r>
              <w:rPr>
                <w:rFonts w:ascii="Arial" w:cs="Arial" w:eastAsia="Arial" w:hAnsi="Arial"/>
                <w:sz w:val="29"/>
                <w:szCs w:val="29"/>
                <w:b w:val="1"/>
                <w:bCs w:val="1"/>
                <w:color w:val="auto"/>
              </w:rPr>
              <w:t>8</w:t>
            </w:r>
          </w:p>
        </w:tc>
        <w:tc>
          <w:tcPr>
            <w:tcW w:w="426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42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4260" w:type="dxa"/>
            <w:vAlign w:val="bottom"/>
          </w:tcPr>
          <w:p>
            <w:pPr>
              <w:ind w:left="340"/>
              <w:spacing w:after="0"/>
              <w:rPr>
                <w:sz w:val="20"/>
                <w:szCs w:val="20"/>
                <w:color w:val="auto"/>
              </w:rPr>
            </w:pPr>
            <w:r>
              <w:rPr>
                <w:rFonts w:ascii="Arial" w:cs="Arial" w:eastAsia="Arial" w:hAnsi="Arial"/>
                <w:sz w:val="18"/>
                <w:szCs w:val="18"/>
                <w:color w:val="auto"/>
              </w:rPr>
              <w:t>1,445,800 shares of Common Stock</w:t>
            </w:r>
          </w:p>
        </w:tc>
        <w:tc>
          <w:tcPr>
            <w:tcW w:w="4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852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w w:val="98"/>
              </w:rPr>
              <w:t>3,750,000 shares of Common Stock issuable upon exercise of Series A, D and E Warrants (See Item 4)*</w:t>
            </w: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852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rPr>
              <w:t>2,500,000 shares of Common Stock issuable upon exercise of Series B and C Warrants (See Item 4)*</w:t>
            </w:r>
          </w:p>
        </w:tc>
        <w:tc>
          <w:tcPr>
            <w:tcW w:w="0" w:type="dxa"/>
            <w:vAlign w:val="bottom"/>
          </w:tcPr>
          <w:p>
            <w:pPr>
              <w:spacing w:after="0"/>
              <w:rPr>
                <w:sz w:val="1"/>
                <w:szCs w:val="1"/>
                <w:color w:val="auto"/>
              </w:rPr>
            </w:pPr>
          </w:p>
        </w:tc>
      </w:tr>
      <w:tr>
        <w:trPr>
          <w:trHeight w:val="81"/>
        </w:trPr>
        <w:tc>
          <w:tcPr>
            <w:tcW w:w="1740" w:type="dxa"/>
            <w:vAlign w:val="bottom"/>
            <w:tcBorders>
              <w:left w:val="single" w:sz="8" w:color="auto"/>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8520" w:type="dxa"/>
            <w:vAlign w:val="bottom"/>
            <w:tcBorders>
              <w:bottom w:val="single" w:sz="8" w:color="auto"/>
              <w:right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1740" w:type="dxa"/>
            <w:vAlign w:val="bottom"/>
            <w:tcBorders>
              <w:left w:val="single" w:sz="8" w:color="auto"/>
              <w:right w:val="single" w:sz="8" w:color="auto"/>
            </w:tcBorders>
          </w:tcPr>
          <w:p>
            <w:pPr>
              <w:jc w:val="center"/>
              <w:spacing w:after="0" w:line="263" w:lineRule="exact"/>
              <w:rPr>
                <w:sz w:val="20"/>
                <w:szCs w:val="20"/>
                <w:color w:val="auto"/>
              </w:rPr>
            </w:pPr>
            <w:r>
              <w:rPr>
                <w:rFonts w:ascii="Arial" w:cs="Arial" w:eastAsia="Arial" w:hAnsi="Arial"/>
                <w:sz w:val="29"/>
                <w:szCs w:val="29"/>
                <w:b w:val="1"/>
                <w:bCs w:val="1"/>
                <w:color w:val="auto"/>
                <w:w w:val="86"/>
              </w:rPr>
              <w:t>9</w:t>
            </w:r>
          </w:p>
        </w:tc>
        <w:tc>
          <w:tcPr>
            <w:tcW w:w="96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5420" w:type="dxa"/>
            <w:vAlign w:val="bottom"/>
            <w:gridSpan w:val="2"/>
          </w:tcPr>
          <w:p>
            <w:pPr>
              <w:ind w:left="340"/>
              <w:spacing w:after="0"/>
              <w:rPr>
                <w:sz w:val="20"/>
                <w:szCs w:val="20"/>
                <w:color w:val="auto"/>
              </w:rPr>
            </w:pPr>
            <w:r>
              <w:rPr>
                <w:rFonts w:ascii="Arial" w:cs="Arial" w:eastAsia="Arial" w:hAnsi="Arial"/>
                <w:sz w:val="18"/>
                <w:szCs w:val="18"/>
                <w:color w:val="auto"/>
              </w:rPr>
              <w:t>1,945,795 shares of Common Stock</w:t>
            </w:r>
          </w:p>
        </w:tc>
        <w:tc>
          <w:tcPr>
            <w:tcW w:w="4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9680" w:type="dxa"/>
            <w:vAlign w:val="bottom"/>
            <w:tcBorders>
              <w:right w:val="single" w:sz="8" w:color="auto"/>
            </w:tcBorders>
            <w:gridSpan w:val="3"/>
          </w:tcPr>
          <w:p>
            <w:pPr>
              <w:ind w:left="340"/>
              <w:spacing w:after="0"/>
              <w:rPr>
                <w:sz w:val="20"/>
                <w:szCs w:val="20"/>
                <w:color w:val="auto"/>
              </w:rPr>
            </w:pPr>
            <w:r>
              <w:rPr>
                <w:rFonts w:ascii="Arial" w:cs="Arial" w:eastAsia="Arial" w:hAnsi="Arial"/>
                <w:sz w:val="18"/>
                <w:szCs w:val="18"/>
                <w:color w:val="auto"/>
              </w:rPr>
              <w:t>5,249,985 shares of Common Stock issuable upon exercise of Series A, D and E Warrants (See Item 4)*</w:t>
            </w: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tcPr>
          <w:p>
            <w:pPr>
              <w:spacing w:after="0"/>
              <w:rPr>
                <w:sz w:val="20"/>
                <w:szCs w:val="20"/>
                <w:color w:val="auto"/>
              </w:rPr>
            </w:pPr>
          </w:p>
        </w:tc>
        <w:tc>
          <w:tcPr>
            <w:tcW w:w="9680" w:type="dxa"/>
            <w:vAlign w:val="bottom"/>
            <w:tcBorders>
              <w:right w:val="single" w:sz="8" w:color="auto"/>
            </w:tcBorders>
            <w:gridSpan w:val="3"/>
          </w:tcPr>
          <w:p>
            <w:pPr>
              <w:ind w:left="340"/>
              <w:spacing w:after="0"/>
              <w:rPr>
                <w:sz w:val="20"/>
                <w:szCs w:val="20"/>
                <w:color w:val="auto"/>
              </w:rPr>
            </w:pPr>
            <w:r>
              <w:rPr>
                <w:rFonts w:ascii="Arial" w:cs="Arial" w:eastAsia="Arial" w:hAnsi="Arial"/>
                <w:sz w:val="18"/>
                <w:szCs w:val="18"/>
                <w:color w:val="auto"/>
              </w:rPr>
              <w:t>3,499,990 shares of Common Stock issuable upon exercise of Series B and C Warrants (See Item 4)*</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bottom w:val="single" w:sz="8" w:color="auto"/>
              <w:right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520" w:type="dxa"/>
            <w:vAlign w:val="bottom"/>
            <w:tcBorders>
              <w:bottom w:val="single" w:sz="8" w:color="auto"/>
              <w:right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10</w:t>
            </w:r>
          </w:p>
        </w:tc>
        <w:tc>
          <w:tcPr>
            <w:tcW w:w="9680" w:type="dxa"/>
            <w:vAlign w:val="bottom"/>
            <w:tcBorders>
              <w:right w:val="single" w:sz="8" w:color="auto"/>
            </w:tcBorders>
            <w:gridSpan w:val="3"/>
          </w:tcPr>
          <w:p>
            <w:pPr>
              <w:ind w:left="180"/>
              <w:spacing w:after="0"/>
              <w:rPr>
                <w:sz w:val="20"/>
                <w:szCs w:val="20"/>
                <w:color w:val="auto"/>
              </w:rPr>
            </w:pPr>
            <w:r>
              <w:rPr>
                <w:rFonts w:ascii="Arial" w:cs="Arial" w:eastAsia="Arial" w:hAnsi="Arial"/>
                <w:sz w:val="18"/>
                <w:szCs w:val="18"/>
                <w:color w:val="auto"/>
                <w:w w:val="79"/>
              </w:rPr>
              <w:t>CHECK BOX IF THE AGGREGATE AMOUNT IN ROW (9) EXCLUDES CERTAIN SHARESo</w:t>
            </w:r>
          </w:p>
        </w:tc>
        <w:tc>
          <w:tcPr>
            <w:tcW w:w="0" w:type="dxa"/>
            <w:vAlign w:val="bottom"/>
          </w:tcPr>
          <w:p>
            <w:pPr>
              <w:spacing w:after="0"/>
              <w:rPr>
                <w:sz w:val="1"/>
                <w:szCs w:val="1"/>
                <w:color w:val="auto"/>
              </w:rPr>
            </w:pPr>
          </w:p>
        </w:tc>
      </w:tr>
      <w:tr>
        <w:trPr>
          <w:trHeight w:val="144"/>
        </w:trPr>
        <w:tc>
          <w:tcPr>
            <w:tcW w:w="1740" w:type="dxa"/>
            <w:vAlign w:val="bottom"/>
            <w:tcBorders>
              <w:left w:val="single" w:sz="8" w:color="auto"/>
              <w:right w:val="single" w:sz="8" w:color="auto"/>
            </w:tcBorders>
            <w:vMerge w:val="continue"/>
          </w:tcPr>
          <w:p>
            <w:pPr>
              <w:spacing w:after="0"/>
              <w:rPr>
                <w:sz w:val="12"/>
                <w:szCs w:val="12"/>
                <w:color w:val="auto"/>
              </w:rPr>
            </w:pPr>
          </w:p>
        </w:tc>
        <w:tc>
          <w:tcPr>
            <w:tcW w:w="11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1740" w:type="dxa"/>
            <w:vAlign w:val="bottom"/>
            <w:tcBorders>
              <w:left w:val="single" w:sz="8" w:color="auto"/>
              <w:bottom w:val="single" w:sz="8" w:color="auto"/>
              <w:right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4260" w:type="dxa"/>
            <w:vAlign w:val="bottom"/>
            <w:tcBorders>
              <w:bottom w:val="single" w:sz="8" w:color="auto"/>
            </w:tcBorders>
          </w:tcPr>
          <w:p>
            <w:pPr>
              <w:spacing w:after="0"/>
              <w:rPr>
                <w:sz w:val="6"/>
                <w:szCs w:val="6"/>
                <w:color w:val="auto"/>
              </w:rPr>
            </w:pPr>
          </w:p>
        </w:tc>
        <w:tc>
          <w:tcPr>
            <w:tcW w:w="42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1740" w:type="dxa"/>
            <w:vAlign w:val="bottom"/>
            <w:tcBorders>
              <w:left w:val="single" w:sz="8" w:color="auto"/>
              <w:right w:val="single" w:sz="8" w:color="auto"/>
            </w:tcBorders>
          </w:tcPr>
          <w:p>
            <w:pPr>
              <w:jc w:val="center"/>
              <w:spacing w:after="0" w:line="263" w:lineRule="exact"/>
              <w:rPr>
                <w:sz w:val="20"/>
                <w:szCs w:val="20"/>
                <w:color w:val="auto"/>
              </w:rPr>
            </w:pPr>
            <w:r>
              <w:rPr>
                <w:rFonts w:ascii="Arial" w:cs="Arial" w:eastAsia="Arial" w:hAnsi="Arial"/>
                <w:sz w:val="29"/>
                <w:szCs w:val="29"/>
                <w:b w:val="1"/>
                <w:bCs w:val="1"/>
                <w:color w:val="auto"/>
                <w:w w:val="86"/>
              </w:rPr>
              <w:t>11</w:t>
            </w:r>
          </w:p>
        </w:tc>
        <w:tc>
          <w:tcPr>
            <w:tcW w:w="5420" w:type="dxa"/>
            <w:vAlign w:val="bottom"/>
            <w:gridSpan w:val="2"/>
          </w:tcPr>
          <w:p>
            <w:pPr>
              <w:spacing w:after="0"/>
              <w:rPr>
                <w:sz w:val="20"/>
                <w:szCs w:val="20"/>
                <w:color w:val="auto"/>
              </w:rPr>
            </w:pPr>
            <w:r>
              <w:rPr>
                <w:rFonts w:ascii="Arial" w:cs="Arial" w:eastAsia="Arial" w:hAnsi="Arial"/>
                <w:sz w:val="18"/>
                <w:szCs w:val="18"/>
                <w:color w:val="auto"/>
              </w:rPr>
              <w:t>PERCENT OF CLASS REPRESENTED BY AMOUNT IN ROW (9)</w:t>
            </w:r>
          </w:p>
        </w:tc>
        <w:tc>
          <w:tcPr>
            <w:tcW w:w="42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9.9% (See Item 4)*</w:t>
            </w:r>
          </w:p>
        </w:tc>
        <w:tc>
          <w:tcPr>
            <w:tcW w:w="4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bottom w:val="single" w:sz="8" w:color="auto"/>
              <w:right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4260" w:type="dxa"/>
            <w:vAlign w:val="bottom"/>
            <w:tcBorders>
              <w:bottom w:val="single" w:sz="8" w:color="auto"/>
            </w:tcBorders>
          </w:tcPr>
          <w:p>
            <w:pPr>
              <w:spacing w:after="0"/>
              <w:rPr>
                <w:sz w:val="17"/>
                <w:szCs w:val="17"/>
                <w:color w:val="auto"/>
              </w:rPr>
            </w:pPr>
          </w:p>
        </w:tc>
        <w:tc>
          <w:tcPr>
            <w:tcW w:w="4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1740" w:type="dxa"/>
            <w:vAlign w:val="bottom"/>
            <w:tcBorders>
              <w:left w:val="single" w:sz="8" w:color="auto"/>
              <w:right w:val="single" w:sz="8" w:color="auto"/>
            </w:tcBorders>
          </w:tcPr>
          <w:p>
            <w:pPr>
              <w:jc w:val="center"/>
              <w:spacing w:after="0" w:line="316" w:lineRule="exact"/>
              <w:rPr>
                <w:sz w:val="20"/>
                <w:szCs w:val="20"/>
                <w:color w:val="auto"/>
              </w:rPr>
            </w:pPr>
            <w:r>
              <w:rPr>
                <w:rFonts w:ascii="Arial" w:cs="Arial" w:eastAsia="Arial" w:hAnsi="Arial"/>
                <w:sz w:val="29"/>
                <w:szCs w:val="29"/>
                <w:b w:val="1"/>
                <w:bCs w:val="1"/>
                <w:color w:val="auto"/>
                <w:w w:val="86"/>
              </w:rPr>
              <w:t>12</w:t>
            </w:r>
          </w:p>
        </w:tc>
        <w:tc>
          <w:tcPr>
            <w:tcW w:w="5420" w:type="dxa"/>
            <w:vAlign w:val="bottom"/>
            <w:gridSpan w:val="2"/>
          </w:tcPr>
          <w:p>
            <w:pPr>
              <w:spacing w:after="0"/>
              <w:rPr>
                <w:sz w:val="20"/>
                <w:szCs w:val="20"/>
                <w:color w:val="auto"/>
              </w:rPr>
            </w:pPr>
            <w:r>
              <w:rPr>
                <w:rFonts w:ascii="Arial" w:cs="Arial" w:eastAsia="Arial" w:hAnsi="Arial"/>
                <w:sz w:val="18"/>
                <w:szCs w:val="18"/>
                <w:color w:val="auto"/>
              </w:rPr>
              <w:t>TYPE OF REPORTING PERSON</w:t>
            </w:r>
          </w:p>
        </w:tc>
        <w:tc>
          <w:tcPr>
            <w:tcW w:w="4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IN; HC</w:t>
            </w:r>
          </w:p>
        </w:tc>
        <w:tc>
          <w:tcPr>
            <w:tcW w:w="4260" w:type="dxa"/>
            <w:vAlign w:val="bottom"/>
          </w:tcPr>
          <w:p>
            <w:pPr>
              <w:spacing w:after="0"/>
              <w:rPr>
                <w:sz w:val="20"/>
                <w:szCs w:val="20"/>
                <w:color w:val="auto"/>
              </w:rPr>
            </w:pPr>
          </w:p>
        </w:tc>
        <w:tc>
          <w:tcPr>
            <w:tcW w:w="4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1740" w:type="dxa"/>
            <w:vAlign w:val="bottom"/>
            <w:tcBorders>
              <w:left w:val="single" w:sz="8" w:color="auto"/>
              <w:bottom w:val="single" w:sz="8" w:color="auto"/>
              <w:right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4260" w:type="dxa"/>
            <w:vAlign w:val="bottom"/>
            <w:tcBorders>
              <w:bottom w:val="single" w:sz="8" w:color="auto"/>
            </w:tcBorders>
          </w:tcPr>
          <w:p>
            <w:pPr>
              <w:spacing w:after="0"/>
              <w:rPr>
                <w:sz w:val="8"/>
                <w:szCs w:val="8"/>
                <w:color w:val="auto"/>
              </w:rPr>
            </w:pPr>
          </w:p>
        </w:tc>
        <w:tc>
          <w:tcPr>
            <w:tcW w:w="4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8"/>
        <w:spacing w:after="0" w:line="291" w:lineRule="auto"/>
        <w:tabs>
          <w:tab w:leader="none" w:pos="149" w:val="left"/>
        </w:tabs>
        <w:numPr>
          <w:ilvl w:val="0"/>
          <w:numId w:val="4"/>
        </w:numPr>
        <w:rPr>
          <w:rFonts w:ascii="Arial" w:cs="Arial" w:eastAsia="Arial" w:hAnsi="Arial"/>
          <w:sz w:val="16"/>
          <w:szCs w:val="16"/>
          <w:color w:val="auto"/>
        </w:rPr>
      </w:pPr>
      <w:r>
        <w:rPr>
          <w:rFonts w:ascii="Arial" w:cs="Arial" w:eastAsia="Arial" w:hAnsi="Arial"/>
          <w:sz w:val="16"/>
          <w:szCs w:val="16"/>
          <w:color w:val="auto"/>
        </w:rPr>
        <w:t>As more fully described in Item 4, the Series A, D and E Warrants are subject to a 4.9% blocker and the Series B and C Warrants are subject to a 9.9% blocker and the percentage set forth in row (11) gives effect to such blocker. However, as more fully described in Item 4, the securities reported in rows (6),</w:t>
      </w:r>
    </w:p>
    <w:p>
      <w:pPr>
        <w:jc w:val="both"/>
        <w:spacing w:after="0" w:line="255" w:lineRule="auto"/>
        <w:rPr>
          <w:rFonts w:ascii="Arial" w:cs="Arial" w:eastAsia="Arial" w:hAnsi="Arial"/>
          <w:sz w:val="16"/>
          <w:szCs w:val="16"/>
          <w:color w:val="auto"/>
        </w:rPr>
      </w:pPr>
      <w:r>
        <w:rPr>
          <w:rFonts w:ascii="Arial" w:cs="Arial" w:eastAsia="Arial" w:hAnsi="Arial"/>
          <w:sz w:val="18"/>
          <w:szCs w:val="18"/>
          <w:color w:val="auto"/>
        </w:rPr>
        <w:t>(8) and (9) show the number of shares of Common Stock that would be issuable upon full exercise of such reported securities and do not give effect to such blocker. Therefore, the actual number of shares of Common Stock beneficially owned by such Reporting Person, after giving effect to such blocker, is less than the number of securities reported in rows (6), (8) and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3" w:right="239" w:bottom="1440" w:gutter="0" w:footer="0" w:header="0"/>
        </w:sectPr>
      </w:pPr>
    </w:p>
    <w:bookmarkStart w:id="4" w:name="page5"/>
    <w:bookmarkEnd w:id="4"/>
    <w:p>
      <w:pPr>
        <w:spacing w:after="0"/>
        <w:tabs>
          <w:tab w:leader="none" w:pos="13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NAME OF ISSUER:</w:t>
      </w:r>
    </w:p>
    <w:p>
      <w:pPr>
        <w:spacing w:after="0" w:line="22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The name of the issuer is TapImmune Inc. (the “Company”).</w:t>
      </w:r>
    </w:p>
    <w:p>
      <w:pPr>
        <w:spacing w:after="0" w:line="2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ADDRESS OF ISSUER’S PRINCIPAL EXECUTIVE OFFICES:</w:t>
      </w:r>
    </w:p>
    <w:p>
      <w:pPr>
        <w:spacing w:after="0" w:line="22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The Company’s principal executive offices are located at 1551 Eastlake Avenue East, Suite 100, Seattle, Washington 98102.</w:t>
      </w:r>
    </w:p>
    <w:p>
      <w:pPr>
        <w:spacing w:after="0" w:line="2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8"/>
          <w:szCs w:val="18"/>
          <w:b w:val="1"/>
          <w:bCs w:val="1"/>
          <w:color w:val="auto"/>
        </w:rPr>
        <w:t>NAME OF PERSON FILING:</w:t>
      </w:r>
    </w:p>
    <w:p>
      <w:pPr>
        <w:spacing w:after="0" w:line="229"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This Schedule 13G is being filed on behalf of (i) Iroquois Capital Management L.L.C., a Delaware limited liability company (“Iroquois”),</w:t>
      </w:r>
    </w:p>
    <w:p>
      <w:pPr>
        <w:spacing w:after="0" w:line="46" w:lineRule="exact"/>
        <w:rPr>
          <w:sz w:val="20"/>
          <w:szCs w:val="20"/>
          <w:color w:val="auto"/>
        </w:rPr>
      </w:pPr>
    </w:p>
    <w:p>
      <w:pPr>
        <w:jc w:val="both"/>
        <w:ind w:left="1380" w:right="620" w:firstLine="6"/>
        <w:spacing w:after="0" w:line="255" w:lineRule="auto"/>
        <w:tabs>
          <w:tab w:leader="none" w:pos="1645" w:val="left"/>
        </w:tabs>
        <w:numPr>
          <w:ilvl w:val="0"/>
          <w:numId w:val="5"/>
        </w:numPr>
        <w:rPr>
          <w:rFonts w:ascii="Arial" w:cs="Arial" w:eastAsia="Arial" w:hAnsi="Arial"/>
          <w:sz w:val="18"/>
          <w:szCs w:val="18"/>
          <w:color w:val="auto"/>
        </w:rPr>
      </w:pPr>
      <w:r>
        <w:rPr>
          <w:rFonts w:ascii="Arial" w:cs="Arial" w:eastAsia="Arial" w:hAnsi="Arial"/>
          <w:sz w:val="18"/>
          <w:szCs w:val="18"/>
          <w:color w:val="auto"/>
        </w:rPr>
        <w:t>Joshua Silverman, an individual who is a citizen of the United States of America (“Mr. Silverman”) and (iii) Richard Abbe, an individual who is a citizen of the United States of America (“Mr. Abbe,” together with Iroquois and Mr. Silverman, the “Reporting Persons”).</w:t>
      </w:r>
    </w:p>
    <w:p>
      <w:pPr>
        <w:spacing w:after="0" w:line="190" w:lineRule="exact"/>
        <w:rPr>
          <w:sz w:val="20"/>
          <w:szCs w:val="20"/>
          <w:color w:val="auto"/>
        </w:rPr>
      </w:pPr>
    </w:p>
    <w:p>
      <w:pPr>
        <w:ind w:left="1380" w:right="140"/>
        <w:spacing w:after="0" w:line="264" w:lineRule="auto"/>
        <w:rPr>
          <w:sz w:val="20"/>
          <w:szCs w:val="20"/>
          <w:color w:val="auto"/>
        </w:rPr>
      </w:pPr>
      <w:r>
        <w:rPr>
          <w:rFonts w:ascii="Arial" w:cs="Arial" w:eastAsia="Arial" w:hAnsi="Arial"/>
          <w:sz w:val="18"/>
          <w:szCs w:val="18"/>
          <w:color w:val="auto"/>
        </w:rPr>
        <w:t>The Reporting Persons have entered into a Joint Filing Agreement, a copy of which is filed with this Schedule 13G as Exhibit 1, pursuant to which the Reporting Persons have agreed to file this Schedule 13G jointly in accordance with the provisions of Rule 13d-1(k) of the Securities Exchange Act of 1934, as amended.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10340" w:type="dxa"/>
            <w:vAlign w:val="bottom"/>
            <w:gridSpan w:val="3"/>
          </w:tcPr>
          <w:p>
            <w:pPr>
              <w:ind w:left="300"/>
              <w:spacing w:after="0"/>
              <w:rPr>
                <w:sz w:val="20"/>
                <w:szCs w:val="20"/>
                <w:color w:val="auto"/>
              </w:rPr>
            </w:pPr>
            <w:r>
              <w:rPr>
                <w:rFonts w:ascii="Arial" w:cs="Arial" w:eastAsia="Arial" w:hAnsi="Arial"/>
                <w:sz w:val="18"/>
                <w:szCs w:val="18"/>
                <w:b w:val="1"/>
                <w:bCs w:val="1"/>
                <w:color w:val="auto"/>
              </w:rPr>
              <w:t>ADDRESS OF PRINCIPAL BUSINESS OFFICE OR, IF NONE, RESIDENCE:</w:t>
            </w:r>
          </w:p>
        </w:tc>
      </w:tr>
      <w:tr>
        <w:trPr>
          <w:trHeight w:val="432"/>
        </w:trPr>
        <w:tc>
          <w:tcPr>
            <w:tcW w:w="1080" w:type="dxa"/>
            <w:vAlign w:val="bottom"/>
          </w:tcPr>
          <w:p>
            <w:pPr>
              <w:spacing w:after="0"/>
              <w:rPr>
                <w:sz w:val="24"/>
                <w:szCs w:val="24"/>
                <w:color w:val="auto"/>
              </w:rPr>
            </w:pPr>
          </w:p>
        </w:tc>
        <w:tc>
          <w:tcPr>
            <w:tcW w:w="10340" w:type="dxa"/>
            <w:vAlign w:val="bottom"/>
            <w:gridSpan w:val="3"/>
          </w:tcPr>
          <w:p>
            <w:pPr>
              <w:ind w:left="340"/>
              <w:spacing w:after="0"/>
              <w:rPr>
                <w:sz w:val="20"/>
                <w:szCs w:val="20"/>
                <w:color w:val="auto"/>
              </w:rPr>
            </w:pPr>
            <w:r>
              <w:rPr>
                <w:rFonts w:ascii="Arial" w:cs="Arial" w:eastAsia="Arial" w:hAnsi="Arial"/>
                <w:sz w:val="18"/>
                <w:szCs w:val="18"/>
                <w:color w:val="auto"/>
              </w:rPr>
              <w:t>The principal business office of all of the Reporting Persons is 205 East 42nd Street, 20th Floor, New York, New York 10017.</w:t>
            </w:r>
          </w:p>
        </w:tc>
      </w:tr>
      <w:tr>
        <w:trPr>
          <w:trHeight w:val="432"/>
        </w:trPr>
        <w:tc>
          <w:tcPr>
            <w:tcW w:w="108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1640" w:type="dxa"/>
            <w:vAlign w:val="bottom"/>
            <w:gridSpan w:val="2"/>
          </w:tcPr>
          <w:p>
            <w:pPr>
              <w:ind w:left="300"/>
              <w:spacing w:after="0"/>
              <w:rPr>
                <w:sz w:val="20"/>
                <w:szCs w:val="20"/>
                <w:color w:val="auto"/>
              </w:rPr>
            </w:pPr>
            <w:r>
              <w:rPr>
                <w:rFonts w:ascii="Arial" w:cs="Arial" w:eastAsia="Arial" w:hAnsi="Arial"/>
                <w:sz w:val="18"/>
                <w:szCs w:val="18"/>
                <w:b w:val="1"/>
                <w:bCs w:val="1"/>
                <w:color w:val="auto"/>
              </w:rPr>
              <w:t>CITIZENSHIP:</w:t>
            </w:r>
          </w:p>
        </w:tc>
        <w:tc>
          <w:tcPr>
            <w:tcW w:w="8700" w:type="dxa"/>
            <w:vAlign w:val="bottom"/>
          </w:tcPr>
          <w:p>
            <w:pPr>
              <w:spacing w:after="0"/>
              <w:rPr>
                <w:sz w:val="24"/>
                <w:szCs w:val="24"/>
                <w:color w:val="auto"/>
              </w:rPr>
            </w:pPr>
          </w:p>
        </w:tc>
      </w:tr>
      <w:tr>
        <w:trPr>
          <w:trHeight w:val="418"/>
        </w:trPr>
        <w:tc>
          <w:tcPr>
            <w:tcW w:w="1080" w:type="dxa"/>
            <w:vAlign w:val="bottom"/>
          </w:tcPr>
          <w:p>
            <w:pPr>
              <w:spacing w:after="0"/>
              <w:rPr>
                <w:sz w:val="24"/>
                <w:szCs w:val="24"/>
                <w:color w:val="auto"/>
              </w:rPr>
            </w:pPr>
          </w:p>
        </w:tc>
        <w:tc>
          <w:tcPr>
            <w:tcW w:w="10340" w:type="dxa"/>
            <w:vAlign w:val="bottom"/>
            <w:gridSpan w:val="3"/>
          </w:tcPr>
          <w:p>
            <w:pPr>
              <w:ind w:left="300"/>
              <w:spacing w:after="0"/>
              <w:rPr>
                <w:sz w:val="20"/>
                <w:szCs w:val="20"/>
                <w:color w:val="auto"/>
              </w:rPr>
            </w:pPr>
            <w:r>
              <w:rPr>
                <w:rFonts w:ascii="Arial" w:cs="Arial" w:eastAsia="Arial" w:hAnsi="Arial"/>
                <w:sz w:val="18"/>
                <w:szCs w:val="18"/>
                <w:color w:val="auto"/>
                <w:w w:val="91"/>
              </w:rPr>
              <w:t>Citizenship is set forth in Row 4 of the cover page for each Reporting Person hereto and is incorporated herein by reference for each such</w:t>
            </w:r>
          </w:p>
        </w:tc>
      </w:tr>
      <w:tr>
        <w:trPr>
          <w:trHeight w:val="230"/>
        </w:trPr>
        <w:tc>
          <w:tcPr>
            <w:tcW w:w="1080" w:type="dxa"/>
            <w:vAlign w:val="bottom"/>
          </w:tcPr>
          <w:p>
            <w:pPr>
              <w:spacing w:after="0"/>
              <w:rPr>
                <w:sz w:val="20"/>
                <w:szCs w:val="20"/>
                <w:color w:val="auto"/>
              </w:rPr>
            </w:pPr>
          </w:p>
        </w:tc>
        <w:tc>
          <w:tcPr>
            <w:tcW w:w="1640" w:type="dxa"/>
            <w:vAlign w:val="bottom"/>
            <w:gridSpan w:val="2"/>
          </w:tcPr>
          <w:p>
            <w:pPr>
              <w:ind w:left="300"/>
              <w:spacing w:after="0"/>
              <w:rPr>
                <w:sz w:val="20"/>
                <w:szCs w:val="20"/>
                <w:color w:val="auto"/>
              </w:rPr>
            </w:pPr>
            <w:r>
              <w:rPr>
                <w:rFonts w:ascii="Arial" w:cs="Arial" w:eastAsia="Arial" w:hAnsi="Arial"/>
                <w:sz w:val="18"/>
                <w:szCs w:val="18"/>
                <w:color w:val="auto"/>
                <w:w w:val="90"/>
              </w:rPr>
              <w:t>Reporting Person.</w:t>
            </w:r>
          </w:p>
        </w:tc>
        <w:tc>
          <w:tcPr>
            <w:tcW w:w="8700" w:type="dxa"/>
            <w:vAlign w:val="bottom"/>
          </w:tcPr>
          <w:p>
            <w:pPr>
              <w:spacing w:after="0"/>
              <w:rPr>
                <w:sz w:val="20"/>
                <w:szCs w:val="20"/>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10340" w:type="dxa"/>
            <w:vAlign w:val="bottom"/>
            <w:gridSpan w:val="3"/>
          </w:tcPr>
          <w:p>
            <w:pPr>
              <w:ind w:left="300"/>
              <w:spacing w:after="0"/>
              <w:rPr>
                <w:sz w:val="20"/>
                <w:szCs w:val="20"/>
                <w:color w:val="auto"/>
              </w:rPr>
            </w:pPr>
            <w:r>
              <w:rPr>
                <w:rFonts w:ascii="Arial" w:cs="Arial" w:eastAsia="Arial" w:hAnsi="Arial"/>
                <w:sz w:val="18"/>
                <w:szCs w:val="18"/>
                <w:b w:val="1"/>
                <w:bCs w:val="1"/>
                <w:color w:val="auto"/>
              </w:rPr>
              <w:t>TITLE OF CLASS OF SECURITIES:</w:t>
            </w:r>
          </w:p>
        </w:tc>
      </w:tr>
      <w:tr>
        <w:trPr>
          <w:trHeight w:val="432"/>
        </w:trPr>
        <w:tc>
          <w:tcPr>
            <w:tcW w:w="1080" w:type="dxa"/>
            <w:vAlign w:val="bottom"/>
          </w:tcPr>
          <w:p>
            <w:pPr>
              <w:spacing w:after="0"/>
              <w:rPr>
                <w:sz w:val="24"/>
                <w:szCs w:val="24"/>
                <w:color w:val="auto"/>
              </w:rPr>
            </w:pPr>
          </w:p>
        </w:tc>
        <w:tc>
          <w:tcPr>
            <w:tcW w:w="10340" w:type="dxa"/>
            <w:vAlign w:val="bottom"/>
            <w:gridSpan w:val="3"/>
          </w:tcPr>
          <w:p>
            <w:pPr>
              <w:ind w:left="300"/>
              <w:spacing w:after="0"/>
              <w:rPr>
                <w:sz w:val="20"/>
                <w:szCs w:val="20"/>
                <w:color w:val="auto"/>
              </w:rPr>
            </w:pPr>
            <w:r>
              <w:rPr>
                <w:rFonts w:ascii="Arial" w:cs="Arial" w:eastAsia="Arial" w:hAnsi="Arial"/>
                <w:sz w:val="18"/>
                <w:szCs w:val="18"/>
                <w:color w:val="auto"/>
              </w:rPr>
              <w:t>Common Stock, $0.001 par value (the “Common Stock”)</w:t>
            </w:r>
          </w:p>
        </w:tc>
      </w:tr>
      <w:tr>
        <w:trPr>
          <w:trHeight w:val="432"/>
        </w:trPr>
        <w:tc>
          <w:tcPr>
            <w:tcW w:w="108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10340" w:type="dxa"/>
            <w:vAlign w:val="bottom"/>
            <w:gridSpan w:val="3"/>
          </w:tcPr>
          <w:p>
            <w:pPr>
              <w:ind w:left="300"/>
              <w:spacing w:after="0"/>
              <w:rPr>
                <w:sz w:val="20"/>
                <w:szCs w:val="20"/>
                <w:color w:val="auto"/>
              </w:rPr>
            </w:pPr>
            <w:r>
              <w:rPr>
                <w:rFonts w:ascii="Arial" w:cs="Arial" w:eastAsia="Arial" w:hAnsi="Arial"/>
                <w:sz w:val="18"/>
                <w:szCs w:val="18"/>
                <w:b w:val="1"/>
                <w:bCs w:val="1"/>
                <w:color w:val="auto"/>
              </w:rPr>
              <w:t>CUSIP NUMBER:</w:t>
            </w:r>
          </w:p>
        </w:tc>
      </w:tr>
      <w:tr>
        <w:trPr>
          <w:trHeight w:val="432"/>
        </w:trPr>
        <w:tc>
          <w:tcPr>
            <w:tcW w:w="1080" w:type="dxa"/>
            <w:vAlign w:val="bottom"/>
          </w:tcPr>
          <w:p>
            <w:pPr>
              <w:spacing w:after="0"/>
              <w:rPr>
                <w:sz w:val="24"/>
                <w:szCs w:val="24"/>
                <w:color w:val="auto"/>
              </w:rPr>
            </w:pPr>
          </w:p>
        </w:tc>
        <w:tc>
          <w:tcPr>
            <w:tcW w:w="1220" w:type="dxa"/>
            <w:vAlign w:val="bottom"/>
          </w:tcPr>
          <w:p>
            <w:pPr>
              <w:ind w:left="300"/>
              <w:spacing w:after="0"/>
              <w:rPr>
                <w:sz w:val="20"/>
                <w:szCs w:val="20"/>
                <w:color w:val="auto"/>
              </w:rPr>
            </w:pPr>
            <w:r>
              <w:rPr>
                <w:rFonts w:ascii="Arial" w:cs="Arial" w:eastAsia="Arial" w:hAnsi="Arial"/>
                <w:sz w:val="18"/>
                <w:szCs w:val="18"/>
                <w:color w:val="auto"/>
                <w:w w:val="99"/>
              </w:rPr>
              <w:t>876033309</w:t>
            </w:r>
          </w:p>
        </w:tc>
        <w:tc>
          <w:tcPr>
            <w:tcW w:w="420" w:type="dxa"/>
            <w:vAlign w:val="bottom"/>
          </w:tcPr>
          <w:p>
            <w:pPr>
              <w:spacing w:after="0"/>
              <w:rPr>
                <w:sz w:val="24"/>
                <w:szCs w:val="24"/>
                <w:color w:val="auto"/>
              </w:rPr>
            </w:pPr>
          </w:p>
        </w:tc>
        <w:tc>
          <w:tcPr>
            <w:tcW w:w="8700" w:type="dxa"/>
            <w:vAlign w:val="bottom"/>
          </w:tcPr>
          <w:p>
            <w:pPr>
              <w:spacing w:after="0"/>
              <w:rPr>
                <w:sz w:val="24"/>
                <w:szCs w:val="24"/>
                <w:color w:val="auto"/>
              </w:rPr>
            </w:pPr>
          </w:p>
        </w:tc>
      </w:tr>
      <w:tr>
        <w:trPr>
          <w:trHeight w:val="414"/>
        </w:trPr>
        <w:tc>
          <w:tcPr>
            <w:tcW w:w="108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340" w:type="dxa"/>
            <w:vAlign w:val="bottom"/>
            <w:gridSpan w:val="3"/>
          </w:tcPr>
          <w:p>
            <w:pPr>
              <w:ind w:left="300"/>
              <w:spacing w:after="0"/>
              <w:rPr>
                <w:sz w:val="20"/>
                <w:szCs w:val="20"/>
                <w:color w:val="auto"/>
              </w:rPr>
            </w:pPr>
            <w:r>
              <w:rPr>
                <w:rFonts w:ascii="Arial" w:cs="Arial" w:eastAsia="Arial" w:hAnsi="Arial"/>
                <w:sz w:val="18"/>
                <w:szCs w:val="18"/>
                <w:b w:val="1"/>
                <w:bCs w:val="1"/>
                <w:color w:val="auto"/>
              </w:rPr>
              <w:t>IF THIS STATEMENT IS FILED PURSUANT TO RULES 13d-1(b) OR 13d-2(b) OR (c), CHECK WHETHER THE PERSON</w:t>
            </w:r>
          </w:p>
        </w:tc>
      </w:tr>
      <w:tr>
        <w:trPr>
          <w:trHeight w:val="234"/>
        </w:trPr>
        <w:tc>
          <w:tcPr>
            <w:tcW w:w="1080" w:type="dxa"/>
            <w:vAlign w:val="bottom"/>
          </w:tcPr>
          <w:p>
            <w:pPr>
              <w:spacing w:after="0"/>
              <w:rPr>
                <w:sz w:val="20"/>
                <w:szCs w:val="20"/>
                <w:color w:val="auto"/>
              </w:rPr>
            </w:pPr>
          </w:p>
        </w:tc>
        <w:tc>
          <w:tcPr>
            <w:tcW w:w="1640" w:type="dxa"/>
            <w:vAlign w:val="bottom"/>
            <w:gridSpan w:val="2"/>
          </w:tcPr>
          <w:p>
            <w:pPr>
              <w:ind w:left="300"/>
              <w:spacing w:after="0"/>
              <w:rPr>
                <w:sz w:val="20"/>
                <w:szCs w:val="20"/>
                <w:color w:val="auto"/>
              </w:rPr>
            </w:pPr>
            <w:r>
              <w:rPr>
                <w:rFonts w:ascii="Arial" w:cs="Arial" w:eastAsia="Arial" w:hAnsi="Arial"/>
                <w:sz w:val="18"/>
                <w:szCs w:val="18"/>
                <w:b w:val="1"/>
                <w:bCs w:val="1"/>
                <w:color w:val="auto"/>
              </w:rPr>
              <w:t>FILING IS A:</w:t>
            </w:r>
          </w:p>
        </w:tc>
        <w:tc>
          <w:tcPr>
            <w:tcW w:w="8700" w:type="dxa"/>
            <w:vAlign w:val="bottom"/>
          </w:tcPr>
          <w:p>
            <w:pPr>
              <w:spacing w:after="0"/>
              <w:rPr>
                <w:sz w:val="20"/>
                <w:szCs w:val="20"/>
                <w:color w:val="auto"/>
              </w:rPr>
            </w:pPr>
          </w:p>
        </w:tc>
      </w:tr>
      <w:tr>
        <w:trPr>
          <w:trHeight w:val="432"/>
        </w:trPr>
        <w:tc>
          <w:tcPr>
            <w:tcW w:w="1080" w:type="dxa"/>
            <w:vAlign w:val="bottom"/>
          </w:tcPr>
          <w:p>
            <w:pPr>
              <w:spacing w:after="0"/>
              <w:rPr>
                <w:sz w:val="24"/>
                <w:szCs w:val="24"/>
                <w:color w:val="auto"/>
              </w:rPr>
            </w:pPr>
          </w:p>
        </w:tc>
        <w:tc>
          <w:tcPr>
            <w:tcW w:w="1220" w:type="dxa"/>
            <w:vAlign w:val="bottom"/>
          </w:tcPr>
          <w:p>
            <w:pPr>
              <w:ind w:left="540"/>
              <w:spacing w:after="0"/>
              <w:rPr>
                <w:sz w:val="20"/>
                <w:szCs w:val="20"/>
                <w:color w:val="auto"/>
              </w:rPr>
            </w:pPr>
            <w:r>
              <w:rPr>
                <w:rFonts w:ascii="Arial" w:cs="Arial" w:eastAsia="Arial" w:hAnsi="Arial"/>
                <w:sz w:val="18"/>
                <w:szCs w:val="18"/>
                <w:color w:val="auto"/>
              </w:rPr>
              <w:t>(a)</w:t>
            </w:r>
          </w:p>
        </w:tc>
        <w:tc>
          <w:tcPr>
            <w:tcW w:w="420" w:type="dxa"/>
            <w:vAlign w:val="bottom"/>
          </w:tcPr>
          <w:p>
            <w:pPr>
              <w:ind w:left="120"/>
              <w:spacing w:after="0"/>
              <w:rPr>
                <w:sz w:val="20"/>
                <w:szCs w:val="20"/>
                <w:color w:val="auto"/>
              </w:rPr>
            </w:pPr>
            <w:r>
              <w:rPr>
                <w:rFonts w:ascii="Arial" w:cs="Arial" w:eastAsia="Arial" w:hAnsi="Arial"/>
                <w:sz w:val="18"/>
                <w:szCs w:val="18"/>
                <w:color w:val="auto"/>
              </w:rPr>
              <w:t>o</w:t>
            </w:r>
          </w:p>
        </w:tc>
        <w:tc>
          <w:tcPr>
            <w:tcW w:w="8700" w:type="dxa"/>
            <w:vAlign w:val="bottom"/>
          </w:tcPr>
          <w:p>
            <w:pPr>
              <w:ind w:left="20"/>
              <w:spacing w:after="0"/>
              <w:rPr>
                <w:sz w:val="20"/>
                <w:szCs w:val="20"/>
                <w:color w:val="auto"/>
              </w:rPr>
            </w:pPr>
            <w:r>
              <w:rPr>
                <w:rFonts w:ascii="Arial" w:cs="Arial" w:eastAsia="Arial" w:hAnsi="Arial"/>
                <w:sz w:val="18"/>
                <w:szCs w:val="18"/>
                <w:color w:val="auto"/>
              </w:rPr>
              <w:t>Broker or dealer registered under Section 15 of the Act,</w:t>
            </w:r>
          </w:p>
        </w:tc>
      </w:tr>
      <w:tr>
        <w:trPr>
          <w:trHeight w:val="432"/>
        </w:trPr>
        <w:tc>
          <w:tcPr>
            <w:tcW w:w="1080" w:type="dxa"/>
            <w:vAlign w:val="bottom"/>
          </w:tcPr>
          <w:p>
            <w:pPr>
              <w:spacing w:after="0"/>
              <w:rPr>
                <w:sz w:val="24"/>
                <w:szCs w:val="24"/>
                <w:color w:val="auto"/>
              </w:rPr>
            </w:pPr>
          </w:p>
        </w:tc>
        <w:tc>
          <w:tcPr>
            <w:tcW w:w="1220" w:type="dxa"/>
            <w:vAlign w:val="bottom"/>
          </w:tcPr>
          <w:p>
            <w:pPr>
              <w:ind w:left="540"/>
              <w:spacing w:after="0"/>
              <w:rPr>
                <w:sz w:val="20"/>
                <w:szCs w:val="20"/>
                <w:color w:val="auto"/>
              </w:rPr>
            </w:pPr>
            <w:r>
              <w:rPr>
                <w:rFonts w:ascii="Arial" w:cs="Arial" w:eastAsia="Arial" w:hAnsi="Arial"/>
                <w:sz w:val="18"/>
                <w:szCs w:val="18"/>
                <w:color w:val="auto"/>
              </w:rPr>
              <w:t>(b)</w:t>
            </w:r>
          </w:p>
        </w:tc>
        <w:tc>
          <w:tcPr>
            <w:tcW w:w="420" w:type="dxa"/>
            <w:vAlign w:val="bottom"/>
          </w:tcPr>
          <w:p>
            <w:pPr>
              <w:ind w:left="120"/>
              <w:spacing w:after="0"/>
              <w:rPr>
                <w:sz w:val="20"/>
                <w:szCs w:val="20"/>
                <w:color w:val="auto"/>
              </w:rPr>
            </w:pPr>
            <w:r>
              <w:rPr>
                <w:rFonts w:ascii="Arial" w:cs="Arial" w:eastAsia="Arial" w:hAnsi="Arial"/>
                <w:sz w:val="18"/>
                <w:szCs w:val="18"/>
                <w:color w:val="auto"/>
              </w:rPr>
              <w:t>o</w:t>
            </w:r>
          </w:p>
        </w:tc>
        <w:tc>
          <w:tcPr>
            <w:tcW w:w="8700" w:type="dxa"/>
            <w:vAlign w:val="bottom"/>
          </w:tcPr>
          <w:p>
            <w:pPr>
              <w:ind w:left="20"/>
              <w:spacing w:after="0"/>
              <w:rPr>
                <w:sz w:val="20"/>
                <w:szCs w:val="20"/>
                <w:color w:val="auto"/>
              </w:rPr>
            </w:pPr>
            <w:r>
              <w:rPr>
                <w:rFonts w:ascii="Arial" w:cs="Arial" w:eastAsia="Arial" w:hAnsi="Arial"/>
                <w:sz w:val="18"/>
                <w:szCs w:val="18"/>
                <w:color w:val="auto"/>
              </w:rPr>
              <w:t>Bank as defined in Section 3(a)(6) of the Act,</w:t>
            </w:r>
          </w:p>
        </w:tc>
      </w:tr>
      <w:tr>
        <w:trPr>
          <w:trHeight w:val="432"/>
        </w:trPr>
        <w:tc>
          <w:tcPr>
            <w:tcW w:w="1080" w:type="dxa"/>
            <w:vAlign w:val="bottom"/>
          </w:tcPr>
          <w:p>
            <w:pPr>
              <w:spacing w:after="0"/>
              <w:rPr>
                <w:sz w:val="24"/>
                <w:szCs w:val="24"/>
                <w:color w:val="auto"/>
              </w:rPr>
            </w:pPr>
          </w:p>
        </w:tc>
        <w:tc>
          <w:tcPr>
            <w:tcW w:w="1220" w:type="dxa"/>
            <w:vAlign w:val="bottom"/>
          </w:tcPr>
          <w:p>
            <w:pPr>
              <w:ind w:left="540"/>
              <w:spacing w:after="0"/>
              <w:rPr>
                <w:sz w:val="20"/>
                <w:szCs w:val="20"/>
                <w:color w:val="auto"/>
              </w:rPr>
            </w:pPr>
            <w:r>
              <w:rPr>
                <w:rFonts w:ascii="Arial" w:cs="Arial" w:eastAsia="Arial" w:hAnsi="Arial"/>
                <w:sz w:val="18"/>
                <w:szCs w:val="18"/>
                <w:color w:val="auto"/>
              </w:rPr>
              <w:t>(c)</w:t>
            </w:r>
          </w:p>
        </w:tc>
        <w:tc>
          <w:tcPr>
            <w:tcW w:w="420" w:type="dxa"/>
            <w:vAlign w:val="bottom"/>
          </w:tcPr>
          <w:p>
            <w:pPr>
              <w:ind w:left="120"/>
              <w:spacing w:after="0"/>
              <w:rPr>
                <w:sz w:val="20"/>
                <w:szCs w:val="20"/>
                <w:color w:val="auto"/>
              </w:rPr>
            </w:pPr>
            <w:r>
              <w:rPr>
                <w:rFonts w:ascii="Arial" w:cs="Arial" w:eastAsia="Arial" w:hAnsi="Arial"/>
                <w:sz w:val="18"/>
                <w:szCs w:val="18"/>
                <w:color w:val="auto"/>
              </w:rPr>
              <w:t>o</w:t>
            </w:r>
          </w:p>
        </w:tc>
        <w:tc>
          <w:tcPr>
            <w:tcW w:w="8700" w:type="dxa"/>
            <w:vAlign w:val="bottom"/>
          </w:tcPr>
          <w:p>
            <w:pPr>
              <w:ind w:left="20"/>
              <w:spacing w:after="0"/>
              <w:rPr>
                <w:sz w:val="20"/>
                <w:szCs w:val="20"/>
                <w:color w:val="auto"/>
              </w:rPr>
            </w:pPr>
            <w:r>
              <w:rPr>
                <w:rFonts w:ascii="Arial" w:cs="Arial" w:eastAsia="Arial" w:hAnsi="Arial"/>
                <w:sz w:val="18"/>
                <w:szCs w:val="18"/>
                <w:color w:val="auto"/>
              </w:rPr>
              <w:t>Insurance Company as defined in Section 3(a)(19) of the Act,</w:t>
            </w:r>
          </w:p>
        </w:tc>
      </w:tr>
      <w:tr>
        <w:trPr>
          <w:trHeight w:val="432"/>
        </w:trPr>
        <w:tc>
          <w:tcPr>
            <w:tcW w:w="1080" w:type="dxa"/>
            <w:vAlign w:val="bottom"/>
          </w:tcPr>
          <w:p>
            <w:pPr>
              <w:spacing w:after="0"/>
              <w:rPr>
                <w:sz w:val="24"/>
                <w:szCs w:val="24"/>
                <w:color w:val="auto"/>
              </w:rPr>
            </w:pPr>
          </w:p>
        </w:tc>
        <w:tc>
          <w:tcPr>
            <w:tcW w:w="1220" w:type="dxa"/>
            <w:vAlign w:val="bottom"/>
          </w:tcPr>
          <w:p>
            <w:pPr>
              <w:ind w:left="540"/>
              <w:spacing w:after="0"/>
              <w:rPr>
                <w:sz w:val="20"/>
                <w:szCs w:val="20"/>
                <w:color w:val="auto"/>
              </w:rPr>
            </w:pPr>
            <w:r>
              <w:rPr>
                <w:rFonts w:ascii="Arial" w:cs="Arial" w:eastAsia="Arial" w:hAnsi="Arial"/>
                <w:sz w:val="18"/>
                <w:szCs w:val="18"/>
                <w:color w:val="auto"/>
              </w:rPr>
              <w:t>(d)</w:t>
            </w:r>
          </w:p>
        </w:tc>
        <w:tc>
          <w:tcPr>
            <w:tcW w:w="420" w:type="dxa"/>
            <w:vAlign w:val="bottom"/>
          </w:tcPr>
          <w:p>
            <w:pPr>
              <w:ind w:left="120"/>
              <w:spacing w:after="0"/>
              <w:rPr>
                <w:sz w:val="20"/>
                <w:szCs w:val="20"/>
                <w:color w:val="auto"/>
              </w:rPr>
            </w:pPr>
            <w:r>
              <w:rPr>
                <w:rFonts w:ascii="Arial" w:cs="Arial" w:eastAsia="Arial" w:hAnsi="Arial"/>
                <w:sz w:val="18"/>
                <w:szCs w:val="18"/>
                <w:color w:val="auto"/>
              </w:rPr>
              <w:t>o</w:t>
            </w:r>
          </w:p>
        </w:tc>
        <w:tc>
          <w:tcPr>
            <w:tcW w:w="8700" w:type="dxa"/>
            <w:vAlign w:val="bottom"/>
          </w:tcPr>
          <w:p>
            <w:pPr>
              <w:ind w:left="20"/>
              <w:spacing w:after="0"/>
              <w:rPr>
                <w:sz w:val="20"/>
                <w:szCs w:val="20"/>
                <w:color w:val="auto"/>
              </w:rPr>
            </w:pPr>
            <w:r>
              <w:rPr>
                <w:rFonts w:ascii="Arial" w:cs="Arial" w:eastAsia="Arial" w:hAnsi="Arial"/>
                <w:sz w:val="18"/>
                <w:szCs w:val="18"/>
                <w:color w:val="auto"/>
              </w:rPr>
              <w:t>Investment Company registered under Section 8 of the Investment Company Act of 1940,</w:t>
            </w:r>
          </w:p>
        </w:tc>
      </w:tr>
      <w:tr>
        <w:trPr>
          <w:trHeight w:val="432"/>
        </w:trPr>
        <w:tc>
          <w:tcPr>
            <w:tcW w:w="1080" w:type="dxa"/>
            <w:vAlign w:val="bottom"/>
          </w:tcPr>
          <w:p>
            <w:pPr>
              <w:spacing w:after="0"/>
              <w:rPr>
                <w:sz w:val="24"/>
                <w:szCs w:val="24"/>
                <w:color w:val="auto"/>
              </w:rPr>
            </w:pPr>
          </w:p>
        </w:tc>
        <w:tc>
          <w:tcPr>
            <w:tcW w:w="1220" w:type="dxa"/>
            <w:vAlign w:val="bottom"/>
          </w:tcPr>
          <w:p>
            <w:pPr>
              <w:ind w:left="540"/>
              <w:spacing w:after="0"/>
              <w:rPr>
                <w:sz w:val="20"/>
                <w:szCs w:val="20"/>
                <w:color w:val="auto"/>
              </w:rPr>
            </w:pPr>
            <w:r>
              <w:rPr>
                <w:rFonts w:ascii="Arial" w:cs="Arial" w:eastAsia="Arial" w:hAnsi="Arial"/>
                <w:sz w:val="18"/>
                <w:szCs w:val="18"/>
                <w:color w:val="auto"/>
              </w:rPr>
              <w:t>(e)</w:t>
            </w:r>
          </w:p>
        </w:tc>
        <w:tc>
          <w:tcPr>
            <w:tcW w:w="420" w:type="dxa"/>
            <w:vAlign w:val="bottom"/>
          </w:tcPr>
          <w:p>
            <w:pPr>
              <w:ind w:left="120"/>
              <w:spacing w:after="0"/>
              <w:rPr>
                <w:sz w:val="20"/>
                <w:szCs w:val="20"/>
                <w:color w:val="auto"/>
              </w:rPr>
            </w:pPr>
            <w:r>
              <w:rPr>
                <w:rFonts w:ascii="Arial" w:cs="Arial" w:eastAsia="Arial" w:hAnsi="Arial"/>
                <w:sz w:val="18"/>
                <w:szCs w:val="18"/>
                <w:color w:val="auto"/>
              </w:rPr>
              <w:t>o</w:t>
            </w:r>
          </w:p>
        </w:tc>
        <w:tc>
          <w:tcPr>
            <w:tcW w:w="8700" w:type="dxa"/>
            <w:vAlign w:val="bottom"/>
          </w:tcPr>
          <w:p>
            <w:pPr>
              <w:ind w:left="20"/>
              <w:spacing w:after="0"/>
              <w:rPr>
                <w:sz w:val="20"/>
                <w:szCs w:val="20"/>
                <w:color w:val="auto"/>
              </w:rPr>
            </w:pPr>
            <w:r>
              <w:rPr>
                <w:rFonts w:ascii="Arial" w:cs="Arial" w:eastAsia="Arial" w:hAnsi="Arial"/>
                <w:sz w:val="18"/>
                <w:szCs w:val="18"/>
                <w:color w:val="auto"/>
              </w:rPr>
              <w:t>Investment Adviser registered under Section 203 of the Investment Advisers Act of 1940,</w:t>
            </w:r>
          </w:p>
        </w:tc>
      </w:tr>
      <w:tr>
        <w:trPr>
          <w:trHeight w:val="432"/>
        </w:trPr>
        <w:tc>
          <w:tcPr>
            <w:tcW w:w="1080" w:type="dxa"/>
            <w:vAlign w:val="bottom"/>
          </w:tcPr>
          <w:p>
            <w:pPr>
              <w:spacing w:after="0"/>
              <w:rPr>
                <w:sz w:val="24"/>
                <w:szCs w:val="24"/>
                <w:color w:val="auto"/>
              </w:rPr>
            </w:pPr>
          </w:p>
        </w:tc>
        <w:tc>
          <w:tcPr>
            <w:tcW w:w="1220" w:type="dxa"/>
            <w:vAlign w:val="bottom"/>
          </w:tcPr>
          <w:p>
            <w:pPr>
              <w:ind w:left="540"/>
              <w:spacing w:after="0"/>
              <w:rPr>
                <w:sz w:val="20"/>
                <w:szCs w:val="20"/>
                <w:color w:val="auto"/>
              </w:rPr>
            </w:pPr>
            <w:r>
              <w:rPr>
                <w:rFonts w:ascii="Arial" w:cs="Arial" w:eastAsia="Arial" w:hAnsi="Arial"/>
                <w:sz w:val="18"/>
                <w:szCs w:val="18"/>
                <w:color w:val="auto"/>
              </w:rPr>
              <w:t>(f)</w:t>
            </w:r>
          </w:p>
        </w:tc>
        <w:tc>
          <w:tcPr>
            <w:tcW w:w="420" w:type="dxa"/>
            <w:vAlign w:val="bottom"/>
          </w:tcPr>
          <w:p>
            <w:pPr>
              <w:ind w:left="120"/>
              <w:spacing w:after="0"/>
              <w:rPr>
                <w:sz w:val="20"/>
                <w:szCs w:val="20"/>
                <w:color w:val="auto"/>
              </w:rPr>
            </w:pPr>
            <w:r>
              <w:rPr>
                <w:rFonts w:ascii="Arial" w:cs="Arial" w:eastAsia="Arial" w:hAnsi="Arial"/>
                <w:sz w:val="18"/>
                <w:szCs w:val="18"/>
                <w:color w:val="auto"/>
              </w:rPr>
              <w:t>o</w:t>
            </w:r>
          </w:p>
        </w:tc>
        <w:tc>
          <w:tcPr>
            <w:tcW w:w="8700" w:type="dxa"/>
            <w:vAlign w:val="bottom"/>
          </w:tcPr>
          <w:p>
            <w:pPr>
              <w:ind w:left="20"/>
              <w:spacing w:after="0"/>
              <w:rPr>
                <w:sz w:val="20"/>
                <w:szCs w:val="20"/>
                <w:color w:val="auto"/>
              </w:rPr>
            </w:pPr>
            <w:r>
              <w:rPr>
                <w:rFonts w:ascii="Arial" w:cs="Arial" w:eastAsia="Arial" w:hAnsi="Arial"/>
                <w:sz w:val="18"/>
                <w:szCs w:val="18"/>
                <w:color w:val="auto"/>
              </w:rPr>
              <w:t>Employee Benefit Plan or Endowment Fund in accordance with Rule 13d-1(b)(1)(ii)(F),</w:t>
            </w:r>
          </w:p>
        </w:tc>
      </w:tr>
      <w:tr>
        <w:trPr>
          <w:trHeight w:val="277"/>
        </w:trPr>
        <w:tc>
          <w:tcPr>
            <w:tcW w:w="1080" w:type="dxa"/>
            <w:vAlign w:val="bottom"/>
            <w:tcBorders>
              <w:bottom w:val="single" w:sz="8" w:color="C0C0C0"/>
            </w:tcBorders>
          </w:tcPr>
          <w:p>
            <w:pPr>
              <w:spacing w:after="0"/>
              <w:rPr>
                <w:sz w:val="24"/>
                <w:szCs w:val="24"/>
                <w:color w:val="auto"/>
              </w:rPr>
            </w:pPr>
          </w:p>
        </w:tc>
        <w:tc>
          <w:tcPr>
            <w:tcW w:w="1220" w:type="dxa"/>
            <w:vAlign w:val="bottom"/>
            <w:tcBorders>
              <w:bottom w:val="single" w:sz="8" w:color="C0C0C0"/>
            </w:tcBorders>
          </w:tcPr>
          <w:p>
            <w:pPr>
              <w:spacing w:after="0"/>
              <w:rPr>
                <w:sz w:val="24"/>
                <w:szCs w:val="24"/>
                <w:color w:val="auto"/>
              </w:rPr>
            </w:pPr>
          </w:p>
        </w:tc>
        <w:tc>
          <w:tcPr>
            <w:tcW w:w="420" w:type="dxa"/>
            <w:vAlign w:val="bottom"/>
            <w:tcBorders>
              <w:bottom w:val="single" w:sz="8" w:color="C0C0C0"/>
            </w:tcBorders>
          </w:tcPr>
          <w:p>
            <w:pPr>
              <w:spacing w:after="0"/>
              <w:rPr>
                <w:sz w:val="24"/>
                <w:szCs w:val="24"/>
                <w:color w:val="auto"/>
              </w:rPr>
            </w:pPr>
          </w:p>
        </w:tc>
        <w:tc>
          <w:tcPr>
            <w:tcW w:w="870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405" w:right="239" w:bottom="1440" w:gutter="0" w:footer="0" w:header="0"/>
        </w:sectPr>
      </w:pPr>
    </w:p>
    <w:bookmarkStart w:id="5" w:name="page6"/>
    <w:bookmarkEnd w:id="5"/>
    <w:p>
      <w:pPr>
        <w:ind w:left="2420" w:hanging="805"/>
        <w:spacing w:after="0"/>
        <w:tabs>
          <w:tab w:leader="none" w:pos="2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   Parent Holding Company or control person in accordance with Rule 13d-1(b)(1)(ii)(G),</w:t>
      </w:r>
    </w:p>
    <w:p>
      <w:pPr>
        <w:spacing w:after="0" w:line="225" w:lineRule="exact"/>
        <w:rPr>
          <w:rFonts w:ascii="Arial" w:cs="Arial" w:eastAsia="Arial" w:hAnsi="Arial"/>
          <w:sz w:val="18"/>
          <w:szCs w:val="18"/>
          <w:color w:val="auto"/>
        </w:rPr>
      </w:pPr>
    </w:p>
    <w:p>
      <w:pPr>
        <w:ind w:left="2420" w:hanging="805"/>
        <w:spacing w:after="0"/>
        <w:tabs>
          <w:tab w:leader="none" w:pos="2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   Savings Association as defined in Section 3(b) of the Federal Deposit Insurance Act,</w:t>
      </w:r>
    </w:p>
    <w:p>
      <w:pPr>
        <w:spacing w:after="0" w:line="225" w:lineRule="exact"/>
        <w:rPr>
          <w:rFonts w:ascii="Arial" w:cs="Arial" w:eastAsia="Arial" w:hAnsi="Arial"/>
          <w:sz w:val="18"/>
          <w:szCs w:val="18"/>
          <w:color w:val="auto"/>
        </w:rPr>
      </w:pPr>
    </w:p>
    <w:p>
      <w:pPr>
        <w:ind w:left="2420"/>
        <w:spacing w:after="0"/>
        <w:rPr>
          <w:rFonts w:ascii="Arial" w:cs="Arial" w:eastAsia="Arial" w:hAnsi="Arial"/>
          <w:sz w:val="18"/>
          <w:szCs w:val="18"/>
          <w:color w:val="auto"/>
        </w:rPr>
      </w:pPr>
      <w:r>
        <w:rPr>
          <w:rFonts w:ascii="Arial" w:cs="Arial" w:eastAsia="Arial" w:hAnsi="Arial"/>
          <w:sz w:val="17"/>
          <w:szCs w:val="17"/>
          <w:color w:val="auto"/>
        </w:rPr>
        <w:t>o   Church Plan that is excluded from the definition of an investment company under Section 3(c)(14) of the Investment</w:t>
      </w:r>
    </w:p>
    <w:p>
      <w:pPr>
        <w:spacing w:after="0" w:line="34" w:lineRule="exact"/>
        <w:rPr>
          <w:rFonts w:ascii="Arial" w:cs="Arial" w:eastAsia="Arial" w:hAnsi="Arial"/>
          <w:sz w:val="18"/>
          <w:szCs w:val="18"/>
          <w:color w:val="auto"/>
        </w:rPr>
      </w:pPr>
    </w:p>
    <w:p>
      <w:pPr>
        <w:ind w:left="2740" w:hanging="1125"/>
        <w:spacing w:after="0"/>
        <w:tabs>
          <w:tab w:leader="none" w:pos="2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Company Act of 1940,</w:t>
      </w:r>
    </w:p>
    <w:p>
      <w:pPr>
        <w:spacing w:after="0" w:line="210" w:lineRule="exact"/>
        <w:rPr>
          <w:rFonts w:ascii="Arial" w:cs="Arial" w:eastAsia="Arial" w:hAnsi="Arial"/>
          <w:sz w:val="18"/>
          <w:szCs w:val="18"/>
          <w:color w:val="auto"/>
        </w:rPr>
      </w:pPr>
    </w:p>
    <w:p>
      <w:pPr>
        <w:ind w:left="2420" w:hanging="805"/>
        <w:spacing w:after="0"/>
        <w:tabs>
          <w:tab w:leader="none" w:pos="2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   A non-U.S. institution in accordance with Rule 13d-1(b)(1)(ii)(J);</w:t>
      </w:r>
    </w:p>
    <w:p>
      <w:pPr>
        <w:spacing w:after="0" w:line="225" w:lineRule="exact"/>
        <w:rPr>
          <w:rFonts w:ascii="Arial" w:cs="Arial" w:eastAsia="Arial" w:hAnsi="Arial"/>
          <w:sz w:val="18"/>
          <w:szCs w:val="18"/>
          <w:color w:val="auto"/>
        </w:rPr>
      </w:pPr>
    </w:p>
    <w:p>
      <w:pPr>
        <w:ind w:left="2420" w:hanging="805"/>
        <w:spacing w:after="0"/>
        <w:tabs>
          <w:tab w:leader="none" w:pos="2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   Group, in accordance with Rule 13d-1(b)(1)(ii)(K).</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If filing as a non-U.S. institution in accordance with Rule 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6243955</wp:posOffset>
            </wp:positionH>
            <wp:positionV relativeFrom="paragraph">
              <wp:posOffset>-10160</wp:posOffset>
            </wp:positionV>
            <wp:extent cx="8286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8675" cy="8890"/>
                    </a:xfrm>
                    <a:prstGeom prst="rect">
                      <a:avLst/>
                    </a:prstGeom>
                    <a:noFill/>
                  </pic:spPr>
                </pic:pic>
              </a:graphicData>
            </a:graphic>
          </wp:anchor>
        </w:drawing>
      </w:r>
    </w:p>
    <w:p>
      <w:pPr>
        <w:spacing w:after="0" w:line="201" w:lineRule="exact"/>
        <w:rPr>
          <w:sz w:val="20"/>
          <w:szCs w:val="20"/>
          <w:color w:val="auto"/>
        </w:rPr>
      </w:pPr>
    </w:p>
    <w:p>
      <w:pPr>
        <w:ind w:left="100"/>
        <w:spacing w:after="0"/>
        <w:tabs>
          <w:tab w:leader="none" w:pos="16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OWNERSHIP</w:t>
      </w:r>
      <w:r>
        <w:rPr>
          <w:rFonts w:ascii="Arial" w:cs="Arial" w:eastAsia="Arial" w:hAnsi="Arial"/>
          <w:sz w:val="17"/>
          <w:szCs w:val="17"/>
          <w:color w:val="auto"/>
        </w:rPr>
        <w:t>.</w:t>
      </w:r>
    </w:p>
    <w:p>
      <w:pPr>
        <w:spacing w:after="0" w:line="229" w:lineRule="exact"/>
        <w:rPr>
          <w:sz w:val="20"/>
          <w:szCs w:val="20"/>
          <w:color w:val="auto"/>
        </w:rPr>
      </w:pPr>
    </w:p>
    <w:p>
      <w:pPr>
        <w:ind w:left="1620"/>
        <w:spacing w:after="0" w:line="273" w:lineRule="auto"/>
        <w:rPr>
          <w:sz w:val="20"/>
          <w:szCs w:val="20"/>
          <w:color w:val="auto"/>
        </w:rPr>
      </w:pPr>
      <w:r>
        <w:rPr>
          <w:rFonts w:ascii="Arial" w:cs="Arial" w:eastAsia="Arial" w:hAnsi="Arial"/>
          <w:sz w:val="17"/>
          <w:szCs w:val="17"/>
          <w:color w:val="auto"/>
        </w:rPr>
        <w:t>The information as of the date of the event which requires filing of this statement required by Items 4(a) – (c) is set forth in Rows 5 – 11 of the cover page for each Reporting Person hereto and is incorporated herein by reference for each such Reporting Person. The percentage set forth in Row 11 of the cover page for each Reporting Person is based on 27,638,815 shares of Common Stock issued and outstanding as of January 12, 2015, as represented in Exhibit 10.1 attached to the Company’s Current Report on Form 8-K filed with the Securities and Exchange Commission on January 12, 2015 and assumes the exercise of the reported warrants (the “Reported Warrants”) subject to the applicable Blockers (as defined below).</w:t>
      </w:r>
    </w:p>
    <w:p>
      <w:pPr>
        <w:spacing w:after="0" w:line="178" w:lineRule="exact"/>
        <w:rPr>
          <w:sz w:val="20"/>
          <w:szCs w:val="20"/>
          <w:color w:val="auto"/>
        </w:rPr>
      </w:pPr>
    </w:p>
    <w:p>
      <w:pPr>
        <w:ind w:left="1620"/>
        <w:spacing w:after="0" w:line="272" w:lineRule="auto"/>
        <w:rPr>
          <w:sz w:val="20"/>
          <w:szCs w:val="20"/>
          <w:color w:val="auto"/>
        </w:rPr>
      </w:pPr>
      <w:r>
        <w:rPr>
          <w:rFonts w:ascii="Arial" w:cs="Arial" w:eastAsia="Arial" w:hAnsi="Arial"/>
          <w:sz w:val="17"/>
          <w:szCs w:val="17"/>
          <w:color w:val="auto"/>
        </w:rPr>
        <w:t>Pursuant to the terms of the Reported Warrants, the Reporting Persons cannot exercise (i) any of the Reported Warrants that are Series A, Series D or Series E Warrants if the Reporting Persons would beneficially own, after any such exercise, more than 4.9% of the outstanding shares of Common Stock or (ii) any of the Reported Warrants that are Series B or Series C Warrants if the Reporting Persons would beneficially own, after any such exercise, more than 9.9% of the outstanding shares of Common Stock (the applicable “Blockers”), and the percentage set forth in Row 11 of the cover page for each Reporting Person gives effect to the applicable Blockers. Consequently, as of the date of the event which requires the filing of this statement, the Reporting Persons were not able to exercise all of the Reported Warrants due to the applicable Blockers.</w:t>
      </w:r>
    </w:p>
    <w:p>
      <w:pPr>
        <w:spacing w:after="0" w:line="178" w:lineRule="exact"/>
        <w:rPr>
          <w:sz w:val="20"/>
          <w:szCs w:val="20"/>
          <w:color w:val="auto"/>
        </w:rPr>
      </w:pPr>
    </w:p>
    <w:p>
      <w:pPr>
        <w:ind w:left="1620" w:right="20"/>
        <w:spacing w:after="0" w:line="270" w:lineRule="auto"/>
        <w:rPr>
          <w:sz w:val="20"/>
          <w:szCs w:val="20"/>
          <w:color w:val="auto"/>
        </w:rPr>
      </w:pPr>
      <w:r>
        <w:rPr>
          <w:rFonts w:ascii="Arial" w:cs="Arial" w:eastAsia="Arial" w:hAnsi="Arial"/>
          <w:sz w:val="17"/>
          <w:szCs w:val="17"/>
          <w:color w:val="auto"/>
        </w:rPr>
        <w:t>Mr. Abbe and Mr. Silverman are the members of Iroquois who have the authority and responsibility for the investments made on behalf of the Fund. As such, Mr. Abbe and Mr. Silverman may be deemed to be the beneficial owner of all shares of Common Stock held by, and underlying the Reported Warrants (subject to the applicable Blockers) held by, the Fund. In addition, by virtue of his position as a custodian or trustee of certain Accounts (The Merav Abbe Irrevocable Trust, The Samantha Abbe Irrevocable Trust, The Talia Abbe Irrevocable Trust and The Bennett Abbe Irrevocable Trust), Mr. Abbe may be deemed to be the beneficial owner of the shares of Common Stock held by, and underlying the Reported Warrants (subject to the applicable Blockers) held by, such Accounts. The foregoing should not be construed in and of itself as an admission by any Reporting Person as to beneficial ownership of shares of Common Stock owned by another Reporting Person. Each of the Reporting Individuals hereby disclaims any beneficial ownership of any such shares of Common Stock.</w:t>
      </w:r>
    </w:p>
    <w:p>
      <w:pPr>
        <w:spacing w:after="0" w:line="182" w:lineRule="exact"/>
        <w:rPr>
          <w:sz w:val="20"/>
          <w:szCs w:val="20"/>
          <w:color w:val="auto"/>
        </w:rPr>
      </w:pPr>
    </w:p>
    <w:p>
      <w:pPr>
        <w:ind w:left="1620"/>
        <w:spacing w:after="0" w:line="255" w:lineRule="auto"/>
        <w:rPr>
          <w:sz w:val="20"/>
          <w:szCs w:val="20"/>
          <w:color w:val="auto"/>
        </w:rPr>
      </w:pPr>
      <w:r>
        <w:rPr>
          <w:rFonts w:ascii="Arial" w:cs="Arial" w:eastAsia="Arial" w:hAnsi="Arial"/>
          <w:sz w:val="18"/>
          <w:szCs w:val="18"/>
          <w:color w:val="auto"/>
        </w:rPr>
        <w:t>The Reporting Persons disclaim beneficial ownership of the following shares of Common Stock and Warrants held by the entity specified below, and the following information is included solely for informational purposes: 750,000 shares of Common Stock, 2,250,000 shares of Common Stock issuable upon exercise of Series A, D and E Warrants, and 1,500,000 shares of Common Stock issuable upon exercise of Series B and C Warrants, each subject to the applicable Blockers, held by American Capital Management LLC (“ACM”), a retirement vehicle for the benefit of Mr. Silverman, Mr. Abbe, and others, for which Kimberly Page serves as the manager of the investments held by ACM, and accordingly, has voting and dispositive power over the shares of Common Stock held by ACM.</w:t>
      </w:r>
    </w:p>
    <w:p>
      <w:pPr>
        <w:spacing w:after="0" w:line="18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2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2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6" w:name="page7"/>
    <w:bookmarkEnd w:id="6"/>
    <w:p>
      <w:pPr>
        <w:ind w:left="1620" w:hanging="1606"/>
        <w:spacing w:after="0" w:line="261" w:lineRule="auto"/>
        <w:tabs>
          <w:tab w:leader="none" w:pos="16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ind w:left="1620"/>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2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See Exhibit 1.</w:t>
      </w:r>
    </w:p>
    <w:p>
      <w:pPr>
        <w:spacing w:after="0" w:line="207"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NOTICE OF DISSOLUTION OF GROUP.</w:t>
      </w:r>
    </w:p>
    <w:p>
      <w:pPr>
        <w:spacing w:after="0" w:line="2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Each of the Reporting Persons hereby makes the following certification:</w:t>
      </w:r>
    </w:p>
    <w:p>
      <w:pPr>
        <w:spacing w:after="0" w:line="225" w:lineRule="exact"/>
        <w:rPr>
          <w:sz w:val="20"/>
          <w:szCs w:val="20"/>
          <w:color w:val="auto"/>
        </w:rPr>
      </w:pPr>
    </w:p>
    <w:p>
      <w:pPr>
        <w:jc w:val="both"/>
        <w:ind w:left="1620" w:right="100"/>
        <w:spacing w:after="0" w:line="312" w:lineRule="auto"/>
        <w:rPr>
          <w:sz w:val="20"/>
          <w:szCs w:val="20"/>
          <w:color w:val="auto"/>
        </w:rPr>
      </w:pPr>
      <w:r>
        <w:rPr>
          <w:rFonts w:ascii="Arial" w:cs="Arial" w:eastAsia="Arial" w:hAnsi="Arial"/>
          <w:sz w:val="16"/>
          <w:szCs w:val="16"/>
          <w:color w:val="auto"/>
        </w:rPr>
        <w:t>By signing below each Reporting Person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7" w:name="page8"/>
    <w:bookmarkEnd w:id="7"/>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13, 2015</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IROQUOIS CAPITAL MANAGEMENT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Joshua Silverman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Joshua Silverman,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6758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Joshua Silverman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Joshua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Richard Abbe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Abbe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8987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120"/>
          </w:cols>
          <w:pgMar w:left="240" w:top="405" w:right="539" w:bottom="1440" w:gutter="0" w:footer="0" w:header="0"/>
        </w:sectPr>
      </w:pPr>
    </w:p>
    <w:bookmarkStart w:id="8" w:name="page9"/>
    <w:bookmarkEnd w:id="8"/>
    <w:p>
      <w:pPr>
        <w:ind w:left="5060"/>
        <w:spacing w:after="0"/>
        <w:rPr>
          <w:sz w:val="20"/>
          <w:szCs w:val="20"/>
          <w:color w:val="auto"/>
        </w:rPr>
      </w:pPr>
      <w:r>
        <w:rPr>
          <w:rFonts w:ascii="Arial" w:cs="Arial" w:eastAsia="Arial" w:hAnsi="Arial"/>
          <w:sz w:val="18"/>
          <w:szCs w:val="18"/>
          <w:color w:val="auto"/>
        </w:rPr>
        <w:t>EXHIBIT INDEX</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6"/>
          <w:szCs w:val="16"/>
          <w:color w:val="auto"/>
        </w:rPr>
        <w:t>Joint Filing Agreement as required by Rule 13d-1(k)(1)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409" w:right="1440"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 PURSUANT TO RULE 13d-1(k)(1)</w:t>
      </w:r>
    </w:p>
    <w:p>
      <w:pPr>
        <w:spacing w:after="0" w:line="22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statements. The undersigned acknowledge that each shall be responsible for the timely filing of such amendments, and for the completeness and accuracy of the information concerning him, her or it contained herein, but shall not be responsible for the completeness and accuracy of the information concerning the other entities or persons, except to the extent that he, she or it knows or has reason to believe that such information is inaccurate.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 March 13, 2015</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IROQUOIS CAPITAL MANAGEMENT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Joshua Silverman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Joshua Silverman,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6758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Joshua Silverman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Joshua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898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Richard Abbe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Abbe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898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o"/>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Roman"/>
      <w:start w:val="2"/>
    </w:lvl>
  </w:abstractNum>
  <w:abstractNum w:abstractNumId="5">
    <w:nsid w:val="507ED7AB"/>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2020-01-22T21:43:51Z</dcterms:created>
  <dcterms:modified xsi:type="dcterms:W3CDTF">2020-01-22T21:43:51Z</dcterms:modified>
</cp:coreProperties>
</file>