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November 14,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80" w:type="dxa"/>
            <w:vAlign w:val="bottom"/>
          </w:tcPr>
          <w:p>
            <w:pPr>
              <w:spacing w:after="0"/>
              <w:rPr>
                <w:sz w:val="20"/>
                <w:szCs w:val="20"/>
                <w:color w:val="auto"/>
              </w:rPr>
            </w:pPr>
          </w:p>
        </w:tc>
        <w:tc>
          <w:tcPr>
            <w:tcW w:w="37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6"/>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580" w:type="dxa"/>
            <w:vAlign w:val="bottom"/>
            <w:gridSpan w:val="3"/>
          </w:tcPr>
          <w:p>
            <w:pPr>
              <w:spacing w:after="0"/>
              <w:rPr>
                <w:sz w:val="17"/>
                <w:szCs w:val="17"/>
                <w:color w:val="auto"/>
              </w:rPr>
            </w:pPr>
          </w:p>
        </w:tc>
        <w:tc>
          <w:tcPr>
            <w:tcW w:w="2900" w:type="dxa"/>
            <w:vAlign w:val="bottom"/>
            <w:gridSpan w:val="5"/>
          </w:tcPr>
          <w:p>
            <w:pPr>
              <w:jc w:val="right"/>
              <w:ind w:right="160"/>
              <w:spacing w:after="0" w:line="191" w:lineRule="exact"/>
              <w:rPr>
                <w:sz w:val="20"/>
                <w:szCs w:val="20"/>
                <w:color w:val="auto"/>
              </w:rPr>
            </w:pPr>
            <w:r>
              <w:rPr>
                <w:rFonts w:ascii="Times New Roman" w:cs="Times New Roman" w:eastAsia="Times New Roman" w:hAnsi="Times New Roman"/>
                <w:sz w:val="18"/>
                <w:szCs w:val="18"/>
                <w:b w:val="1"/>
                <w:bCs w:val="1"/>
                <w:color w:val="auto"/>
              </w:rPr>
              <w:t>77021</w:t>
            </w: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50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On November 14, 2024,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reported financial results for the quarter ended September 30, 2024 and other recent corporate updates. A copy of the press release is furnished as Exhibit 99.1 to this report and incorporated by reference.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39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November 14, 2024.</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r>
      <w:tr>
        <w:trPr>
          <w:trHeight w:val="189"/>
        </w:trPr>
        <w:tc>
          <w:tcPr>
            <w:tcW w:w="3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4851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851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Reports Third Quarter 2024 Financial Results and Provides Business Updates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Marker Therapeutics to receive two grants from NIH Small Business Innovation Research (SBIR) program to support clinical investigation of MT-601 in patients with lymphoma and metastatic pancreatic cancer</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TX — November 14,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MARKER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MRKR), a clinical-stage immuno-oncology company focusing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next-generation T cell-based immunotherapies for the treatment of hematological malignancies and solid tumors, today reported corporate updates and financial results for the third quarter ended September 30, 2024.</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approach the end of 2024, we continue to build momentum across our clinical and corporate programs,” said Juan Vera, M.D., President and Chief Executive Officer of Marker Therapeutics. “During the third quarter, we made significant progress in our ongoing Phase 1 APOLLO study investigating MT-601 in patients with lymphoma who have relapsed after anti-CD19 chimeric antigen receptor (CAR)-T cell therapy or where CAR-T cells are not an option. Enrollment is ongoing and we expect to be able to report preliminary safety and efficacy data by the end of this year. We, along with our study investigators, have been encouraged by the promising activity shown in this platform and look forward to continuing assessments from the trial.”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recently strengthened our financial position with the receipt of two, $2 million Small Business Innovation Research (SBIR) grants from the National Institutes of Health (NIH). The non-dilutive funding will be used to support further development of MT-601 in patients with non-Hodgkin’s lymphoma who have relapsed following anti-CD19 CAR-T cell therapy, as well as assist in funding the clinical investigation of MT-601 in pancreatic cancer. We continue to make meaningful progress and remain focused on execution as we move our programs through the clinical trials,” added Dr. Vera.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UPDATES &amp; EXPECTED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(Lymphoma)</w:t>
      </w:r>
    </w:p>
    <w:p>
      <w:pPr>
        <w:spacing w:after="0" w:line="22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Marker’s lead program is investigating MT-601 in the nationwide multicenter Phase 1 APOLLO study (</w:t>
      </w:r>
      <w:r>
        <w:rPr>
          <w:rFonts w:ascii="Times New Roman" w:cs="Times New Roman" w:eastAsia="Times New Roman" w:hAnsi="Times New Roman"/>
          <w:sz w:val="18"/>
          <w:szCs w:val="18"/>
          <w:u w:val="single" w:color="auto"/>
          <w:color w:val="auto"/>
        </w:rPr>
        <w:t>CLINICALTRIALS.GOV</w:t>
      </w:r>
      <w:r>
        <w:rPr>
          <w:rFonts w:ascii="Times New Roman" w:cs="Times New Roman" w:eastAsia="Times New Roman" w:hAnsi="Times New Roman"/>
          <w:sz w:val="18"/>
          <w:szCs w:val="18"/>
          <w:color w:val="auto"/>
        </w:rPr>
        <w:t xml:space="preserve"> identifier: NCT05798897) in patients with lymphoma who have relapsed after anti-CD19 CAR-T cell therapy or where CAR-T cells are not an option.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reported that one of the Principal Investigators presented preliminary safety and efficacy with sustained objective responses observed in three study participants treated at City of Hope National Medical Center (</w:t>
      </w:r>
      <w:r>
        <w:rPr>
          <w:rFonts w:ascii="Times New Roman" w:cs="Times New Roman" w:eastAsia="Times New Roman" w:hAnsi="Times New Roman"/>
          <w:sz w:val="18"/>
          <w:szCs w:val="18"/>
          <w:u w:val="single" w:color="auto"/>
          <w:color w:val="auto"/>
        </w:rPr>
        <w:t>PRESS RELEASE, APRIL 8, 2024</w:t>
      </w:r>
      <w:r>
        <w:rPr>
          <w:rFonts w:ascii="Times New Roman" w:cs="Times New Roman" w:eastAsia="Times New Roman" w:hAnsi="Times New Roman"/>
          <w:sz w:val="18"/>
          <w:szCs w:val="18"/>
          <w:color w:val="auto"/>
        </w:rPr>
        <w:t>). Treatment was well tolerated among all study participants with no observation of severe adverse effects such as immune effector cell associated neurotoxicity syndrome (ICANS).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study participants continue to be observed for long-term treatment effects and durability of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48510" cy="643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48510" cy="643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enrolling additional study participants in the Phase 1 APOLLO trial and expects to provide an update on safety and durability during the fourth quarter of 2024.</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Marker Therapeutics was awarded a $2 million grant from NIH Small Business Innovation Research Program (SBIR) to support the clinical investigation of MT-601 in patients with lymphoma who have relapsed following anti-CD19 CAR-T cell therapy </w:t>
      </w:r>
      <w:r>
        <w:rPr>
          <w:rFonts w:ascii="Times New Roman" w:cs="Times New Roman" w:eastAsia="Times New Roman" w:hAnsi="Times New Roman"/>
          <w:sz w:val="18"/>
          <w:szCs w:val="18"/>
          <w:u w:val="single" w:color="auto"/>
          <w:color w:val="auto"/>
        </w:rPr>
        <w:t>(PRESS RELEASE, AUGUST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12, 2024</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(Pancreatic)</w:t>
      </w:r>
    </w:p>
    <w:p>
      <w:pPr>
        <w:spacing w:after="0" w:line="22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awarded a $2 million grant from NIH Small Business Innovation Research (SBIR) Program to support the clinical investigation of MT-601 in patients with metastatic pancreatic cancer.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start the clinical program of MT-601 in patients with metastatic pancreatic cancer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MT-401-OTS (Acute Myeloid Leukemia or Myelodysplastic Syndrome)</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secured non-dilutive funding to support the clinical investigation of MT-401-OTS in patients with Acute Myeloid Leukemia (AML) or Myelodysplastic Syndrome (MDS) and anticipates clinical program initiation during the first half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HIGHLIGHTS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Cash Position and Guidance</w:t>
      </w:r>
      <w:r>
        <w:rPr>
          <w:rFonts w:ascii="Times New Roman" w:cs="Times New Roman" w:eastAsia="Times New Roman" w:hAnsi="Times New Roman"/>
          <w:sz w:val="18"/>
          <w:szCs w:val="18"/>
          <w:color w:val="auto"/>
        </w:rPr>
        <w:t>: At September 30, 2024, Marker had cash and cash equivalents of $9 million. The Company believes that its existing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equivalents will fund its operating expenses into October 2025. This estimate is subject to the Company’s ability to effectively manage its costs and utilize drawdowns of available grant funds.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R&amp;D Expenses</w:t>
      </w:r>
      <w:r>
        <w:rPr>
          <w:rFonts w:ascii="Times New Roman" w:cs="Times New Roman" w:eastAsia="Times New Roman" w:hAnsi="Times New Roman"/>
          <w:sz w:val="18"/>
          <w:szCs w:val="18"/>
          <w:color w:val="auto"/>
        </w:rPr>
        <w:t>: Research and development expenses were $3.5 million for the quarter ended September 30, 2024, compared to $2.0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September 30, 2023 as a result of our increased clinical trial activity in the quarter.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G&amp;A Expenses</w:t>
      </w:r>
      <w:r>
        <w:rPr>
          <w:rFonts w:ascii="Times New Roman" w:cs="Times New Roman" w:eastAsia="Times New Roman" w:hAnsi="Times New Roman"/>
          <w:sz w:val="18"/>
          <w:szCs w:val="18"/>
          <w:color w:val="auto"/>
        </w:rPr>
        <w:t>: General and administrative expenses were $0.9 million for the quarter ended September 30, 2024, compared to $1.4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September 30, 2023 reflecting the savings from the reorganization that was completed in late 2023.</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Marker reported a net loss from continuing operations of $2.3 million for the quarter ended September 30, 2024, compared to $3.0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quarter ended September 30,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multiTAA-specific 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multi-tumor associated antigen (multiTAA)-specific T cell platform is a novel, non-genetically modified cell therapy approach that selectively expands tumor-specific T cells from a patient's/donor’s blood capable of recognizing a broad range of tumor antigens. Unlike other T cell therapies, multiTAA-specific T cells allow the recognition of hundreds of different epitopes within up to six tumor-specific antigens, thereby reducing the possibility of tumor escape. Since multiTAA-specific 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4851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48510" cy="643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Clinical trials that enrolled more than 200 patients across various hematological and solid tumor indications showed that the Company’s autologous and allogeneic multiTAA-specific 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and success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its forward-looking statements whether as a result of new information, future events or otherwise, after the date of this press release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48510"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4851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Prepaid expenses and deposits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4360" w:type="dxa"/>
        <w:tblCellMar>
          <w:top w:w="0" w:type="dxa"/>
          <w:left w:w="0" w:type="dxa"/>
          <w:bottom w:w="0" w:type="dxa"/>
          <w:right w:w="0" w:type="dxa"/>
        </w:tblCellMar>
      </w:tblPr>
      <w:tr>
        <w:trPr>
          <w:trHeight w:val="229"/>
        </w:trPr>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623"/>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8,999,664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15,111,450</w:t>
            </w:r>
          </w:p>
        </w:tc>
        <w:tc>
          <w:tcPr>
            <w:tcW w:w="20" w:type="dxa"/>
            <w:vAlign w:val="bottom"/>
          </w:tcPr>
          <w:p>
            <w:pPr>
              <w:spacing w:after="0"/>
              <w:rPr>
                <w:sz w:val="24"/>
                <w:szCs w:val="24"/>
                <w:color w:val="auto"/>
              </w:rPr>
            </w:pPr>
          </w:p>
        </w:tc>
      </w:tr>
      <w:tr>
        <w:trPr>
          <w:trHeight w:val="229"/>
        </w:trPr>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1,166,274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988,126</w:t>
            </w:r>
          </w:p>
        </w:tc>
        <w:tc>
          <w:tcPr>
            <w:tcW w:w="2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744,410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1,027,815</w:t>
            </w:r>
          </w:p>
        </w:tc>
        <w:tc>
          <w:tcPr>
            <w:tcW w:w="20" w:type="dxa"/>
            <w:vAlign w:val="bottom"/>
          </w:tcPr>
          <w:p>
            <w:pPr>
              <w:spacing w:after="0"/>
              <w:rPr>
                <w:sz w:val="20"/>
                <w:szCs w:val="20"/>
                <w:color w:val="auto"/>
              </w:rPr>
            </w:pPr>
          </w:p>
        </w:tc>
      </w:tr>
      <w:tr>
        <w:trPr>
          <w:trHeight w:val="214"/>
        </w:trPr>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10,910,348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17,127,391</w:t>
            </w:r>
          </w:p>
        </w:tc>
        <w:tc>
          <w:tcPr>
            <w:tcW w:w="20" w:type="dxa"/>
            <w:vAlign w:val="bottom"/>
          </w:tcPr>
          <w:p>
            <w:pPr>
              <w:spacing w:after="0"/>
              <w:rPr>
                <w:sz w:val="18"/>
                <w:szCs w:val="18"/>
                <w:color w:val="auto"/>
              </w:rPr>
            </w:pPr>
          </w:p>
        </w:tc>
      </w:tr>
      <w:tr>
        <w:trPr>
          <w:trHeight w:val="23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10,910,348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17,127,391</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-1028065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-744855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-471170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-179070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7160"/>
          </w:cols>
          <w:pgMar w:left="320" w:top="144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2,557,335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1,745,193</w:t>
            </w:r>
          </w:p>
        </w:tc>
        <w:tc>
          <w:tcPr>
            <w:tcW w:w="80" w:type="dxa"/>
            <w:vAlign w:val="bottom"/>
            <w:shd w:val="clear" w:color="auto" w:fill="CCEEFF"/>
          </w:tcPr>
          <w:p>
            <w:pPr>
              <w:spacing w:after="0"/>
              <w:rPr>
                <w:sz w:val="18"/>
                <w:szCs w:val="18"/>
                <w:color w:val="auto"/>
              </w:rPr>
            </w:pPr>
          </w:p>
        </w:tc>
      </w:tr>
      <w:tr>
        <w:trPr>
          <w:trHeight w:val="229"/>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903,438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1,329,655</w:t>
            </w:r>
          </w:p>
        </w:tc>
        <w:tc>
          <w:tcPr>
            <w:tcW w:w="80" w:type="dxa"/>
            <w:vAlign w:val="bottom"/>
          </w:tcPr>
          <w:p>
            <w:pPr>
              <w:spacing w:after="0"/>
              <w:rPr>
                <w:sz w:val="19"/>
                <w:szCs w:val="19"/>
                <w:color w:val="auto"/>
              </w:rPr>
            </w:pPr>
          </w:p>
        </w:tc>
      </w:tr>
      <w:tr>
        <w:trPr>
          <w:trHeight w:val="210"/>
        </w:trPr>
        <w:tc>
          <w:tcPr>
            <w:tcW w:w="83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3,460,773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3,460,773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3,074,848</w:t>
            </w:r>
          </w:p>
        </w:tc>
        <w:tc>
          <w:tcPr>
            <w:tcW w:w="80" w:type="dxa"/>
            <w:vAlign w:val="bottom"/>
          </w:tcPr>
          <w:p>
            <w:pPr>
              <w:spacing w:after="0"/>
              <w:rPr>
                <w:sz w:val="19"/>
                <w:szCs w:val="19"/>
                <w:color w:val="auto"/>
              </w:rPr>
            </w:pPr>
          </w:p>
        </w:tc>
      </w:tr>
      <w:tr>
        <w:trPr>
          <w:trHeight w:val="210"/>
        </w:trPr>
        <w:tc>
          <w:tcPr>
            <w:tcW w:w="8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3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 million shares authorized, 0 shares issued and outstanding at September 30,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shares authorized, 8.9 million shares issued and outstanding as of</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30, 2024 and December 31, 2023 (see Note 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8,891</w:t>
            </w:r>
          </w:p>
        </w:tc>
        <w:tc>
          <w:tcPr>
            <w:tcW w:w="80" w:type="dxa"/>
            <w:vAlign w:val="bottom"/>
          </w:tcPr>
          <w:p>
            <w:pPr>
              <w:spacing w:after="0"/>
              <w:rPr>
                <w:sz w:val="20"/>
                <w:szCs w:val="20"/>
                <w:color w:val="auto"/>
              </w:rPr>
            </w:pPr>
          </w:p>
        </w:tc>
      </w:tr>
      <w:tr>
        <w:trPr>
          <w:trHeight w:val="216"/>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450,620,206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450,329,515</w:t>
            </w:r>
          </w:p>
        </w:tc>
        <w:tc>
          <w:tcPr>
            <w:tcW w:w="80" w:type="dxa"/>
            <w:vAlign w:val="bottom"/>
            <w:shd w:val="clear" w:color="auto" w:fill="CCEEFF"/>
          </w:tcPr>
          <w:p>
            <w:pPr>
              <w:spacing w:after="0"/>
              <w:rPr>
                <w:sz w:val="18"/>
                <w:szCs w:val="18"/>
                <w:color w:val="auto"/>
              </w:rPr>
            </w:pPr>
          </w:p>
        </w:tc>
      </w:tr>
      <w:tr>
        <w:trPr>
          <w:trHeight w:val="230"/>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(443,179,554)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(436,285,863)</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7,449,575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14,052,543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10,910,348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17,127,391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8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48510" cy="643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48510" cy="643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gridSpan w:val="6"/>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9"/>
                <w:szCs w:val="19"/>
                <w:color w:val="auto"/>
              </w:rPr>
            </w:pPr>
          </w:p>
        </w:tc>
        <w:tc>
          <w:tcPr>
            <w:tcW w:w="260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income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1,926,020</w:t>
            </w:r>
          </w:p>
        </w:tc>
        <w:tc>
          <w:tcPr>
            <w:tcW w:w="52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257,606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4,339,317</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2,254,601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257,606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4,339,317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2,254,601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3,471,216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2,044,980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8,381,661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7,799,472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854,677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1,412,672</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3,214,611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6,098,716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4,325,893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3,457,652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11,596,272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13,898,188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(2,399,873)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(3,200,046)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(7,256,955)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(11,643,587)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91,681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218,085</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363,264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337,819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(2,308,192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(2,981,961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(6,893,691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(11,305,768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(2,922,406)</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disposal of discontinued operations before income taxes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8,794,426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5,872,020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(2,308,192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(2,981,961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(6,893,691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(5,433,748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earnings per share: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 basic and diluted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(0.26)</w:t>
            </w:r>
          </w:p>
        </w:tc>
        <w:tc>
          <w:tcPr>
            <w:tcW w:w="5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(0.77)</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Income from discontinued operations, basic</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Income from discontinued operations, diluted</w:t>
            </w: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Net loss per share</w:t>
            </w:r>
          </w:p>
        </w:tc>
        <w:tc>
          <w:tcPr>
            <w:tcW w:w="3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8,923,170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8,825,881</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8,914,487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8,782,340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8,923,170</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8,825,881</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8,914,487</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8,834,512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48510" cy="643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48510" cy="643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6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67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(6,893,691)</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(5,433,748)</w:t>
            </w:r>
          </w:p>
        </w:tc>
      </w:tr>
      <w:tr>
        <w:trPr>
          <w:trHeight w:val="229"/>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gain from discontinued operations, net of tax</w:t>
            </w:r>
          </w:p>
        </w:tc>
        <w:tc>
          <w:tcPr>
            <w:tcW w:w="1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5,872,020</w:t>
            </w:r>
          </w:p>
        </w:tc>
      </w:tr>
      <w:tr>
        <w:trPr>
          <w:trHeight w:val="209"/>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(6,893,691)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(11,305,768)</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195,320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714,899</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(178,148)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(80,116)</w:t>
            </w:r>
          </w:p>
        </w:tc>
      </w:tr>
      <w:tr>
        <w:trPr>
          <w:trHeight w:val="21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283,405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2,318,691</w:t>
            </w:r>
          </w:p>
        </w:tc>
      </w:tr>
      <w:tr>
        <w:trPr>
          <w:trHeight w:val="216"/>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party payable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(426,217)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367,915</w:t>
            </w:r>
          </w:p>
        </w:tc>
      </w:tr>
      <w:tr>
        <w:trPr>
          <w:trHeight w:val="21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812,142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(159,567)</w:t>
            </w:r>
          </w:p>
        </w:tc>
      </w:tr>
      <w:tr>
        <w:trPr>
          <w:trHeight w:val="229"/>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107,530</w:t>
            </w:r>
          </w:p>
        </w:tc>
      </w:tr>
      <w:tr>
        <w:trPr>
          <w:trHeight w:val="209"/>
        </w:trPr>
        <w:tc>
          <w:tcPr>
            <w:tcW w:w="67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 - continuing operations</w:t>
            </w:r>
          </w:p>
        </w:tc>
        <w:tc>
          <w:tcPr>
            <w:tcW w:w="1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(6,207,189)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(8,036,416)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 - discontinued operations</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(6,035,961)</w:t>
            </w:r>
          </w:p>
        </w:tc>
      </w:tr>
      <w:tr>
        <w:trPr>
          <w:trHeight w:val="210"/>
        </w:trPr>
        <w:tc>
          <w:tcPr>
            <w:tcW w:w="67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(6,207,189)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(14,072,377)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investing activities - discontinued operations</w:t>
            </w:r>
          </w:p>
        </w:tc>
        <w:tc>
          <w:tcPr>
            <w:tcW w:w="1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18,664,122</w:t>
            </w:r>
          </w:p>
        </w:tc>
      </w:tr>
      <w:tr>
        <w:trPr>
          <w:trHeight w:val="210"/>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7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18,664,122</w:t>
            </w:r>
          </w:p>
        </w:tc>
        <w:tc>
          <w:tcPr>
            <w:tcW w:w="10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1,014,640</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stock options exercise</w:t>
            </w:r>
          </w:p>
        </w:tc>
        <w:tc>
          <w:tcPr>
            <w:tcW w:w="1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58,501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85,342</w:t>
            </w:r>
          </w:p>
        </w:tc>
      </w:tr>
      <w:tr>
        <w:trPr>
          <w:trHeight w:val="210"/>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7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95,403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1,099,982</w:t>
            </w:r>
          </w:p>
        </w:tc>
        <w:tc>
          <w:tcPr>
            <w:tcW w:w="10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5,691,727</w:t>
            </w:r>
          </w:p>
        </w:tc>
        <w:tc>
          <w:tcPr>
            <w:tcW w:w="100" w:type="dxa"/>
            <w:vAlign w:val="bottom"/>
            <w:shd w:val="clear" w:color="auto" w:fill="CCEEFF"/>
          </w:tcPr>
          <w:p>
            <w:pPr>
              <w:spacing w:after="0"/>
              <w:rPr>
                <w:sz w:val="18"/>
                <w:szCs w:val="18"/>
                <w:color w:val="auto"/>
              </w:rPr>
            </w:pP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15,111,450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11,782,172</w:t>
            </w:r>
          </w:p>
        </w:tc>
      </w:tr>
      <w:tr>
        <w:trPr>
          <w:trHeight w:val="223"/>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8,999,664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17,473,899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205-566-3026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jnugent@tiberend.com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2024-11-14T16:17:08Z</dcterms:created>
  <dcterms:modified xsi:type="dcterms:W3CDTF">2024-11-14T16:17:08Z</dcterms:modified>
</cp:coreProperties>
</file>