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31,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001-37939</w:t>
            </w:r>
          </w:p>
        </w:tc>
        <w:tc>
          <w:tcPr>
            <w:tcW w:w="178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45-4497941</w:t>
            </w:r>
          </w:p>
        </w:tc>
        <w:tc>
          <w:tcPr>
            <w:tcW w:w="8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20" w:type="dxa"/>
            <w:vAlign w:val="bottom"/>
            <w:gridSpan w:val="5"/>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gridSpan w:val="3"/>
          </w:tcPr>
          <w:p>
            <w:pPr>
              <w:jc w:val="right"/>
              <w:spacing w:after="0" w:line="188" w:lineRule="exact"/>
              <w:rPr>
                <w:sz w:val="20"/>
                <w:szCs w:val="20"/>
                <w:color w:val="auto"/>
              </w:rPr>
            </w:pPr>
            <w:r>
              <w:rPr>
                <w:rFonts w:ascii="Arial" w:cs="Arial" w:eastAsia="Arial" w:hAnsi="Arial"/>
                <w:sz w:val="18"/>
                <w:szCs w:val="18"/>
                <w:b w:val="1"/>
                <w:bCs w:val="1"/>
                <w:color w:val="auto"/>
              </w:rPr>
              <w:t>77032</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gridSpan w:val="4"/>
          </w:tcPr>
          <w:p>
            <w:pPr>
              <w:jc w:val="center"/>
              <w:ind w:right="82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80" w:type="dxa"/>
            <w:vAlign w:val="bottom"/>
            <w:gridSpan w:val="3"/>
          </w:tcPr>
          <w:p>
            <w:pPr>
              <w:jc w:val="right"/>
              <w:ind w:right="1620"/>
              <w:spacing w:after="0"/>
              <w:rPr>
                <w:sz w:val="20"/>
                <w:szCs w:val="20"/>
                <w:color w:val="auto"/>
              </w:rPr>
            </w:pPr>
            <w:r>
              <w:rPr>
                <w:rFonts w:ascii="Arial" w:cs="Arial" w:eastAsia="Arial" w:hAnsi="Arial"/>
                <w:sz w:val="18"/>
                <w:szCs w:val="18"/>
                <w:b w:val="1"/>
                <w:bCs w:val="1"/>
                <w:color w:val="auto"/>
              </w:rPr>
              <w:t>(713) 400-6400</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2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20" w:type="dxa"/>
            <w:vAlign w:val="bottom"/>
          </w:tcPr>
          <w:p>
            <w:pPr>
              <w:jc w:val="center"/>
              <w:ind w:right="290"/>
              <w:spacing w:after="0"/>
              <w:rPr>
                <w:sz w:val="20"/>
                <w:szCs w:val="20"/>
                <w:color w:val="auto"/>
              </w:rPr>
            </w:pPr>
            <w:r>
              <w:rPr>
                <w:rFonts w:ascii="Arial" w:cs="Arial" w:eastAsia="Arial" w:hAnsi="Arial"/>
                <w:sz w:val="18"/>
                <w:szCs w:val="18"/>
                <w:color w:val="auto"/>
                <w:w w:val="91"/>
              </w:rPr>
              <w:t>Trading</w:t>
            </w:r>
          </w:p>
        </w:tc>
        <w:tc>
          <w:tcPr>
            <w:tcW w:w="432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3"/>
              </w:rPr>
              <w:t>Symbol(s)</w:t>
            </w:r>
          </w:p>
        </w:tc>
        <w:tc>
          <w:tcPr>
            <w:tcW w:w="43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1010"/>
              <w:spacing w:after="0"/>
              <w:rPr>
                <w:sz w:val="20"/>
                <w:szCs w:val="20"/>
                <w:color w:val="auto"/>
              </w:rPr>
            </w:pPr>
            <w:r>
              <w:rPr>
                <w:rFonts w:ascii="Arial" w:cs="Arial" w:eastAsia="Arial" w:hAnsi="Arial"/>
                <w:sz w:val="18"/>
                <w:szCs w:val="18"/>
                <w:color w:val="auto"/>
                <w:w w:val="89"/>
              </w:rPr>
              <w:t>Common Stock, par value $0.001 per share</w:t>
            </w:r>
          </w:p>
        </w:tc>
        <w:tc>
          <w:tcPr>
            <w:tcW w:w="2220" w:type="dxa"/>
            <w:vAlign w:val="bottom"/>
          </w:tcPr>
          <w:p>
            <w:pPr>
              <w:jc w:val="center"/>
              <w:ind w:right="290"/>
              <w:spacing w:after="0"/>
              <w:rPr>
                <w:sz w:val="20"/>
                <w:szCs w:val="20"/>
                <w:color w:val="auto"/>
              </w:rPr>
            </w:pPr>
            <w:r>
              <w:rPr>
                <w:rFonts w:ascii="Arial" w:cs="Arial" w:eastAsia="Arial" w:hAnsi="Arial"/>
                <w:sz w:val="18"/>
                <w:szCs w:val="18"/>
                <w:color w:val="auto"/>
                <w:w w:val="98"/>
              </w:rPr>
              <w:t>MRKR</w:t>
            </w:r>
          </w:p>
        </w:tc>
        <w:tc>
          <w:tcPr>
            <w:tcW w:w="4320" w:type="dxa"/>
            <w:vAlign w:val="bottom"/>
          </w:tcPr>
          <w:p>
            <w:pPr>
              <w:jc w:val="center"/>
              <w:ind w:left="63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31, 2023,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reporting pre-clinical data from the Company’s multiple tumor-associated antigens (multiTAA)-specific T cell product candidate MT-601 in lymphoma cells, including CD19 CAR T refractory cells. A copy of the press release is furnished herewith as Exhibit 99.1 to this Current Report on Form 8-K.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7.01 of this Current Report on Form 8-K (including Exhibit 99.1) is being furnished and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440" w:type="dxa"/>
            <w:vAlign w:val="bottom"/>
          </w:tcPr>
          <w:p>
            <w:pPr>
              <w:spacing w:after="0"/>
              <w:rPr>
                <w:sz w:val="20"/>
                <w:szCs w:val="20"/>
                <w:color w:val="auto"/>
              </w:rPr>
            </w:pPr>
          </w:p>
        </w:tc>
      </w:tr>
      <w:tr>
        <w:trPr>
          <w:trHeight w:val="43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820" w:type="dxa"/>
            <w:vAlign w:val="bottom"/>
          </w:tcPr>
          <w:p>
            <w:pPr>
              <w:spacing w:after="0"/>
              <w:rPr>
                <w:sz w:val="16"/>
                <w:szCs w:val="16"/>
                <w:color w:val="auto"/>
              </w:rPr>
            </w:pPr>
          </w:p>
        </w:tc>
        <w:tc>
          <w:tcPr>
            <w:tcW w:w="10100" w:type="dxa"/>
            <w:vAlign w:val="bottom"/>
            <w:gridSpan w:val="3"/>
          </w:tcPr>
          <w:p>
            <w:pPr>
              <w:ind w:left="220"/>
              <w:spacing w:after="0" w:line="190" w:lineRule="exact"/>
              <w:rPr>
                <w:sz w:val="20"/>
                <w:szCs w:val="20"/>
                <w:color w:val="auto"/>
              </w:rPr>
            </w:pPr>
            <w:r>
              <w:rPr>
                <w:rFonts w:ascii="Arial" w:cs="Arial" w:eastAsia="Arial" w:hAnsi="Arial"/>
                <w:sz w:val="18"/>
                <w:szCs w:val="18"/>
                <w:color w:val="0000FF"/>
              </w:rPr>
              <w:t>Press release, dated May 31, 2023</w:t>
            </w:r>
          </w:p>
        </w:tc>
      </w:tr>
      <w:tr>
        <w:trPr>
          <w:trHeight w:val="20"/>
        </w:trPr>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May 31,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Juan Vera</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Vera</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02311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Pre-Clinical Data of its MT-601 MultiTAA-Specific T Cell Product Candidate in Lymphoma Cells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MT-601 showed anti-tumor activity against CD19 CAR T refractory lymphoma cells in vitro</w:t>
      </w: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Houston, TX — May 31, 2023 </w:t>
      </w:r>
      <w:r>
        <w:rPr>
          <w:rFonts w:ascii="Arial" w:cs="Arial" w:eastAsia="Arial" w:hAnsi="Arial"/>
          <w:sz w:val="18"/>
          <w:szCs w:val="18"/>
          <w:color w:val="212121"/>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212121"/>
        </w:rPr>
        <w:t xml:space="preserve">(Nasdaq: MRKR), a clinical-stage immuno-oncology company focusing on developing next-generation T cell-based immunotherapies for the treatment of hematological malignancies and solid tumor indications, today announced pre-clinical data from the Company’s </w:t>
      </w:r>
      <w:r>
        <w:rPr>
          <w:rFonts w:ascii="Arial" w:cs="Arial" w:eastAsia="Arial" w:hAnsi="Arial"/>
          <w:sz w:val="18"/>
          <w:szCs w:val="18"/>
          <w:color w:val="000000"/>
        </w:rPr>
        <w:t>multiple tumor-associated antigens (multiTAA)</w:t>
      </w:r>
      <w:r>
        <w:rPr>
          <w:rFonts w:ascii="Arial" w:cs="Arial" w:eastAsia="Arial" w:hAnsi="Arial"/>
          <w:sz w:val="18"/>
          <w:szCs w:val="18"/>
          <w:color w:val="212121"/>
        </w:rPr>
        <w:t>-specific T cell product candidate MT-601 in lymphoma cells, including CD19 CAR T refractory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CAR T cell therapies targeting the CD19 antigen have gained acceptance as treatment for patients with relapsed/refractory lymphoma because of their significant benefit relative to the standard of care, up to 60% of patients treated with CAR T therapies relapse within a year (Chong EA et al, N Engl J Med, 2021).</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MultiTAA-specific T cell therapy was investigated in the Baylor TACTAL study, which enrolled patients with both Hodgkin’s and non-Hodgkin’s lymphoma (Vasileiou et al, J Clin Oncol, 2021). The multiTAA-specific T cell product used in the TACTAL study was directed against five antigens and showed more durable clinical responses. For example, some patients who attained a complete remission (CR) with the multiTAA-specific T cell treatment were still in remission at the 72 months follow-up, suggesting a longer-lasting clinical benefit relative to published results for CD19 CAR T therapies.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high probability of antigen-loss associated relapse seen with CD19 CAR T therapy, Marker believes that its multiTAA-specific T cell product may result in durable responses due to its ability to overcome antigen loss by targeting more than one antigen. Data from the TACTAL study has demonstrated that multiTAA-specific T cell products recognize cancer cells by up to five antigens presented on cancer cells and continue to kill even when cancer cells morph by downregulating the targeted antigen to escape recognition.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Marker recently started to evaluate the safety and efficacy of MT-601, a multiTAA-specific T cell product that recognizes six antigens, including WT-1, a TAA that was not part of the targeted antigens in the TACTAL study, in patients with non-Hodgkin’s lymphoma who have either relapsed after receiving anti-CD19 CAR T cell treatment or are ineligible for anti-CD19 CAR T cell treatment (ClinicalTrials.gov Identifier: NCT05798897). Marker believes that killing induced by a product directed against six TAAs instead of five TAAs can potentially provide a more durable solution. Prior to starting the clinical trial Marker assessed the killing capacity of MT-601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a lymphoma cell line and demonstrated that MT-601 kills lymphoma cells regardless of their CD19 expression levels.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recently developed a long-term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to monitor the interaction of T cells with cancerous cells. Data from a lymphoma cell line utilizing this model demonstrated that MT-601 inhibited growth of lymphoma cells as well as the growth of CD19 CAR resistant lymphoma cells,” said Eric A. Smith, Ph.D., Director of Research and Development at Marker Therapeutics. Marker has posted further details about this preclinical study on the Investor Relations section of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 xml:space="preserve">Dr. Smith continued “Specifically, we have developed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which reproduces the CD19 antigen-negative tumor that causes relapse and observed the following:</w:t>
      </w:r>
    </w:p>
    <w:p>
      <w:pPr>
        <w:spacing w:after="0" w:line="19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this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98% of lymphoma cells were eliminated after initial administration of a CD19-targeting CAR T cell product.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While the CAR T cells significantly controlled lymphoma cell growth, we observed that 3 weeks after the start of anti-CD19 CAR T cell administration, a population of lymphoma cells that were resistant to CD19 CAR T cell administration started to grow.</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CD19 CAR resistant lymphoma cells were tested for CD19 expression and were shown to be negative for the CD19 surface antigen, which explained why they were no longer controlled with a second administration of anti-C19 CAR T cells, thus recapitulating the antigen-negative relapse observations in CAR relapsed/refractory lymphoma patients.</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However, when MT-601, with its broad antigen recognition (Survivin, NY-ESO-1, WT-1, PRAME, MAGE-A4, SSX2) was added to this anti-CD19 CAR T cell resistant cell population complete growth inhibition was observed.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data highlight that MT-601 has the potential to eliminate tumors that are CD19 CAR T cell refractory, indicating that MT-601 might offer a viable therapeutic option for lymphoma patients that have relapsed from previous CAR T cell interventions.”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encouraged by the promising results of our pre-clinical study of MT-601,” said Juan F. Vera, M.D., President and Chief Executive Officer at Marker Therapeutics. “These pre-clinical findings reinforce previous TACTAL clinical observations, highlighting the potential benefit of our innovative multiTAA-specific T cell therapy in CD19 CAR T refractory lymphoma patients. Our Investigational New Drug (IND) application for MT-601 for the treatment of patients with relapsed non-Hodgkin lymphoma has been cleared by the FDA and we are excited to further explore the potential benefits of MT-601 in our multicenter Phase 1 clinical trial, which was initiated in the first quarter of 2023. We are continuing our detailed review of the scope of clinical opportunities provided by MT-601 and look forward to providing an update about our clinical strategy and anticipated milestones as soon as possible.”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Marker's multi-tumor associated antigen (multiTAA)-specific T cell platform is a novel, non-genetically modified cell therapy approach that selectively expands tumor-specific T cells from a patient's blood capable of recognizing a broad range of tumor antigens. Clinical trials that enrolled more than 180 patients with various hematological malignancies and solid tumors showed that the multiTAA-specific T cell product was well tolerated, demonstrated durable clinical responses, and consistent epitope spreading. The latter is typically not observed with other T cell therapies and enables the patient's own T cells to expand, potentially contributing to a lasting anti-tumor effect. Unlike other cell therapies which require hospitalization and close monitoring, multiTAA-specific T cells are designed to be administered in an outpatient setting.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The cell therapy technology Marker has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of our product candidates, including MT-601 for the treatment of patients with relapsed non-Hodgkin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6"/>
          <w:szCs w:val="16"/>
          <w:u w:val="single" w:color="auto"/>
          <w:color w:val="auto"/>
        </w:rPr>
        <w:t>WWW.SEC.GOV</w:t>
      </w:r>
      <w:r>
        <w:rPr>
          <w:rFonts w:ascii="Arial" w:cs="Arial" w:eastAsia="Arial" w:hAnsi="Arial"/>
          <w:sz w:val="16"/>
          <w:szCs w:val="16"/>
          <w:color w:val="auto"/>
        </w:rPr>
        <w:t>. The Company assumes no obligation to update our forward-looking statements whether as a result of new information, future events or otherwise, after the date of this press release.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Kontoh-Boateng</w:t>
      </w:r>
    </w:p>
    <w:p>
      <w:pPr>
        <w:spacing w:after="0" w:line="9" w:lineRule="exact"/>
        <w:rPr>
          <w:sz w:val="20"/>
          <w:szCs w:val="20"/>
          <w:color w:val="auto"/>
        </w:rPr>
      </w:pPr>
    </w:p>
    <w:p>
      <w:pPr>
        <w:ind w:right="94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213-1398 </w:t>
      </w:r>
      <w:r>
        <w:rPr>
          <w:rFonts w:ascii="Arial" w:cs="Arial" w:eastAsia="Arial" w:hAnsi="Arial"/>
          <w:sz w:val="16"/>
          <w:szCs w:val="16"/>
          <w:u w:val="single" w:color="auto"/>
          <w:color w:val="auto"/>
        </w:rPr>
        <w:t>dboateng@tiberend.com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Casey McDonald</w:t>
      </w:r>
    </w:p>
    <w:p>
      <w:pPr>
        <w:spacing w:after="0" w:line="9" w:lineRule="exact"/>
        <w:rPr>
          <w:sz w:val="20"/>
          <w:szCs w:val="20"/>
          <w:color w:val="auto"/>
        </w:rPr>
      </w:pPr>
    </w:p>
    <w:p>
      <w:pPr>
        <w:ind w:right="93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577-8520 </w:t>
      </w:r>
      <w:r>
        <w:rPr>
          <w:rFonts w:ascii="Arial" w:cs="Arial" w:eastAsia="Arial" w:hAnsi="Arial"/>
          <w:sz w:val="16"/>
          <w:szCs w:val="16"/>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62"/>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2023-05-31T05:48:00Z</dcterms:created>
  <dcterms:modified xsi:type="dcterms:W3CDTF">2023-05-31T05:48:00Z</dcterms:modified>
</cp:coreProperties>
</file>