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ELMS STEVE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MARKER THERAPEUTICS, INC., 2450</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HOLCOMBE BLVD, SUITE BCM-A, MS:</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BCM251</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77021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Marker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MRKR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8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12/23/2024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right="300"/>
              <w:spacing w:after="0"/>
              <w:rPr>
                <w:sz w:val="20"/>
                <w:szCs w:val="20"/>
                <w:color w:val="auto"/>
              </w:rPr>
            </w:pPr>
            <w:r>
              <w:rPr>
                <w:rFonts w:ascii="Times New Roman" w:cs="Times New Roman" w:eastAsia="Times New Roman" w:hAnsi="Times New Roman"/>
                <w:sz w:val="17"/>
                <w:szCs w:val="17"/>
                <w:color w:val="0000FF"/>
              </w:rPr>
              <w:t>2,968</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12/23/2024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11,085</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w:t>
            </w:r>
          </w:p>
        </w:tc>
        <w:tc>
          <w:tcPr>
            <w:tcW w:w="80" w:type="dxa"/>
            <w:vAlign w:val="bottom"/>
          </w:tcPr>
          <w:p>
            <w:pPr>
              <w:spacing w:after="0"/>
              <w:rPr>
                <w:sz w:val="21"/>
                <w:szCs w:val="21"/>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34"/>
                <w:szCs w:val="34"/>
                <w:color w:val="0000FF"/>
                <w:w w:val="98"/>
                <w:vertAlign w:val="subscript"/>
              </w:rPr>
              <w:t>325,370</w:t>
            </w:r>
            <w:r>
              <w:rPr>
                <w:rFonts w:ascii="Times New Roman" w:cs="Times New Roman" w:eastAsia="Times New Roman" w:hAnsi="Times New Roman"/>
                <w:sz w:val="11"/>
                <w:szCs w:val="11"/>
                <w:color w:val="008000"/>
                <w:w w:val="98"/>
              </w:rPr>
              <w:t>(1)(2)(3)</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26, 2023, the Issuer effected a 1-for-10 reverse stock split of its common stock (the "Reverse Stock Split"). The amount of securities reported on this Form 4 have been adjusted to reflect the Reverse Stock Split.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from the Issuer on December 23, 2024 pursuant to a Securities Purchase Agreement dated December 19, 2024.</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directly owned by Aisling Capital IV, LP ("Aisling"), and which may be deemed to be beneficially owned by Aisling Capital Partners IV, LP ("Aisling GP"), as general partner of Aisling, Aisling Capital Partners IV LLC ("Aisling Partners"), as general partner of Aisling GP, and each of the individual managing members and partners (collectively, the "Managers") of Aisling GP and Aisling Partners. The Managers of Aisling Partners are Dr. Andrew Schiff and Steve Elms, who have shared voting and dispositive power over the shares. Mr. Elms, the Reporting Person, disclaims beneficial ownership of such shares except to the extent of his pecuniary interest therein, and the inclusion of these securities herein shall not be deemed an admission of beneficial ownership for purposes of Section 16 or for any other purpose.</w:t>
      </w:r>
    </w:p>
    <w:p>
      <w:pPr>
        <w:spacing w:after="0" w:line="5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Julio C. Esquivel,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Steve</w:t>
      </w:r>
      <w:r>
        <w:rPr>
          <w:sz w:val="20"/>
          <w:szCs w:val="20"/>
          <w:color w:val="auto"/>
        </w:rPr>
        <w:tab/>
      </w:r>
      <w:r>
        <w:rPr>
          <w:rFonts w:ascii="Times New Roman" w:cs="Times New Roman" w:eastAsia="Times New Roman" w:hAnsi="Times New Roman"/>
          <w:sz w:val="17"/>
          <w:szCs w:val="17"/>
          <w:color w:val="0000FF"/>
        </w:rPr>
        <w:t>12/26/2024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0195"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2024-12-26T15:05:19Z</dcterms:created>
  <dcterms:modified xsi:type="dcterms:W3CDTF">2024-12-26T15:05:19Z</dcterms:modified>
</cp:coreProperties>
</file>