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October 16,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gridSpan w:val="2"/>
          </w:tcPr>
          <w:p>
            <w:pPr>
              <w:spacing w:after="0"/>
              <w:rPr>
                <w:sz w:val="17"/>
                <w:szCs w:val="17"/>
                <w:color w:val="auto"/>
              </w:rPr>
            </w:pPr>
          </w:p>
        </w:tc>
        <w:tc>
          <w:tcPr>
            <w:tcW w:w="2880" w:type="dxa"/>
            <w:vAlign w:val="bottom"/>
            <w:gridSpan w:val="5"/>
          </w:tcPr>
          <w:p>
            <w:pPr>
              <w:jc w:val="center"/>
              <w:ind w:left="1690"/>
              <w:spacing w:after="0"/>
              <w:rPr>
                <w:sz w:val="20"/>
                <w:szCs w:val="20"/>
                <w:color w:val="auto"/>
              </w:rPr>
            </w:pPr>
            <w:r>
              <w:rPr>
                <w:rFonts w:ascii="Arial" w:cs="Arial" w:eastAsia="Arial" w:hAnsi="Arial"/>
                <w:sz w:val="18"/>
                <w:szCs w:val="18"/>
                <w:b w:val="1"/>
                <w:bCs w:val="1"/>
                <w:color w:val="auto"/>
                <w:w w:val="90"/>
              </w:rPr>
              <w:t>001-37939</w:t>
            </w: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4720" w:type="dxa"/>
            <w:vAlign w:val="bottom"/>
            <w:gridSpan w:val="7"/>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660" w:type="dxa"/>
            <w:vAlign w:val="bottom"/>
            <w:gridSpan w:val="5"/>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00" w:type="dxa"/>
            <w:vAlign w:val="bottom"/>
          </w:tcPr>
          <w:p>
            <w:pPr>
              <w:spacing w:after="0"/>
              <w:rPr>
                <w:sz w:val="20"/>
                <w:szCs w:val="20"/>
                <w:color w:val="auto"/>
              </w:rPr>
            </w:pPr>
          </w:p>
        </w:tc>
        <w:tc>
          <w:tcPr>
            <w:tcW w:w="214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5 West Forsyth Street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8"/>
              </w:rPr>
              <w:t>Suite 200</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2140" w:type="dxa"/>
            <w:vAlign w:val="bottom"/>
            <w:gridSpan w:val="4"/>
          </w:tcPr>
          <w:p>
            <w:pPr>
              <w:jc w:val="center"/>
              <w:ind w:right="880"/>
              <w:spacing w:after="0" w:line="194" w:lineRule="exact"/>
              <w:rPr>
                <w:sz w:val="20"/>
                <w:szCs w:val="20"/>
                <w:color w:val="auto"/>
              </w:rPr>
            </w:pPr>
            <w:r>
              <w:rPr>
                <w:rFonts w:ascii="Arial" w:cs="Arial" w:eastAsia="Arial" w:hAnsi="Arial"/>
                <w:sz w:val="18"/>
                <w:szCs w:val="18"/>
                <w:b w:val="1"/>
                <w:bCs w:val="1"/>
                <w:color w:val="auto"/>
                <w:w w:val="90"/>
              </w:rPr>
              <w:t>Jacksonville, FL</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6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5"/>
          </w:tcPr>
          <w:p>
            <w:pPr>
              <w:jc w:val="center"/>
              <w:ind w:left="1670"/>
              <w:spacing w:after="0"/>
              <w:rPr>
                <w:sz w:val="20"/>
                <w:szCs w:val="20"/>
                <w:color w:val="auto"/>
              </w:rPr>
            </w:pPr>
            <w:r>
              <w:rPr>
                <w:rFonts w:ascii="Arial" w:cs="Arial" w:eastAsia="Arial" w:hAnsi="Arial"/>
                <w:sz w:val="18"/>
                <w:szCs w:val="18"/>
                <w:b w:val="1"/>
                <w:bCs w:val="1"/>
                <w:color w:val="auto"/>
                <w:w w:val="90"/>
              </w:rPr>
              <w:t>(904) 516-5436</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3"/>
              </w:rPr>
              <w:t>TapImmune Inc.</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972"/>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On October 17, 2018, TapImmune Inc., a Nevada corporation (“TapImmune” or the “Company”), completed its business combination with Marker Therapeutics, Inc., a privately-held Delaware corporation (“Marker”) dedicated to the development of adoptive non-gene modified T cell therapies for the treatment of hematologic malignancies and solid tumors, in accordance with the terms of an Agreement and Plan of Merger and Reorganization, dated as of May 15, 2018 (the “Merger Agreement”), by and among the Company, Timberwolf Merger Sub, Inc., a Delaware corporation and wholly owned subsidiary of the Company (“Merger Sub”), and Marker. On October 17, 2018, pursuant to the Merger Agreement, Merger Sub was merged with and into Marker (the “Merger”), with Marker being the surviving corporation and becoming a wholly owned subsidiary of the Company. In connection with the Merger, the Company changed its name to Marker Therapeutics, Inc., and Marker changed its name to Marker Cell Therapy, Inc.</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October 17, 2018, concurrent with the completion of the Merger, the Company issued to certain accredited investors in a private placement transaction (the “Financing”), an aggregate of 17,500,000 shares of its common stock, and warrants to purchase 13,437,500 shares of common stock at an exercise price of $5.00 per share with a five-year term, for aggregate proceeds of $70 million pursuant to the terms of the Securities Purchase Agreements, dated June 8, 2018, by and among the Company and certain accredited investors (the “Securities Purchase Agreements”). Upon consummation of the Financing, and as a condition to the Securities Purchase Agreements, the Company is, among other things, obligated to file a resale registration statement with the SEC within 15 days following completion of the Financing.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7"/>
          <w:szCs w:val="17"/>
          <w:color w:val="auto"/>
        </w:rPr>
        <w:t>In connection with the Merger Agreement, described below under Item 2.01, the Company entered into a registration rights agreement with the former Marker stockholders (the “Registration Rights Agreement”). Pursuant to the Registration Rights Agreement, if the Company registers any shares of Company common stock for resale pursuant to the Financing transaction occurring concurrently with the Merger, the former Marker stockholders will have the right to include in the registration statement their Company common stock issued or issuable to such stockholders pursuant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Designation and Observer Rights</w:t>
      </w:r>
    </w:p>
    <w:p>
      <w:pPr>
        <w:spacing w:after="0" w:line="225"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color w:val="auto"/>
        </w:rPr>
        <w:t>In connection with the Financing, one of the private placement investors, New Enterprise Associates 16, L.P. (“NEA”), was granted the right to designate either a board observer or a board member to our board of directors. The Board Observer and Director Nomination Agreement (the “Board Agreement”) provided NEA with the designation right until either (i) a Change of Control Transaction, or (ii) NEA ceases to own less than 2,500,000 shares of the Company’s common stock. NEA has elected to initially designate Ali Behbahani as its board observer. In addition, another investor in the Financing, Aisling Capital IV, LP (“Aisling”), was granted the right to designate a board observer, so long as Aisling holds at least 70% of the number of shares of common stock purchased in the Financing.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Lock-Up Agreements</w:t>
      </w:r>
    </w:p>
    <w:p>
      <w:pPr>
        <w:spacing w:after="0" w:line="225" w:lineRule="exact"/>
        <w:rPr>
          <w:sz w:val="20"/>
          <w:szCs w:val="20"/>
          <w:color w:val="auto"/>
        </w:rPr>
      </w:pPr>
    </w:p>
    <w:p>
      <w:pPr>
        <w:jc w:val="both"/>
        <w:ind w:right="180" w:firstLine="441"/>
        <w:spacing w:after="0" w:line="342" w:lineRule="auto"/>
        <w:rPr>
          <w:sz w:val="20"/>
          <w:szCs w:val="20"/>
          <w:color w:val="auto"/>
        </w:rPr>
      </w:pPr>
      <w:r>
        <w:rPr>
          <w:rFonts w:ascii="Arial" w:cs="Arial" w:eastAsia="Arial" w:hAnsi="Arial"/>
          <w:sz w:val="16"/>
          <w:szCs w:val="16"/>
          <w:color w:val="auto"/>
        </w:rPr>
        <w:t>As previously disclosed, on May 15, 2018, in connection with the execution of the Merger Agreement, TapImmune’s directors and executive officers, entered into voting and lock-up agreements with Marker, and (ii) certain Marker stockholders entered into voting and lock-up agreements with TapImmune.</w:t>
      </w:r>
    </w:p>
    <w:p>
      <w:pPr>
        <w:spacing w:after="0" w:line="124"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 voting and lock-up agreements provided, among other things, that the parties to the agreements would vote in favor of the Merger and the adoption of the Merger Agreement and the transactions contemplated thereby. In addition, the voting and lock-up agreements restricted the transfer of shares of TapImmune and Marker capital stock held by the respective signatory stockholders prior to the closing of the Merger, and each such stockholder is also subject to a 180-day lock-up on the sale of shares of capital stock of the Company, which period began upon consummation of the Merger.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TapImmune directors and executive officers that entered into the voting and lock-up agreements are Peter Hoang, Dr. Glynn Wilson, Michael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Loiacono, Sherry Grisewood, David Laskow-Pooley, Mark Reddish, Joshua Silverman and Frederick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440"/>
        <w:spacing w:after="0"/>
        <w:rPr>
          <w:sz w:val="20"/>
          <w:szCs w:val="20"/>
          <w:color w:val="auto"/>
        </w:rPr>
      </w:pPr>
      <w:r>
        <w:rPr>
          <w:rFonts w:ascii="Arial" w:cs="Arial" w:eastAsia="Arial" w:hAnsi="Arial"/>
          <w:sz w:val="17"/>
          <w:szCs w:val="17"/>
          <w:color w:val="auto"/>
        </w:rPr>
        <w:t>The Marker stockholders that entered into voting and lock-up agreements are John R. Wilson, Juan F. Vera, Ann M. Leen, Salt Free LP, Helen 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Heslop, and Baylor College of Medicine.</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foregoing description of the (i) Securities Purchase Agreements; (ii) Registration Rights Agreement; (iii) Observer Agreement (iv) Voting and Lock Up Agreement between Marker and TapImmune; and (v) Voting and Lock Up Agreement between TapImmune and Marker are not complete and are qualified in their entirety by reference to the Securities Purchase Agreements, Registration Rights Agreement, Observer Agreement, Voting and Lock Up Agreement between Marker and TapImmune and Voting and Lock Up Agreement between TapImmune and Marker which are attached hereto as Exhibits 10.1, 10.2, 10.3, 4.1 and 4.2, respectively and are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October 17, 2018, the Merger was consummated in accordance with the terms of the Merger Agreement. At the effective time of the Merger, the Marker stockholders received (i) an aggregate of 13,914,255 shares of TapImmune’s common stock which equaled the number of shares of TapImmune common stock issued and outstanding immediately prior to the effective time of the Merger, and (ii) an aggregate of 5,046,003 warrants, at an exercise price of $2.99 per share with a five-year term, which equaled the number of TapImmune warrants and stock options issued and outstanding immediately prior to the effective time of the Merger.</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After taking into account the issuance of shares in the Financing described above, immediately following the effective time of the Merger, the pro forma ownership of the issued and outstanding shares of TapImmune common stock on a fully diluted basis (assuming all issued and outstanding warrants and options are exercised) will be approximately as follows: Marker’s former stockholders 27.5%, TapImmune’s stockholders prior to the Merger 27.5%, and the private placement stockholders 45%. Following the completion of the Merger and the Financing, there were 45,328,510 issued and outstanding shares of the Company’s common stock.</w:t>
      </w:r>
    </w:p>
    <w:p>
      <w:pPr>
        <w:spacing w:after="0" w:line="188"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The issuance of the shares of Company common stock to the former stockholders of Marker in connection with the Merger and related transactions was approved by the Company’s stockholders at the 2018 annual meeting of stockholders (the “2018 Annual Meeting”) held on October 16, 2018.</w:t>
      </w:r>
    </w:p>
    <w:p>
      <w:pPr>
        <w:spacing w:after="0" w:line="124"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In connection with the Merger, the Company filed an amendment to its articles of incorporation in Nevada to increase the authorized shares of common stock from 41,666,667 shares to 150,000,000 shares and to change the Company’s name to Marker Therapeutics, Inc. (“Certificate of Amendment”). The Company then reincorporated from a Nevada corporation to a Delaware corporation and filed its certificate of incorporation in Delaware. Finally, a certificate of merger was filed in Delaware to merge Marker Cell Therapy, Inc. (f/k/a Marker Therapeutics, Inc.) with and into Merger Sub, with Marker Cell Therapy, Inc. being the surviving corporation and wholly owned subsidiary of the Company. The name change, reincorporation and Merger were all effective as of October 17, 2018. Beginning as of the market open on October 18, 2018, shares of the Company’s common stock will commence trading on The Nasdaq Capital Market under the new ticker symbol “MRKR” and will have a new CUSIP number, 57055L 107.</w:t>
      </w:r>
    </w:p>
    <w:p>
      <w:pPr>
        <w:spacing w:after="0" w:line="167"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Merger Agreement, which was previously filed as Annex A to the Definitive Proxy Statement on Schedule 14A, filed on September 14, 2018 (the “Definitive Proxy Statement”), which is attached hereto as Exhibit 2.1 and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To the extent required by Item 3.02 of Form 8-K, the disclosure in Item 1.01 and Item 2.01 of this Current Report on Form 8-K is incorporated herein by reference.</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60" w:firstLine="441"/>
        <w:spacing w:after="0" w:line="255" w:lineRule="auto"/>
        <w:rPr>
          <w:sz w:val="20"/>
          <w:szCs w:val="20"/>
          <w:color w:val="auto"/>
        </w:rPr>
      </w:pPr>
      <w:r>
        <w:rPr>
          <w:rFonts w:ascii="Arial" w:cs="Arial" w:eastAsia="Arial" w:hAnsi="Arial"/>
          <w:sz w:val="18"/>
          <w:szCs w:val="18"/>
          <w:color w:val="auto"/>
        </w:rPr>
        <w:t>On October 17, 2017, effective at the effective time of the Merger, the following TapImmune directors, Glynn Wilson, Mark Reddish, Sherry Grisewood and Joshua Silverman, resigned from the Company’s board of directors, and John Wilson, Juan Vera and David Eansor were appointed to the Company’s board of directors. Accordingly, at and immediately after the effective time of the Merger, the directors serving on the board of directors of the Company are: Peter Hoang, David-Laskow-Pooley, Frederick Wasserman, John Wilson, Juan Vera and David Eansor. Mr. Wasserman was designated as Chairman of the newly constituted board. Along with Mr. Wasserman and Mr. Laskow-Pooley, each of Messrs. Wilson and Eansor were determined to be independent under Nasdaq Marketplace Rule 5605(a)(2). Dr. Juan Vera is anticipated to serve the Company as our Chief Development Officer, and as such was not considered to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right="140" w:firstLine="441"/>
        <w:spacing w:after="0" w:line="257" w:lineRule="auto"/>
        <w:rPr>
          <w:sz w:val="20"/>
          <w:szCs w:val="20"/>
          <w:color w:val="auto"/>
        </w:rPr>
      </w:pPr>
      <w:r>
        <w:rPr>
          <w:rFonts w:ascii="Arial" w:cs="Arial" w:eastAsia="Arial" w:hAnsi="Arial"/>
          <w:sz w:val="18"/>
          <w:szCs w:val="18"/>
          <w:color w:val="auto"/>
        </w:rPr>
        <w:t>The resignation of directors from the Company’s board of directors was not due to a disagreement with the Company on any matter relating to its operations, policies or practices. At the time of their resignation, Ms. Grisewood served on the audit committee of the Company’s board of directors (the “Audit Committee”), Mr. Reddish and Ms. Grisewood served on the compensation committee of the Company’s board of directors (the “Compensation Committee”), and Mr. Reddish served on the nominating and governance committee of the Company’s board of directors (the “Nominating and Governance Committee”).</w:t>
      </w:r>
    </w:p>
    <w:p>
      <w:pPr>
        <w:spacing w:after="0" w:line="188"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As a result of, and at the effective time, of the Merger, the board approved changes to its existing committee membership. Messrs. Wasserman, Laskow-Pooley and Eansor were appointed to the Audit Committee. The board determined that each of Messrs. Wasserman, Laskow-Pooley and Eansor satisfied the financial literacy requirements under Nasdaq Marketplace Rule 5605(c)(2)(A)(iv) and that Mr. Wasserman is an “audit committee financial expert” as that term is defined in Item 407(d)(5) of Regulation S-K promulgated under the Securities and Exchange Act of 1934, replacing Ms. Grisewood. Messrs. Wilson, Laskow-Pooley and Wasserman were appointed to the Compensation Committee with Mr. Laskow-Pooley continuing to serve as the Chair thereof. In accordance with Nasdaq Marketplace Rule 5605(d)(2)(A), the board determined that none of Messrs. Wilson, Laskow-Pooley and Wasserman has a relationship to the Company which is material to the director’s ability to be independent from management in connection with the duties of a Compensation Committee member. Messrs. Wilson and Eansor were appointed to join Mr. Wasserman to serve on the Nominating and Governance Committee with Mr. Wilson designated to serve as the Chair thereof. Information regarding the background of each of the three newly appointed directors is as follows:</w:t>
      </w:r>
    </w:p>
    <w:p>
      <w:pPr>
        <w:spacing w:after="0" w:line="163"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b w:val="1"/>
          <w:bCs w:val="1"/>
          <w:u w:val="single" w:color="auto"/>
          <w:color w:val="auto"/>
        </w:rPr>
        <w:t>John Wilson</w:t>
      </w:r>
      <w:r>
        <w:rPr>
          <w:rFonts w:ascii="Arial" w:cs="Arial" w:eastAsia="Arial" w:hAnsi="Arial"/>
          <w:sz w:val="16"/>
          <w:szCs w:val="16"/>
          <w:b w:val="1"/>
          <w:bCs w:val="1"/>
          <w:color w:val="auto"/>
        </w:rPr>
        <w:t xml:space="preserve">. </w:t>
      </w:r>
      <w:r>
        <w:rPr>
          <w:rFonts w:ascii="Arial" w:cs="Arial" w:eastAsia="Arial" w:hAnsi="Arial"/>
          <w:sz w:val="16"/>
          <w:szCs w:val="16"/>
          <w:color w:val="auto"/>
        </w:rPr>
        <w:t>Since 1996, Mr. Wilson has been the CEO of Wilson Wolf Manufacturing Corporation, which designs, developments and manufactures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for the field of biotechnology, including cell culture devices and bioreactors. Mr. Wilson is the co-inventor of the G-Rex® cell culture platform, which is used for the large-scale production of T cells. Mr. Wilson has over 30 years of experience in the design, development and manufacture of products for the field of biotechnology, including cell culture devices and bioreactors. Mr. Wilson has obtained over 50 related patents with numerous patents currently pending. Mr. Wilson is a co-founder of Marker, and since 2015, has served as Marker’s CEO. Effective upon consummation of the Merger, Mr. Wilson will resign as an officer of Marker. Mr. Wilson is also a co-founder of ViraCyte, LLC, a clinical stage biopharmaceutical company developing cellular immunotherapies for severe viral infections, and since 2013 has served as its Managing Director. Prior to co-founding Wilson Wolf Manufacturing, Marker and ViraCyte, Mr. Wilson was a principal mechanical engineer at Cellex Biosciences (now The Cell Culture Company) where he contributed to the world’s first commercially available fully-automated hollow fiber bioreactor cell culture system. Mr. Wilson has a BA in Business Administration and a BA in Economics from Hamline University in Minnesota, and a B.S. in Mechanical Engineering from the University of Minnesota.</w:t>
      </w:r>
    </w:p>
    <w:p>
      <w:pPr>
        <w:spacing w:after="0" w:line="161"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b w:val="1"/>
          <w:bCs w:val="1"/>
          <w:u w:val="single" w:color="auto"/>
          <w:color w:val="auto"/>
        </w:rPr>
        <w:t>Juan F. Vera, MD</w:t>
      </w:r>
      <w:r>
        <w:rPr>
          <w:rFonts w:ascii="Arial" w:cs="Arial" w:eastAsia="Arial" w:hAnsi="Arial"/>
          <w:sz w:val="16"/>
          <w:szCs w:val="16"/>
          <w:b w:val="1"/>
          <w:bCs w:val="1"/>
          <w:color w:val="auto"/>
        </w:rPr>
        <w:t xml:space="preserve">. </w:t>
      </w:r>
      <w:r>
        <w:rPr>
          <w:rFonts w:ascii="Arial" w:cs="Arial" w:eastAsia="Arial" w:hAnsi="Arial"/>
          <w:sz w:val="16"/>
          <w:szCs w:val="16"/>
          <w:color w:val="auto"/>
        </w:rPr>
        <w:t>Dr. Vera was trained as a medical surgeon, and since 2004 has been in different positions at the Center for Cell and Gene Therapy</w:t>
      </w:r>
      <w:r>
        <w:rPr>
          <w:rFonts w:ascii="Arial" w:cs="Arial" w:eastAsia="Arial" w:hAnsi="Arial"/>
          <w:sz w:val="16"/>
          <w:szCs w:val="16"/>
          <w:b w:val="1"/>
          <w:bCs w:val="1"/>
          <w:color w:val="auto"/>
        </w:rPr>
        <w:t xml:space="preserve"> </w:t>
      </w:r>
      <w:r>
        <w:rPr>
          <w:rFonts w:ascii="Arial" w:cs="Arial" w:eastAsia="Arial" w:hAnsi="Arial"/>
          <w:sz w:val="16"/>
          <w:szCs w:val="16"/>
          <w:color w:val="auto"/>
        </w:rPr>
        <w:t>(CAGT) at the Baylor College of Medicine, first as a postdoctoral associate from 2004 to 2008, an instructor from 2009 to 2010, an Assistant Professor from 2011 to 2014 and an Associate Professor from 2015 to present. While at the CAGT, he has worked extensively on developing novel T cell therapies and optimizing manufacturing processes for clinical applications at the CAGT. In collaboration with Wilson Wolf Manufacturing Corporation, he has been instrumental in the design and testing of the G-Rex® cell culture platform and pioneered its use for the large-scale production of T cells. Dr. Vera is also a co-founder of Marker as well as ViraCyte, LLC, a clinical stage biopharmaceutical company developing cellular immunotherapies for severe viral infections. Dr. Vera has extensive expertise in developing and streamlining therapeutic candidates from the research bench to the cGMP facility while ensuring robust production and scalability. Dr. Vera has previously collaborated with Celgene and Bluebird Bio in developing novel CAR T cell therapies. He has also been the recipient of different prestigious awards including the Idea Development Award from the Department of Defense and Mentored Research Scholar Award from the American Cancer Society. Dr. Vera received his MD from the University El Bosque in Bogota, Colombia.</w:t>
      </w:r>
    </w:p>
    <w:p>
      <w:pPr>
        <w:spacing w:after="0" w:line="16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u w:val="single" w:color="auto"/>
          <w:color w:val="auto"/>
        </w:rPr>
        <w:t>David Eansor</w:t>
      </w:r>
      <w:r>
        <w:rPr>
          <w:rFonts w:ascii="Arial" w:cs="Arial" w:eastAsia="Arial" w:hAnsi="Arial"/>
          <w:sz w:val="17"/>
          <w:szCs w:val="17"/>
          <w:b w:val="1"/>
          <w:bCs w:val="1"/>
          <w:color w:val="auto"/>
        </w:rPr>
        <w:t xml:space="preserve">. </w:t>
      </w:r>
      <w:r>
        <w:rPr>
          <w:rFonts w:ascii="Arial" w:cs="Arial" w:eastAsia="Arial" w:hAnsi="Arial"/>
          <w:sz w:val="17"/>
          <w:szCs w:val="17"/>
          <w:color w:val="auto"/>
        </w:rPr>
        <w:t>Since April 2015, Mr. Eansor has been Senior Vice President of the Biotech Division of Bio-Techne Corporation (NASDAQ: TECH), a</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developer and manufacturer of high quality purified proteins — notably cytokines and growth factors, antibodies, immunoassays, as well as biologically active small molecule compounds. He has P&amp;L responsibility for the largest division of Bio-Techne which includes the R&amp;D Systems, Novus and Tocris brands of assays, proteins, antibodies, small molecules and cell culture products. From 2013 to 2015, Mr. Eansor was Senior Vice President of Novus Biologicals, which was acquired by Bio-Techne in July 2014. Prior to joining Novus Biologicals, Mr. Eansor was the President of the Life Science Research business of Thermo Fisher Scientific from 1996 to 2010, and then was promoted to serve as the President of the Bioscience Division of Thermo Fisher from 2010 to 2013. Mr. Eansor has a BSc in Chemistry from the University of Western Ontario, a Bachelor of Commerce in General Business and Economics, and an MBA from the University of Windsor,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right="160" w:firstLine="441"/>
        <w:spacing w:after="0" w:line="264" w:lineRule="auto"/>
        <w:rPr>
          <w:sz w:val="20"/>
          <w:szCs w:val="20"/>
          <w:color w:val="auto"/>
        </w:rPr>
      </w:pPr>
      <w:r>
        <w:rPr>
          <w:rFonts w:ascii="Arial" w:cs="Arial" w:eastAsia="Arial" w:hAnsi="Arial"/>
          <w:sz w:val="18"/>
          <w:szCs w:val="18"/>
          <w:color w:val="auto"/>
        </w:rPr>
        <w:t>Consistent with the Company’s Non-Employee Director Compensation Plan, Mr. Wilson and Mr. Eansor have each been granted 12,500 stock options under the Company’s 2014 Omnibus Stock Ownership Plan, as amended (the “Plan”). Dr. Vera, as an expected employee director, was not granted any options upon his joining the Company’s board of directors.</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connection with the Merger, each director has entered into, or will enter into, an indemnification agreement with the Company, dated and effective as of October 17, 2018.</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October 16, 2018, the Company held an annual meeting of its stockholders at which the following items were voted 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Approval of the issuance of Company common stock and warrants to purchase common stock pursuant to the Merger Agreement.</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7,988,599</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32,375</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88,612</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 Approval of the issuance of Company common stock and warrants to purchase common stock pursuant to the private placement transaction.</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7,949,832</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95,576</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Approval of two separate proposals to amend the Company’s articles of incorporation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increase the number of authorized shares of Company Common Stock from 41,666,667 to 150,000,000; and</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7,957,520</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123,997</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change the name of the Company to “Marker Therapeutics, Inc.”</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7,989,414</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97,954</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 Approval of the issuance of the reincorporation of the Company from a Nevada corporation to a Delaware corporation.</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7,996,383</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21,867</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91,336</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right="180" w:firstLine="449"/>
        <w:spacing w:after="0" w:line="277" w:lineRule="auto"/>
        <w:tabs>
          <w:tab w:leader="none" w:pos="686"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increase in the number of authorized shares under the Company’s 2014 Omnibus Stock Ownership Plan, as amended by 6,616,666 shares from 1,383,334 to 8,000,000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1"/>
        </w:trPr>
        <w:tc>
          <w:tcPr>
            <w:tcW w:w="460" w:type="dxa"/>
            <w:vAlign w:val="bottom"/>
          </w:tcPr>
          <w:p>
            <w:pPr>
              <w:spacing w:after="0"/>
              <w:rPr>
                <w:sz w:val="20"/>
                <w:szCs w:val="20"/>
                <w:color w:val="auto"/>
              </w:rPr>
            </w:pP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c>
          <w:tcPr>
            <w:tcW w:w="480" w:type="dxa"/>
            <w:vAlign w:val="bottom"/>
          </w:tcPr>
          <w:p>
            <w:pPr>
              <w:spacing w:after="0"/>
              <w:rPr>
                <w:sz w:val="20"/>
                <w:szCs w:val="20"/>
                <w:color w:val="auto"/>
              </w:rPr>
            </w:pPr>
          </w:p>
        </w:tc>
      </w:tr>
      <w:tr>
        <w:trPr>
          <w:trHeight w:val="230"/>
        </w:trPr>
        <w:tc>
          <w:tcPr>
            <w:tcW w:w="460" w:type="dxa"/>
            <w:vAlign w:val="bottom"/>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7,919,873</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90,666</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99,047</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c>
          <w:tcPr>
            <w:tcW w:w="480" w:type="dxa"/>
            <w:vAlign w:val="bottom"/>
          </w:tcPr>
          <w:p>
            <w:pPr>
              <w:spacing w:after="0"/>
              <w:rPr>
                <w:sz w:val="19"/>
                <w:szCs w:val="19"/>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(6) Approval of the election of Directors.</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Votes</w:t>
            </w:r>
          </w:p>
        </w:tc>
        <w:tc>
          <w:tcPr>
            <w:tcW w:w="19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Votes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Cast For</w:t>
            </w:r>
          </w:p>
        </w:tc>
        <w:tc>
          <w:tcPr>
            <w:tcW w:w="19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Withheld</w:t>
            </w: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7,985,372</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124,164</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Peter Hoang</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8,001,975</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124,164</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3,031,318</w:t>
            </w:r>
          </w:p>
        </w:tc>
      </w:tr>
      <w:tr>
        <w:trPr>
          <w:trHeight w:val="216"/>
        </w:trPr>
        <w:tc>
          <w:tcPr>
            <w:tcW w:w="2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Mark Reddish*</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7,930,085</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179,451</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3,031,318</w:t>
            </w:r>
          </w:p>
        </w:tc>
      </w:tr>
      <w:tr>
        <w:trPr>
          <w:trHeight w:val="216"/>
        </w:trPr>
        <w:tc>
          <w:tcPr>
            <w:tcW w:w="2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Sherry Grisewood*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7,985,539</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123,997</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3,031,318</w:t>
            </w:r>
          </w:p>
        </w:tc>
      </w:tr>
      <w:tr>
        <w:trPr>
          <w:trHeight w:val="216"/>
        </w:trPr>
        <w:tc>
          <w:tcPr>
            <w:tcW w:w="2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7,983,597</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125,938</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3,031,318</w:t>
            </w:r>
          </w:p>
        </w:tc>
      </w:tr>
      <w:tr>
        <w:trPr>
          <w:trHeight w:val="216"/>
        </w:trPr>
        <w:tc>
          <w:tcPr>
            <w:tcW w:w="2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Frederick Wasserman</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7,999,154</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109,982</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3,031,318</w:t>
            </w:r>
          </w:p>
        </w:tc>
      </w:tr>
      <w:tr>
        <w:trPr>
          <w:trHeight w:val="216"/>
        </w:trPr>
        <w:tc>
          <w:tcPr>
            <w:tcW w:w="2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Joshua Silverman*</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7,975,446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134,090</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right="480" w:firstLine="449"/>
        <w:spacing w:after="0" w:line="308" w:lineRule="auto"/>
        <w:tabs>
          <w:tab w:leader="none" w:pos="576" w:val="left"/>
        </w:tabs>
        <w:numPr>
          <w:ilvl w:val="0"/>
          <w:numId w:val="3"/>
        </w:numPr>
        <w:rPr>
          <w:rFonts w:ascii="Arial" w:cs="Arial" w:eastAsia="Arial" w:hAnsi="Arial"/>
          <w:sz w:val="17"/>
          <w:szCs w:val="17"/>
          <w:color w:val="auto"/>
        </w:rPr>
      </w:pPr>
      <w:r>
        <w:rPr>
          <w:rFonts w:ascii="Arial" w:cs="Arial" w:eastAsia="Arial" w:hAnsi="Arial"/>
          <w:sz w:val="17"/>
          <w:szCs w:val="17"/>
          <w:color w:val="auto"/>
        </w:rPr>
        <w:t>Although re-elected at the Company’s annual meeting, the following day in connection with the closing of the Merger, the resignation of these directors became effective and three new directors were appointed to fill three of the vacancies. See Item 5.02 above.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 Approval, on non-binding advisory basis, of the Company’s fiscal 2017 executive compensation.</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Votes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41"/>
        </w:trPr>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Cast For</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Cast Against</w:t>
            </w:r>
          </w:p>
        </w:tc>
        <w:tc>
          <w:tcPr>
            <w:tcW w:w="262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Abstentions</w:t>
            </w:r>
          </w:p>
        </w:tc>
        <w:tc>
          <w:tcPr>
            <w:tcW w:w="2500" w:type="dxa"/>
            <w:vAlign w:val="bottom"/>
          </w:tcPr>
          <w:p>
            <w:pPr>
              <w:jc w:val="right"/>
              <w:ind w:right="47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7,939,187</w:t>
            </w:r>
          </w:p>
        </w:tc>
        <w:tc>
          <w:tcPr>
            <w:tcW w:w="2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55,270</w:t>
            </w:r>
          </w:p>
        </w:tc>
        <w:tc>
          <w:tcPr>
            <w:tcW w:w="2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115,129</w:t>
            </w:r>
          </w:p>
        </w:tc>
        <w:tc>
          <w:tcPr>
            <w:tcW w:w="2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3,031,318</w:t>
            </w:r>
          </w:p>
        </w:tc>
      </w:tr>
    </w:tbl>
    <w:p>
      <w:pPr>
        <w:spacing w:after="0" w:line="202" w:lineRule="exact"/>
        <w:rPr>
          <w:sz w:val="20"/>
          <w:szCs w:val="20"/>
          <w:color w:val="auto"/>
        </w:rPr>
      </w:pPr>
    </w:p>
    <w:p>
      <w:pPr>
        <w:ind w:right="620" w:firstLine="449"/>
        <w:spacing w:after="0" w:line="277" w:lineRule="auto"/>
        <w:tabs>
          <w:tab w:leader="none" w:pos="6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Marcum LLP as the Company’s independent registered public accounting firm for the fiscal year ending December 31, 2018.</w: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Votes</w:t>
            </w:r>
          </w:p>
        </w:tc>
        <w:tc>
          <w:tcPr>
            <w:tcW w:w="3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Cast For</w:t>
            </w:r>
          </w:p>
        </w:tc>
        <w:tc>
          <w:tcPr>
            <w:tcW w:w="3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Cast Against</w:t>
            </w:r>
          </w:p>
        </w:tc>
        <w:tc>
          <w:tcPr>
            <w:tcW w:w="3300" w:type="dxa"/>
            <w:vAlign w:val="bottom"/>
            <w:gridSpan w:val="2"/>
          </w:tcPr>
          <w:p>
            <w:pPr>
              <w:ind w:left="1200"/>
              <w:spacing w:after="0"/>
              <w:rPr>
                <w:sz w:val="20"/>
                <w:szCs w:val="20"/>
                <w:color w:val="auto"/>
              </w:rPr>
            </w:pPr>
            <w:r>
              <w:rPr>
                <w:rFonts w:ascii="Arial" w:cs="Arial" w:eastAsia="Arial" w:hAnsi="Arial"/>
                <w:sz w:val="18"/>
                <w:szCs w:val="18"/>
                <w:b w:val="1"/>
                <w:bCs w:val="1"/>
                <w:color w:val="auto"/>
              </w:rPr>
              <w:t>Abstentions</w:t>
            </w:r>
          </w:p>
        </w:tc>
      </w:tr>
      <w:tr>
        <w:trPr>
          <w:trHeight w:val="230"/>
        </w:trPr>
        <w:tc>
          <w:tcPr>
            <w:tcW w:w="3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10,982,648</w:t>
            </w:r>
          </w:p>
        </w:tc>
        <w:tc>
          <w:tcPr>
            <w:tcW w:w="2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31,092</w:t>
            </w:r>
          </w:p>
        </w:tc>
        <w:tc>
          <w:tcPr>
            <w:tcW w:w="2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127,164</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right="260" w:firstLine="449"/>
        <w:spacing w:after="0" w:line="277" w:lineRule="auto"/>
        <w:tabs>
          <w:tab w:leader="none" w:pos="6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proposal to adjourn the 2018 Annual Meeting, if necessary, if a quorum is present, to solicit additional proxies, in the event that there are not sufficient votes at the time of the 2018 Annual Meeting to approve items 1, 2, 3a, 3b, 4 or 5 above.</w:t>
      </w:r>
    </w:p>
    <w:p>
      <w:pPr>
        <w:spacing w:after="0" w:line="166"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3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Votes</w:t>
            </w:r>
          </w:p>
        </w:tc>
        <w:tc>
          <w:tcPr>
            <w:tcW w:w="3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Cast For</w:t>
            </w:r>
          </w:p>
        </w:tc>
        <w:tc>
          <w:tcPr>
            <w:tcW w:w="3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Cast Against</w:t>
            </w:r>
          </w:p>
        </w:tc>
        <w:tc>
          <w:tcPr>
            <w:tcW w:w="3300" w:type="dxa"/>
            <w:vAlign w:val="bottom"/>
            <w:gridSpan w:val="2"/>
          </w:tcPr>
          <w:p>
            <w:pPr>
              <w:ind w:left="1200"/>
              <w:spacing w:after="0"/>
              <w:rPr>
                <w:sz w:val="20"/>
                <w:szCs w:val="20"/>
                <w:color w:val="auto"/>
              </w:rPr>
            </w:pPr>
            <w:r>
              <w:rPr>
                <w:rFonts w:ascii="Arial" w:cs="Arial" w:eastAsia="Arial" w:hAnsi="Arial"/>
                <w:sz w:val="18"/>
                <w:szCs w:val="18"/>
                <w:b w:val="1"/>
                <w:bCs w:val="1"/>
                <w:color w:val="auto"/>
              </w:rPr>
              <w:t>Abstentions</w:t>
            </w:r>
          </w:p>
        </w:tc>
      </w:tr>
      <w:tr>
        <w:trPr>
          <w:trHeight w:val="230"/>
        </w:trPr>
        <w:tc>
          <w:tcPr>
            <w:tcW w:w="3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10,653,632</w:t>
            </w:r>
          </w:p>
        </w:tc>
        <w:tc>
          <w:tcPr>
            <w:tcW w:w="2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135,639</w:t>
            </w:r>
          </w:p>
        </w:tc>
        <w:tc>
          <w:tcPr>
            <w:tcW w:w="2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119,424</w:t>
            </w:r>
          </w:p>
        </w:tc>
        <w:tc>
          <w:tcPr>
            <w:tcW w:w="20" w:type="dxa"/>
            <w:vAlign w:val="bottom"/>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2014 Omnibus Stock Ownership Plan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Amendment to the Company’s 2014 Omnibus Stock Ownership Plan, as amended (the “Amendment”) was approved by the Company’s stockholders at the annual meeting. The Amendment increased the shares authorized to be issued thereunder from 1,383,334 by 6,616,666 shares to a total of 8,000,000 shares. The foregoing description of the Amendment is qualified in its entirety by reference to the Amendment filed as Exhibit 4.4 to this Current Report on Form 8-K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17, 2018, the Company issued a press release announcing the closing of the Merger and the Financing, the name change of the Company and the new trading symbol. The press release attached as Exhibit 99.1 to this Current Report on Form 8-K and the contents of the press release are hereby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financial statements required by this Item 9.01(a) will be filed by amendment to this Current Report on Form 8-K not later than 71 calendar days after the date on which this Current Report on Form 8-K is required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pro forma financial information required by this Item 9.01(b) will be filed by amendment to this Current Report on Form 8-K not later than 71 calendar days after the date on which this Current Report on Form 8-K is required to be filed.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40" w:type="dxa"/>
            <w:vAlign w:val="bottom"/>
            <w:gridSpan w:val="13"/>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17">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700" w:type="dxa"/>
            <w:vAlign w:val="bottom"/>
            <w:tcBorders>
              <w:top w:val="single" w:sz="8" w:color="auto"/>
              <w:bottom w:val="single" w:sz="8" w:color="0000EE"/>
            </w:tcBorders>
            <w:gridSpan w:val="17"/>
          </w:tcPr>
          <w:p>
            <w:pPr>
              <w:spacing w:after="0" w:line="170"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Agreement and Plan of Merger and Reorganization, dated as of May 15, 2018 (incorporated by reference as Annex A to the Definitive</w:t>
              </w:r>
            </w:hyperlink>
          </w:p>
        </w:tc>
        <w:tc>
          <w:tcPr>
            <w:tcW w:w="340" w:type="dxa"/>
            <w:vAlign w:val="bottom"/>
            <w:tcBorders>
              <w:top w:val="single" w:sz="8" w:color="auto"/>
            </w:tcBorders>
            <w:gridSpan w:val="4"/>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Proxy Statement filed on September 14, 2018).</w:t>
              </w:r>
            </w:hyperlink>
          </w:p>
        </w:tc>
        <w:tc>
          <w:tcPr>
            <w:tcW w:w="6640" w:type="dxa"/>
            <w:vAlign w:val="bottom"/>
            <w:gridSpan w:val="13"/>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Certificate of Amendment filed in Nevada to increase authorized shares and name change.</w:t>
              </w:r>
            </w:hyperlink>
          </w:p>
        </w:tc>
      </w:tr>
      <w:tr>
        <w:trPr>
          <w:trHeight w:val="412"/>
        </w:trPr>
        <w:tc>
          <w:tcPr>
            <w:tcW w:w="240" w:type="dxa"/>
            <w:vAlign w:val="bottom"/>
            <w:tcBorders>
              <w:top w:val="single" w:sz="8" w:color="0000EE"/>
            </w:tcBorders>
            <w:gridSpan w:val="2"/>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Borders>
              <w:top w:val="single" w:sz="8" w:color="0000EE"/>
            </w:tcBorders>
            <w:gridSpan w:val="1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Articles of Conversion (Nevada).</w:t>
              </w:r>
            </w:hyperlink>
          </w:p>
        </w:tc>
        <w:tc>
          <w:tcPr>
            <w:tcW w:w="3540" w:type="dxa"/>
            <w:vAlign w:val="bottom"/>
            <w:gridSpan w:val="9"/>
          </w:tcPr>
          <w:p>
            <w:pPr>
              <w:spacing w:after="0"/>
              <w:rPr>
                <w:sz w:val="24"/>
                <w:szCs w:val="24"/>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Certificate of Conversion (Delaware).</w:t>
              </w:r>
            </w:hyperlink>
          </w:p>
        </w:tc>
        <w:tc>
          <w:tcPr>
            <w:tcW w:w="7300" w:type="dxa"/>
            <w:vAlign w:val="bottom"/>
            <w:gridSpan w:val="16"/>
          </w:tcPr>
          <w:p>
            <w:pPr>
              <w:spacing w:after="0"/>
              <w:rPr>
                <w:sz w:val="24"/>
                <w:szCs w:val="24"/>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Certificate of Incorporation (Delaware).</w:t>
              </w:r>
            </w:hyperlink>
          </w:p>
        </w:tc>
      </w:tr>
      <w:tr>
        <w:trPr>
          <w:trHeight w:val="412"/>
        </w:trPr>
        <w:tc>
          <w:tcPr>
            <w:tcW w:w="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Certificate of Merger (Delaware).</w:t>
              </w:r>
            </w:hyperlink>
          </w:p>
        </w:tc>
        <w:tc>
          <w:tcPr>
            <w:tcW w:w="440" w:type="dxa"/>
            <w:vAlign w:val="bottom"/>
            <w:tcBorders>
              <w:top w:val="single" w:sz="8" w:color="0000EE"/>
            </w:tcBorders>
            <w:gridSpan w:val="4"/>
          </w:tcPr>
          <w:p>
            <w:pPr>
              <w:spacing w:after="0"/>
              <w:rPr>
                <w:sz w:val="24"/>
                <w:szCs w:val="24"/>
                <w:color w:val="auto"/>
              </w:rPr>
            </w:pPr>
          </w:p>
        </w:tc>
        <w:tc>
          <w:tcPr>
            <w:tcW w:w="7160" w:type="dxa"/>
            <w:vAlign w:val="bottom"/>
            <w:gridSpan w:val="14"/>
          </w:tcPr>
          <w:p>
            <w:pPr>
              <w:spacing w:after="0"/>
              <w:rPr>
                <w:sz w:val="24"/>
                <w:szCs w:val="24"/>
                <w:color w:val="auto"/>
              </w:rPr>
            </w:pPr>
          </w:p>
        </w:tc>
      </w:tr>
      <w:tr>
        <w:trPr>
          <w:trHeight w:val="41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Bylaws of Marker Therapeutics, Inc.</w:t>
              </w:r>
            </w:hyperlink>
          </w:p>
        </w:tc>
        <w:tc>
          <w:tcPr>
            <w:tcW w:w="7380" w:type="dxa"/>
            <w:vAlign w:val="bottom"/>
            <w:gridSpan w:val="17"/>
          </w:tcPr>
          <w:p>
            <w:pPr>
              <w:spacing w:after="0"/>
              <w:rPr>
                <w:sz w:val="24"/>
                <w:szCs w:val="24"/>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Voting and Lock-Up Agreement between Marker Therapeutics, Inc. and TapImmune stockholders party thereto (incorporated by reference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as Annex D-1 to the Definitive Proxy Statement filed on September 14, 2018).</w:t>
              </w:r>
            </w:hyperlink>
          </w:p>
        </w:tc>
        <w:tc>
          <w:tcPr>
            <w:tcW w:w="60" w:type="dxa"/>
            <w:vAlign w:val="bottom"/>
            <w:gridSpan w:val="2"/>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Voting and Lock-Up Agreement between TapImmune Inc. and Marker stockholders party thereto (incorporated by reference as Annex D-2</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to the Definitive Proxy Statement filed on September 14, 2018).</w:t>
              </w:r>
            </w:hyperlink>
          </w:p>
        </w:tc>
        <w:tc>
          <w:tcPr>
            <w:tcW w:w="538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2014 Omnibus Stock Ownership Plan, as amended through August 29, 2017 (incorporated by reference as Exhibit 4.1 to the Form S-8</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Registration Statement (No. 333-223900) filed on March 3, 2018</w:t>
              </w:r>
            </w:hyperlink>
          </w:p>
        </w:tc>
        <w:tc>
          <w:tcPr>
            <w:tcW w:w="4980" w:type="dxa"/>
            <w:vAlign w:val="bottom"/>
            <w:tcBorders>
              <w:top w:val="single" w:sz="8" w:color="0000EE"/>
            </w:tcBorders>
            <w:gridSpan w:val="6"/>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Amendment to the 2014 Omnibus Stock Ownership Plan, as amended through August 29, 2017.</w:t>
              </w:r>
            </w:hyperlink>
          </w:p>
        </w:tc>
        <w:tc>
          <w:tcPr>
            <w:tcW w:w="3100" w:type="dxa"/>
            <w:vAlign w:val="bottom"/>
            <w:gridSpan w:val="7"/>
          </w:tcPr>
          <w:p>
            <w:pPr>
              <w:spacing w:after="0"/>
              <w:rPr>
                <w:sz w:val="24"/>
                <w:szCs w:val="24"/>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Securities Purchase Agreement (incorporated by reference as Exhibit 10.1 to the Form 8-K filed on June 8, 2018).</w:t>
              </w:r>
            </w:hyperlink>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r:id="rId1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w w:val="92"/>
              </w:rPr>
            </w:pPr>
            <w:hyperlink r:id="rId17">
              <w:r>
                <w:rPr>
                  <w:rFonts w:ascii="Arial" w:cs="Arial" w:eastAsia="Arial" w:hAnsi="Arial"/>
                  <w:sz w:val="18"/>
                  <w:szCs w:val="18"/>
                  <w:color w:val="0000EE"/>
                  <w:w w:val="92"/>
                </w:rPr>
                <w:t>Form of Registration Rights Agreement (incorporated by reference as Annex E to the Definitive Proxy Statement filed on September 14,</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2018).</w:t>
              </w:r>
            </w:hyperlink>
          </w:p>
        </w:tc>
        <w:tc>
          <w:tcPr>
            <w:tcW w:w="1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w w:val="85"/>
              </w:rPr>
            </w:pPr>
            <w:hyperlink w:anchor="page8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Board Observer and Director Nomination Agreement with New Enterprise Associates, Inc.</w:t>
              </w:r>
            </w:hyperlink>
          </w:p>
        </w:tc>
      </w:tr>
      <w:tr>
        <w:trPr>
          <w:trHeight w:val="412"/>
        </w:trPr>
        <w:tc>
          <w:tcPr>
            <w:tcW w:w="320" w:type="dxa"/>
            <w:vAlign w:val="bottom"/>
            <w:tcBorders>
              <w:top w:val="single" w:sz="8" w:color="0000EE"/>
            </w:tcBorders>
            <w:gridSpan w:val="3"/>
          </w:tcPr>
          <w:p>
            <w:pPr>
              <w:spacing w:after="0"/>
              <w:rPr>
                <w:rFonts w:ascii="Arial" w:cs="Arial" w:eastAsia="Arial" w:hAnsi="Arial"/>
                <w:sz w:val="18"/>
                <w:szCs w:val="18"/>
                <w:color w:val="0000EE"/>
                <w:w w:val="85"/>
              </w:rPr>
            </w:pPr>
            <w:hyperlink w:anchor="page10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top w:val="single" w:sz="8" w:color="0000EE"/>
            </w:tcBorders>
            <w:gridSpan w:val="1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Press Release dated October 17, 2018.</w:t>
              </w:r>
            </w:hyperlink>
          </w:p>
        </w:tc>
        <w:tc>
          <w:tcPr>
            <w:tcW w:w="3480" w:type="dxa"/>
            <w:vAlign w:val="bottom"/>
            <w:gridSpan w:val="8"/>
          </w:tcPr>
          <w:p>
            <w:pPr>
              <w:spacing w:after="0"/>
              <w:rPr>
                <w:sz w:val="24"/>
                <w:szCs w:val="24"/>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9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b w:val="1"/>
                <w:bCs w:val="1"/>
                <w:color w:val="auto"/>
              </w:rPr>
              <w:t>Date: October 17, 2018</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Loiacono</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07" w:lineRule="exact"/>
        <w:rPr>
          <w:sz w:val="20"/>
          <w:szCs w:val="20"/>
          <w:color w:val="auto"/>
        </w:rPr>
      </w:pPr>
    </w:p>
    <w:p>
      <w:pPr>
        <w:ind w:left="660" w:right="9100" w:hanging="652"/>
        <w:spacing w:after="0" w:line="56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Name of corporation: </w:t>
      </w:r>
      <w:r>
        <w:rPr>
          <w:rFonts w:ascii="Arial" w:cs="Arial" w:eastAsia="Arial" w:hAnsi="Arial"/>
          <w:sz w:val="16"/>
          <w:szCs w:val="16"/>
          <w:color w:val="auto"/>
        </w:rPr>
        <w:t>TapImmune Inc.</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The articles have been amended as follows: (provide article numbers, if available)</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The name of the Corporation is hereby amended to “Marker Therapeutics, Inc.”</w:t>
      </w:r>
    </w:p>
    <w:p>
      <w:pPr>
        <w:spacing w:after="0" w:line="225" w:lineRule="exact"/>
        <w:rPr>
          <w:rFonts w:ascii="Arial" w:cs="Arial" w:eastAsia="Arial" w:hAnsi="Arial"/>
          <w:sz w:val="18"/>
          <w:szCs w:val="18"/>
          <w:color w:val="auto"/>
        </w:rPr>
      </w:pPr>
    </w:p>
    <w:p>
      <w:pPr>
        <w:ind w:left="660" w:right="300" w:hanging="4"/>
        <w:spacing w:after="0" w:line="277" w:lineRule="auto"/>
        <w:tabs>
          <w:tab w:leader="none" w:pos="84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number of authorized shares is 150,000,000 shares of common stock and 5,000,000 shares of preferred stock (the terms of which are to be determined at the sole discretion of the Board of Directors), each class with a par value of $0.001.</w:t>
      </w:r>
    </w:p>
    <w:p>
      <w:pPr>
        <w:spacing w:after="0" w:line="170" w:lineRule="exact"/>
        <w:rPr>
          <w:rFonts w:ascii="Arial" w:cs="Arial" w:eastAsia="Arial" w:hAnsi="Arial"/>
          <w:sz w:val="18"/>
          <w:szCs w:val="18"/>
          <w:color w:val="auto"/>
        </w:rPr>
      </w:pPr>
    </w:p>
    <w:p>
      <w:pPr>
        <w:ind w:right="40" w:firstLine="8"/>
        <w:spacing w:after="0" w:line="264" w:lineRule="auto"/>
        <w:tabs>
          <w:tab w:leader="none" w:pos="6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7,957,520</w:t>
      </w:r>
    </w:p>
    <w:p>
      <w:pPr>
        <w:spacing w:after="0" w:line="181" w:lineRule="exact"/>
        <w:rPr>
          <w:sz w:val="20"/>
          <w:szCs w:val="20"/>
          <w:color w:val="auto"/>
        </w:rPr>
      </w:pPr>
    </w:p>
    <w:p>
      <w:pPr>
        <w:spacing w:after="0"/>
        <w:tabs>
          <w:tab w:leader="none" w:pos="640" w:val="left"/>
          <w:tab w:leader="none" w:pos="5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Effective date and time of filing: (optional)  Date: 10/17/2018</w:t>
      </w:r>
      <w:r>
        <w:rPr>
          <w:sz w:val="20"/>
          <w:szCs w:val="20"/>
          <w:color w:val="auto"/>
        </w:rPr>
        <w:tab/>
      </w:r>
      <w:r>
        <w:rPr>
          <w:rFonts w:ascii="Arial" w:cs="Arial" w:eastAsia="Arial" w:hAnsi="Arial"/>
          <w:sz w:val="16"/>
          <w:szCs w:val="16"/>
          <w:color w:val="auto"/>
        </w:rPr>
        <w:t>Time: 0:01 am</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(must not be later than 90 days after the certificate if filed)</w:t>
      </w:r>
    </w:p>
    <w:p>
      <w:pPr>
        <w:spacing w:after="0" w:line="2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/s/Peter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any proposed amendment would alter or change any preference or any relative or other right given to any class or series of outstanding shares, then the amendment must be approved by the vote, in addition to the affirmative vote otherwise required, of the holders of shares representing a majority of the voting power of each class or series affected by the amendment regardless to limitations or restrictions on the voting power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IMPORTANT: Failure to include any of the above information and submit with the proper fees may cause this filing to be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3.2</w:t>
      </w:r>
    </w:p>
    <w:p>
      <w:pPr>
        <w:spacing w:after="0" w:line="24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009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0090" cy="71183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202 North Carson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Carson City, Nevada 89701-4201</w:t>
      </w:r>
    </w:p>
    <w:p>
      <w:pPr>
        <w:spacing w:after="0" w:line="9" w:lineRule="exact"/>
        <w:rPr>
          <w:sz w:val="20"/>
          <w:szCs w:val="20"/>
          <w:color w:val="auto"/>
        </w:rPr>
      </w:pPr>
    </w:p>
    <w:p>
      <w:pPr>
        <w:ind w:left="1720" w:right="7820" w:firstLine="3"/>
        <w:spacing w:after="0" w:line="323" w:lineRule="auto"/>
        <w:tabs>
          <w:tab w:leader="none" w:pos="215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684-5708 Website: </w:t>
      </w:r>
      <w:r>
        <w:rPr>
          <w:rFonts w:ascii="Arial" w:cs="Arial" w:eastAsia="Arial" w:hAnsi="Arial"/>
          <w:sz w:val="16"/>
          <w:szCs w:val="16"/>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90703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907030" cy="600075"/>
                    </a:xfrm>
                    <a:prstGeom prst="rect">
                      <a:avLst/>
                    </a:prstGeom>
                    <a:noFill/>
                  </pic:spPr>
                </pic:pic>
              </a:graphicData>
            </a:graphic>
          </wp:anchor>
        </w:drawing>
      </w:r>
    </w:p>
    <w:p>
      <w:pPr>
        <w:spacing w:after="0" w:line="227" w:lineRule="exact"/>
        <w:rPr>
          <w:sz w:val="20"/>
          <w:szCs w:val="20"/>
          <w:color w:val="auto"/>
        </w:rPr>
      </w:pPr>
    </w:p>
    <w:p>
      <w:pPr>
        <w:jc w:val="center"/>
        <w:ind w:right="6820"/>
        <w:spacing w:after="0"/>
        <w:rPr>
          <w:sz w:val="20"/>
          <w:szCs w:val="20"/>
          <w:color w:val="auto"/>
        </w:rPr>
      </w:pPr>
      <w:r>
        <w:rPr>
          <w:rFonts w:ascii="Arial" w:cs="Arial" w:eastAsia="Arial" w:hAnsi="Arial"/>
          <w:sz w:val="22"/>
          <w:szCs w:val="22"/>
          <w:b w:val="1"/>
          <w:bCs w:val="1"/>
          <w:color w:val="auto"/>
        </w:rPr>
        <w:t>Articles of Conversion</w:t>
      </w:r>
    </w:p>
    <w:p>
      <w:pPr>
        <w:spacing w:after="0" w:line="19"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(PURSUANT TO NRS 92A.205)</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Page 1</w:t>
      </w:r>
    </w:p>
    <w:p>
      <w:pPr>
        <w:spacing w:after="0" w:line="31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USE BLACK INK ONLY - DO NOT HIGHLIGHT</w:t>
      </w:r>
      <w:r>
        <w:rPr>
          <w:sz w:val="20"/>
          <w:szCs w:val="20"/>
          <w:color w:val="auto"/>
        </w:rPr>
        <w:tab/>
      </w:r>
      <w:r>
        <w:rPr>
          <w:rFonts w:ascii="Arial" w:cs="Arial" w:eastAsia="Arial" w:hAnsi="Arial"/>
          <w:sz w:val="16"/>
          <w:szCs w:val="16"/>
          <w:color w:val="auto"/>
        </w:rPr>
        <w:t>ABOVE SPACE IS FOR OFFICE USE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PLEASE NOTE: The charter document for the resulting entity </w:t>
      </w:r>
      <w:r>
        <w:rPr>
          <w:rFonts w:ascii="Arial" w:cs="Arial" w:eastAsia="Arial" w:hAnsi="Arial"/>
          <w:sz w:val="18"/>
          <w:szCs w:val="18"/>
          <w:b w:val="1"/>
          <w:bCs w:val="1"/>
          <w:i w:val="1"/>
          <w:iCs w:val="1"/>
          <w:color w:val="auto"/>
        </w:rPr>
        <w:t>must</w:t>
      </w:r>
      <w:r>
        <w:rPr>
          <w:rFonts w:ascii="Arial" w:cs="Arial" w:eastAsia="Arial" w:hAnsi="Arial"/>
          <w:sz w:val="18"/>
          <w:szCs w:val="18"/>
          <w:b w:val="1"/>
          <w:bCs w:val="1"/>
          <w:color w:val="auto"/>
        </w:rPr>
        <w:t xml:space="preserve"> be submitted/filed simultaneously with the articles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Conversion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92A.205)</w:t>
      </w:r>
    </w:p>
    <w:p>
      <w:pPr>
        <w:spacing w:after="0" w:line="20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jurisdiction of organization of constituent entity and resulting entity: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Name of constituent entity</w:t>
      </w:r>
    </w:p>
    <w:p>
      <w:pPr>
        <w:sectPr>
          <w:pgSz w:w="11900" w:h="16838" w:orient="portrait"/>
          <w:cols w:equalWidth="0" w:num="1">
            <w:col w:w="11420"/>
          </w:cols>
          <w:pgMar w:left="240" w:top="355" w:right="23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Jurisdiction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 type</w:t>
      </w:r>
    </w:p>
    <w:p>
      <w:pPr>
        <w:spacing w:after="0" w:line="200" w:lineRule="exact"/>
        <w:rPr>
          <w:sz w:val="20"/>
          <w:szCs w:val="20"/>
          <w:color w:val="auto"/>
        </w:rPr>
      </w:pPr>
    </w:p>
    <w:p>
      <w:pPr>
        <w:sectPr>
          <w:pgSz w:w="11900" w:h="16838" w:orient="portrait"/>
          <w:cols w:equalWidth="0" w:num="2">
            <w:col w:w="4820" w:space="720"/>
            <w:col w:w="5880"/>
          </w:cols>
          <w:pgMar w:left="240" w:top="355" w:right="239" w:bottom="1440" w:gutter="0" w:footer="0" w:header="0"/>
          <w:type w:val="continuous"/>
        </w:sectPr>
      </w:pPr>
    </w:p>
    <w:p>
      <w:pPr>
        <w:spacing w:after="0" w:line="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Marker Therapeutics, Inc.</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Name of resulting entity</w:t>
      </w:r>
    </w:p>
    <w:p>
      <w:pPr>
        <w:sectPr>
          <w:pgSz w:w="11900" w:h="16838" w:orient="portrait"/>
          <w:cols w:equalWidth="0" w:num="1">
            <w:col w:w="11420"/>
          </w:cols>
          <w:pgMar w:left="240" w:top="355" w:right="239" w:bottom="1440" w:gutter="0" w:footer="0" w:header="0"/>
          <w:type w:val="continuous"/>
        </w:sectPr>
      </w:pP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Jurisdiction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Entity type *</w:t>
      </w:r>
    </w:p>
    <w:p>
      <w:pPr>
        <w:spacing w:after="0" w:line="200" w:lineRule="exact"/>
        <w:rPr>
          <w:sz w:val="20"/>
          <w:szCs w:val="20"/>
          <w:color w:val="auto"/>
        </w:rPr>
      </w:pPr>
    </w:p>
    <w:p>
      <w:pPr>
        <w:sectPr>
          <w:pgSz w:w="11900" w:h="16838" w:orient="portrait"/>
          <w:cols w:equalWidth="0" w:num="2">
            <w:col w:w="4820" w:space="720"/>
            <w:col w:w="5880"/>
          </w:cols>
          <w:pgMar w:left="240" w:top="355" w:right="239" w:bottom="1440" w:gutter="0" w:footer="0" w:header="0"/>
          <w:type w:val="continuous"/>
        </w:sectPr>
      </w:pPr>
    </w:p>
    <w:p>
      <w:pPr>
        <w:spacing w:after="0" w:line="18" w:lineRule="exact"/>
        <w:rPr>
          <w:sz w:val="20"/>
          <w:szCs w:val="20"/>
          <w:color w:val="auto"/>
        </w:rPr>
      </w:pPr>
    </w:p>
    <w:p>
      <w:pPr>
        <w:ind w:left="980" w:hanging="324"/>
        <w:spacing w:after="0" w:line="282" w:lineRule="auto"/>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 plan of conversion has been adopted by the constituent entity in compliance with the law of the jurisdiction governing the constituent entity.</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Location of plan of conversion: (check one)</w:t>
      </w:r>
    </w:p>
    <w:p>
      <w:pPr>
        <w:spacing w:after="0" w:line="225" w:lineRule="exact"/>
        <w:rPr>
          <w:rFonts w:ascii="Arial" w:cs="Arial" w:eastAsia="Arial" w:hAnsi="Arial"/>
          <w:sz w:val="18"/>
          <w:szCs w:val="18"/>
          <w:b w:val="1"/>
          <w:bCs w:val="1"/>
          <w:color w:val="auto"/>
        </w:rPr>
      </w:pPr>
    </w:p>
    <w:p>
      <w:pPr>
        <w:ind w:left="1640" w:hanging="335"/>
        <w:spacing w:after="0"/>
        <w:tabs>
          <w:tab w:leader="none" w:pos="1640" w:val="left"/>
        </w:tabs>
        <w:numPr>
          <w:ilvl w:val="1"/>
          <w:numId w:val="10"/>
        </w:numPr>
        <w:rPr>
          <w:rFonts w:ascii="MS PGothic" w:cs="MS PGothic" w:eastAsia="MS PGothic" w:hAnsi="MS PGothic"/>
          <w:sz w:val="18"/>
          <w:szCs w:val="18"/>
          <w:color w:val="auto"/>
        </w:rPr>
      </w:pPr>
      <w:r>
        <w:rPr>
          <w:rFonts w:ascii="Arial" w:cs="Arial" w:eastAsia="Arial" w:hAnsi="Arial"/>
          <w:sz w:val="18"/>
          <w:szCs w:val="18"/>
          <w:b w:val="1"/>
          <w:bCs w:val="1"/>
          <w:color w:val="auto"/>
        </w:rPr>
        <w:t>The entire plan of conversion is attached to these articles.</w:t>
      </w:r>
    </w:p>
    <w:p>
      <w:pPr>
        <w:spacing w:after="0" w:line="225" w:lineRule="exact"/>
        <w:rPr>
          <w:sz w:val="20"/>
          <w:szCs w:val="20"/>
          <w:color w:val="auto"/>
        </w:rPr>
      </w:pPr>
    </w:p>
    <w:p>
      <w:pPr>
        <w:ind w:left="1640" w:hanging="335"/>
        <w:spacing w:after="0"/>
        <w:tabs>
          <w:tab w:leader="none" w:pos="1640" w:val="left"/>
        </w:tabs>
        <w:numPr>
          <w:ilvl w:val="1"/>
          <w:numId w:val="11"/>
        </w:numPr>
        <w:rPr>
          <w:rFonts w:ascii="MS PGothic" w:cs="MS PGothic" w:eastAsia="MS PGothic" w:hAnsi="MS PGothic"/>
          <w:sz w:val="16"/>
          <w:szCs w:val="16"/>
          <w:color w:val="auto"/>
        </w:rPr>
      </w:pPr>
      <w:r>
        <w:rPr>
          <w:rFonts w:ascii="Arial" w:cs="Arial" w:eastAsia="Arial" w:hAnsi="Arial"/>
          <w:sz w:val="16"/>
          <w:szCs w:val="16"/>
          <w:b w:val="1"/>
          <w:bCs w:val="1"/>
          <w:color w:val="auto"/>
        </w:rPr>
        <w:t>The complete executed plan of conversion is on file at the registered office or principal place of business of the resulting entity.</w:t>
      </w:r>
    </w:p>
    <w:p>
      <w:pPr>
        <w:spacing w:after="0" w:line="248" w:lineRule="exact"/>
        <w:rPr>
          <w:rFonts w:ascii="MS PGothic" w:cs="MS PGothic" w:eastAsia="MS PGothic" w:hAnsi="MS PGothic"/>
          <w:sz w:val="16"/>
          <w:szCs w:val="16"/>
          <w:color w:val="auto"/>
        </w:rPr>
      </w:pPr>
    </w:p>
    <w:p>
      <w:pPr>
        <w:ind w:left="1300" w:firstLine="5"/>
        <w:spacing w:after="0" w:line="282" w:lineRule="auto"/>
        <w:tabs>
          <w:tab w:leader="none" w:pos="1657" w:val="left"/>
        </w:tabs>
        <w:numPr>
          <w:ilvl w:val="1"/>
          <w:numId w:val="1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The complete executed plan of conversion for the resulting domestic limited </w:t>
      </w:r>
      <w:r>
        <w:rPr>
          <w:rFonts w:ascii="Arial" w:cs="Arial" w:eastAsia="Arial" w:hAnsi="Arial"/>
          <w:sz w:val="18"/>
          <w:szCs w:val="18"/>
          <w:b w:val="1"/>
          <w:bCs w:val="1"/>
          <w:i w:val="1"/>
          <w:iCs w:val="1"/>
          <w:color w:val="auto"/>
        </w:rPr>
        <w:t>partnership is</w:t>
      </w:r>
      <w:r>
        <w:rPr>
          <w:rFonts w:ascii="Arial" w:cs="Arial" w:eastAsia="Arial" w:hAnsi="Arial"/>
          <w:sz w:val="18"/>
          <w:szCs w:val="18"/>
          <w:b w:val="1"/>
          <w:bCs w:val="1"/>
          <w:color w:val="auto"/>
        </w:rPr>
        <w:t xml:space="preserve"> on file at the records office required by NRS 88.330.</w:t>
      </w:r>
    </w:p>
    <w:p>
      <w:pPr>
        <w:spacing w:after="0" w:line="16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   corporation, limited partnership, limited-liability limited partnership, limited-liability company or business trust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i w:val="1"/>
                <w:iCs w:val="1"/>
                <w:color w:val="auto"/>
              </w:rPr>
              <w:t>This form must be accompanied by appropriate fees.</w:t>
            </w:r>
          </w:p>
        </w:tc>
        <w:tc>
          <w:tcPr>
            <w:tcW w:w="5640" w:type="dxa"/>
            <w:vAlign w:val="bottom"/>
          </w:tcPr>
          <w:p>
            <w:pPr>
              <w:jc w:val="right"/>
              <w:spacing w:after="0"/>
              <w:rPr>
                <w:sz w:val="20"/>
                <w:szCs w:val="20"/>
                <w:color w:val="auto"/>
              </w:rPr>
            </w:pPr>
            <w:r>
              <w:rPr>
                <w:rFonts w:ascii="Arial" w:cs="Arial" w:eastAsia="Arial" w:hAnsi="Arial"/>
                <w:sz w:val="18"/>
                <w:szCs w:val="18"/>
                <w:color w:val="auto"/>
              </w:rPr>
              <w:t>Nevada Secretary of State 92A Conversion Page 1</w:t>
            </w:r>
          </w:p>
        </w:tc>
      </w:tr>
      <w:tr>
        <w:trPr>
          <w:trHeight w:val="230"/>
        </w:trPr>
        <w:tc>
          <w:tcPr>
            <w:tcW w:w="5780" w:type="dxa"/>
            <w:vAlign w:val="bottom"/>
          </w:tcPr>
          <w:p>
            <w:pPr>
              <w:spacing w:after="0"/>
              <w:rPr>
                <w:sz w:val="20"/>
                <w:szCs w:val="20"/>
                <w:color w:val="auto"/>
              </w:rPr>
            </w:pPr>
          </w:p>
        </w:tc>
        <w:tc>
          <w:tcPr>
            <w:tcW w:w="5640" w:type="dxa"/>
            <w:vAlign w:val="bottom"/>
          </w:tcPr>
          <w:p>
            <w:pPr>
              <w:jc w:val="right"/>
              <w:spacing w:after="0"/>
              <w:rPr>
                <w:sz w:val="20"/>
                <w:szCs w:val="20"/>
                <w:color w:val="auto"/>
              </w:rPr>
            </w:pPr>
            <w:r>
              <w:rPr>
                <w:rFonts w:ascii="Arial" w:cs="Arial" w:eastAsia="Arial" w:hAnsi="Arial"/>
                <w:sz w:val="18"/>
                <w:szCs w:val="18"/>
                <w:color w:val="auto"/>
              </w:rPr>
              <w:t>Revised: 1-5-15</w:t>
            </w:r>
          </w:p>
        </w:tc>
      </w:tr>
      <w:tr>
        <w:trPr>
          <w:trHeight w:val="675"/>
        </w:trPr>
        <w:tc>
          <w:tcPr>
            <w:tcW w:w="5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type w:val="continuous"/>
        </w:sectPr>
      </w:pPr>
    </w:p>
    <w:bookmarkStart w:id="10" w:name="page11"/>
    <w:bookmarkEnd w:id="10"/>
    <w:p>
      <w:pPr>
        <w:ind w:left="1720"/>
        <w:spacing w:after="0"/>
        <w:rPr>
          <w:sz w:val="20"/>
          <w:szCs w:val="20"/>
          <w:color w:val="auto"/>
        </w:rPr>
      </w:pPr>
      <w:r>
        <w:rPr>
          <w:rFonts w:ascii="Arial" w:cs="Arial" w:eastAsia="Arial" w:hAnsi="Arial"/>
          <w:sz w:val="18"/>
          <w:szCs w:val="18"/>
          <w:b w:val="1"/>
          <w:bCs w:val="1"/>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0090" cy="711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0090" cy="71183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202 North Carson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Carson City, Nevada 89701-4201</w:t>
      </w:r>
    </w:p>
    <w:p>
      <w:pPr>
        <w:spacing w:after="0" w:line="9" w:lineRule="exact"/>
        <w:rPr>
          <w:sz w:val="20"/>
          <w:szCs w:val="20"/>
          <w:color w:val="auto"/>
        </w:rPr>
      </w:pPr>
    </w:p>
    <w:p>
      <w:pPr>
        <w:ind w:left="1720" w:right="7820" w:firstLine="3"/>
        <w:spacing w:after="0" w:line="323" w:lineRule="auto"/>
        <w:tabs>
          <w:tab w:leader="none" w:pos="215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684-5708 Website: </w:t>
      </w:r>
      <w:r>
        <w:rPr>
          <w:rFonts w:ascii="Arial" w:cs="Arial" w:eastAsia="Arial" w:hAnsi="Arial"/>
          <w:sz w:val="16"/>
          <w:szCs w:val="16"/>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90703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907030" cy="600075"/>
                    </a:xfrm>
                    <a:prstGeom prst="rect">
                      <a:avLst/>
                    </a:prstGeom>
                    <a:noFill/>
                  </pic:spPr>
                </pic:pic>
              </a:graphicData>
            </a:graphic>
          </wp:anchor>
        </w:drawing>
      </w:r>
    </w:p>
    <w:p>
      <w:pPr>
        <w:spacing w:after="0" w:line="227" w:lineRule="exact"/>
        <w:rPr>
          <w:sz w:val="20"/>
          <w:szCs w:val="20"/>
          <w:color w:val="auto"/>
        </w:rPr>
      </w:pPr>
    </w:p>
    <w:p>
      <w:pPr>
        <w:jc w:val="center"/>
        <w:ind w:right="6820"/>
        <w:spacing w:after="0"/>
        <w:rPr>
          <w:sz w:val="20"/>
          <w:szCs w:val="20"/>
          <w:color w:val="auto"/>
        </w:rPr>
      </w:pPr>
      <w:r>
        <w:rPr>
          <w:rFonts w:ascii="Arial" w:cs="Arial" w:eastAsia="Arial" w:hAnsi="Arial"/>
          <w:sz w:val="22"/>
          <w:szCs w:val="22"/>
          <w:b w:val="1"/>
          <w:bCs w:val="1"/>
          <w:color w:val="auto"/>
        </w:rPr>
        <w:t>Articles of Conversion</w:t>
      </w:r>
    </w:p>
    <w:p>
      <w:pPr>
        <w:spacing w:after="0" w:line="19"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(PURSUANT TO NRS 92A.205)</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Page 2</w:t>
      </w:r>
    </w:p>
    <w:p>
      <w:pPr>
        <w:spacing w:after="0" w:line="313"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b w:val="1"/>
          <w:bCs w:val="1"/>
          <w:color w:val="auto"/>
        </w:rPr>
        <w:t>USE BLACK INK ONLY - DO NOT HIGHLIGHT</w:t>
      </w:r>
      <w:r>
        <w:rPr>
          <w:sz w:val="20"/>
          <w:szCs w:val="20"/>
          <w:color w:val="auto"/>
        </w:rPr>
        <w:tab/>
      </w:r>
      <w:r>
        <w:rPr>
          <w:rFonts w:ascii="Arial" w:cs="Arial" w:eastAsia="Arial" w:hAnsi="Arial"/>
          <w:sz w:val="17"/>
          <w:szCs w:val="17"/>
          <w:b w:val="1"/>
          <w:bCs w:val="1"/>
          <w:color w:val="auto"/>
        </w:rPr>
        <w:t>ABOVE SPACE IS FOR OFFICE USE ONLY</w:t>
      </w:r>
    </w:p>
    <w:p>
      <w:pPr>
        <w:spacing w:after="0" w:line="225" w:lineRule="exact"/>
        <w:rPr>
          <w:sz w:val="20"/>
          <w:szCs w:val="20"/>
          <w:color w:val="auto"/>
        </w:rPr>
      </w:pPr>
    </w:p>
    <w:p>
      <w:pPr>
        <w:ind w:left="980" w:right="40" w:hanging="324"/>
        <w:spacing w:after="0" w:line="282" w:lineRule="auto"/>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Forwarding address where copies of process may be sent by the Secretary of State of Nevada (if a foreign entity Is the resulting entity In the conversion):</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Hoang, Chief Executive Officer</w:t>
      </w:r>
    </w:p>
    <w:p>
      <w:pPr>
        <w:spacing w:after="0" w:line="22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Marker Therapeutics, Inc.</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time of filing: (optional) (must not be later than 90 days after the certificate is filed)</w:t>
      </w:r>
    </w:p>
    <w:p>
      <w:pPr>
        <w:spacing w:after="0" w:line="225" w:lineRule="exact"/>
        <w:rPr>
          <w:sz w:val="20"/>
          <w:szCs w:val="20"/>
          <w:color w:val="auto"/>
        </w:rPr>
      </w:pPr>
    </w:p>
    <w:p>
      <w:pPr>
        <w:ind w:left="3140"/>
        <w:spacing w:after="0"/>
        <w:tabs>
          <w:tab w:leader="none" w:pos="4200" w:val="left"/>
          <w:tab w:leader="none" w:pos="6520" w:val="left"/>
          <w:tab w:leader="none" w:pos="7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10/17/2018</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6"/>
          <w:szCs w:val="16"/>
          <w:color w:val="auto"/>
        </w:rPr>
        <w:t>0:05 am</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 must be signed by:</w:t>
      </w:r>
    </w:p>
    <w:p>
      <w:pPr>
        <w:spacing w:after="0" w:line="229" w:lineRule="exact"/>
        <w:rPr>
          <w:rFonts w:ascii="Arial" w:cs="Arial" w:eastAsia="Arial" w:hAnsi="Arial"/>
          <w:sz w:val="18"/>
          <w:szCs w:val="18"/>
          <w:b w:val="1"/>
          <w:bCs w:val="1"/>
          <w:color w:val="auto"/>
        </w:rPr>
      </w:pPr>
    </w:p>
    <w:p>
      <w:pPr>
        <w:ind w:left="980" w:right="400"/>
        <w:spacing w:after="0" w:line="259" w:lineRule="auto"/>
        <w:tabs>
          <w:tab w:leader="none" w:pos="12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constituent entity is a Nevada entity: an officer of each Nevada corporation; all general partners of each Nevada limited partnership or limited-liability limited partnership; a manager of each Nevada limited-liability company with managers or one member if there are no managers; a trustee of each Nevada business trust a managing partner of a Nevada limited-liability partnership (a.k.a. general partnership governed by NRS chapter 87).</w:t>
      </w:r>
    </w:p>
    <w:p>
      <w:pPr>
        <w:spacing w:after="0" w:line="186" w:lineRule="exact"/>
        <w:rPr>
          <w:rFonts w:ascii="Arial" w:cs="Arial" w:eastAsia="Arial" w:hAnsi="Arial"/>
          <w:sz w:val="18"/>
          <w:szCs w:val="18"/>
          <w:color w:val="auto"/>
        </w:rPr>
      </w:pPr>
    </w:p>
    <w:p>
      <w:pPr>
        <w:ind w:left="1200" w:hanging="220"/>
        <w:spacing w:after="0"/>
        <w:tabs>
          <w:tab w:leader="none" w:pos="1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constituent entity is a foreign entity: must be signed by the constituent entity in the manner provided by the law governing it.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Name of </w:t>
      </w:r>
      <w:r>
        <w:rPr>
          <w:rFonts w:ascii="Arial" w:cs="Arial" w:eastAsia="Arial" w:hAnsi="Arial"/>
          <w:sz w:val="18"/>
          <w:szCs w:val="18"/>
          <w:b w:val="1"/>
          <w:bCs w:val="1"/>
          <w:i w:val="1"/>
          <w:iCs w:val="1"/>
          <w:color w:val="auto"/>
        </w:rPr>
        <w:t>constituent</w:t>
      </w:r>
      <w:r>
        <w:rPr>
          <w:rFonts w:ascii="Arial" w:cs="Arial" w:eastAsia="Arial" w:hAnsi="Arial"/>
          <w:sz w:val="18"/>
          <w:szCs w:val="18"/>
          <w:b w:val="1"/>
          <w:bCs w:val="1"/>
          <w:color w:val="auto"/>
        </w:rPr>
        <w:t xml:space="preserve"> entity</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28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1760" w:type="dxa"/>
            <w:vAlign w:val="bottom"/>
          </w:tcPr>
          <w:p>
            <w:pPr>
              <w:ind w:left="940"/>
              <w:spacing w:after="0"/>
              <w:rPr>
                <w:sz w:val="20"/>
                <w:szCs w:val="20"/>
                <w:color w:val="auto"/>
              </w:rPr>
            </w:pPr>
            <w:r>
              <w:rPr>
                <w:rFonts w:ascii="Arial" w:cs="Arial" w:eastAsia="Arial" w:hAnsi="Arial"/>
                <w:sz w:val="18"/>
                <w:szCs w:val="18"/>
                <w:color w:val="auto"/>
                <w:w w:val="88"/>
              </w:rPr>
              <w:t>10/16/2018</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2860" w:type="dxa"/>
            <w:vAlign w:val="bottom"/>
          </w:tcPr>
          <w:p>
            <w:pPr>
              <w:ind w:left="220"/>
              <w:spacing w:after="0"/>
              <w:rPr>
                <w:sz w:val="20"/>
                <w:szCs w:val="20"/>
                <w:color w:val="auto"/>
              </w:rPr>
            </w:pPr>
            <w:r>
              <w:rPr>
                <w:rFonts w:ascii="Arial" w:cs="Arial" w:eastAsia="Arial" w:hAnsi="Arial"/>
                <w:sz w:val="18"/>
                <w:szCs w:val="18"/>
                <w:b w:val="1"/>
                <w:bCs w:val="1"/>
                <w:color w:val="auto"/>
              </w:rPr>
              <w:t>Title</w:t>
            </w:r>
          </w:p>
        </w:tc>
        <w:tc>
          <w:tcPr>
            <w:tcW w:w="1760" w:type="dxa"/>
            <w:vAlign w:val="bottom"/>
          </w:tcPr>
          <w:p>
            <w:pPr>
              <w:ind w:left="940"/>
              <w:spacing w:after="0"/>
              <w:rPr>
                <w:sz w:val="20"/>
                <w:szCs w:val="20"/>
                <w:color w:val="auto"/>
              </w:rPr>
            </w:pPr>
            <w:r>
              <w:rPr>
                <w:rFonts w:ascii="Arial" w:cs="Arial" w:eastAsia="Arial" w:hAnsi="Arial"/>
                <w:sz w:val="18"/>
                <w:szCs w:val="18"/>
                <w:b w:val="1"/>
                <w:bCs w:val="1"/>
                <w:color w:val="auto"/>
              </w:rPr>
              <w:t>Date</w:t>
            </w:r>
          </w:p>
        </w:tc>
      </w:tr>
    </w:tbl>
    <w:p>
      <w:pPr>
        <w:spacing w:after="0" w:line="183" w:lineRule="exact"/>
        <w:rPr>
          <w:sz w:val="20"/>
          <w:szCs w:val="20"/>
          <w:color w:val="auto"/>
        </w:rPr>
      </w:pPr>
    </w:p>
    <w:p>
      <w:pPr>
        <w:ind w:right="20" w:firstLine="8"/>
        <w:spacing w:after="0" w:line="312" w:lineRule="auto"/>
        <w:tabs>
          <w:tab w:leader="none" w:pos="1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Pursuant to NRS 92A.205(4) if the conversion takes effect on a later date specified in the articles of conversion pursuant to NRS 92A.240, the constituent document filed with the Secretary of State pursuant to paragraph (b) subsection 1 must state the name and the jurisdiction of the constituent entity and that the existence of the resulting entity does not begin until the later date. </w:t>
      </w:r>
      <w:r>
        <w:rPr>
          <w:rFonts w:ascii="Arial" w:cs="Arial" w:eastAsia="Arial" w:hAnsi="Arial"/>
          <w:sz w:val="16"/>
          <w:szCs w:val="16"/>
          <w:b w:val="1"/>
          <w:bCs w:val="1"/>
          <w:color w:val="auto"/>
        </w:rPr>
        <w:t>This statement must be Included within the resulting entity's articles.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FEE: $350.00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i w:val="1"/>
                <w:iCs w:val="1"/>
                <w:color w:val="auto"/>
              </w:rPr>
              <w:t>This form must be accompanied by appropriate fees.</w:t>
            </w:r>
          </w:p>
        </w:tc>
        <w:tc>
          <w:tcPr>
            <w:tcW w:w="5640" w:type="dxa"/>
            <w:vAlign w:val="bottom"/>
          </w:tcPr>
          <w:p>
            <w:pPr>
              <w:jc w:val="right"/>
              <w:spacing w:after="0"/>
              <w:rPr>
                <w:sz w:val="20"/>
                <w:szCs w:val="20"/>
                <w:color w:val="auto"/>
              </w:rPr>
            </w:pPr>
            <w:r>
              <w:rPr>
                <w:rFonts w:ascii="Arial" w:cs="Arial" w:eastAsia="Arial" w:hAnsi="Arial"/>
                <w:sz w:val="18"/>
                <w:szCs w:val="18"/>
                <w:color w:val="auto"/>
              </w:rPr>
              <w:t>Nevada Secretary of State 92A Conversion Page 2</w:t>
            </w:r>
          </w:p>
        </w:tc>
      </w:tr>
      <w:tr>
        <w:trPr>
          <w:trHeight w:val="230"/>
        </w:trPr>
        <w:tc>
          <w:tcPr>
            <w:tcW w:w="5780" w:type="dxa"/>
            <w:vAlign w:val="bottom"/>
          </w:tcPr>
          <w:p>
            <w:pPr>
              <w:spacing w:after="0"/>
              <w:rPr>
                <w:sz w:val="20"/>
                <w:szCs w:val="20"/>
                <w:color w:val="auto"/>
              </w:rPr>
            </w:pPr>
          </w:p>
        </w:tc>
        <w:tc>
          <w:tcPr>
            <w:tcW w:w="5640" w:type="dxa"/>
            <w:vAlign w:val="bottom"/>
          </w:tcPr>
          <w:p>
            <w:pPr>
              <w:jc w:val="right"/>
              <w:spacing w:after="0"/>
              <w:rPr>
                <w:sz w:val="20"/>
                <w:szCs w:val="20"/>
                <w:color w:val="auto"/>
              </w:rPr>
            </w:pPr>
            <w:r>
              <w:rPr>
                <w:rFonts w:ascii="Arial" w:cs="Arial" w:eastAsia="Arial" w:hAnsi="Arial"/>
                <w:sz w:val="18"/>
                <w:szCs w:val="18"/>
                <w:color w:val="auto"/>
              </w:rPr>
              <w:t>Revised: 1-5-15</w:t>
            </w:r>
          </w:p>
        </w:tc>
      </w:tr>
      <w:tr>
        <w:trPr>
          <w:trHeight w:val="675"/>
        </w:trPr>
        <w:tc>
          <w:tcPr>
            <w:tcW w:w="5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CONVERSION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 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 A DELAWARE CORPORATION</w:t>
      </w:r>
    </w:p>
    <w:p>
      <w:pPr>
        <w:spacing w:after="0" w:line="211"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This Plan of Conversion (this "Plan of Conversion"), dated as of October 17, 2018, provides for the conversion of Marker Therapeutics, Inc., a Nevada corporation (the "Converting Corporation"), into Marker Therapeutics, Inc., a Delaware corporation (the "Converted Corporation"), pursuant to Section 92A.120 and 92A.250 of the Nevada Revised Statutes, as amended (the "NRS"), and Section 265 of the General Corporation Law of the State of Delaware (the "DGCL").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583"/>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Converting Corporation and Marker Cell Therapy, Inc., a Delaware corporation formerly known as 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("MCT") entered into an Agreement and Plan of Merger and Reorganization dated May 15, 2018 (the "Merger Agreement"; capitalized terms used but not defined in this Plan of Conversion shall have the meanings ascribed to them in the Merger Agreement), pursuant to which (and upon the terms and subject to the conditions set forth therein), a wholly-owned subsidiary of the Converting Corporation will be merged with and into MCT, with MCT continuing as the surviving corporation and a wholly-owned subsidiary of the Converting Corporation;</w:t>
      </w:r>
    </w:p>
    <w:p>
      <w:pPr>
        <w:spacing w:after="0" w:line="184" w:lineRule="exact"/>
        <w:rPr>
          <w:sz w:val="20"/>
          <w:szCs w:val="20"/>
          <w:color w:val="auto"/>
        </w:rPr>
      </w:pPr>
    </w:p>
    <w:p>
      <w:pPr>
        <w:jc w:val="both"/>
        <w:ind w:firstLine="583"/>
        <w:spacing w:after="0" w:line="282" w:lineRule="auto"/>
        <w:rPr>
          <w:sz w:val="20"/>
          <w:szCs w:val="20"/>
          <w:color w:val="auto"/>
        </w:rPr>
      </w:pPr>
      <w:r>
        <w:rPr>
          <w:rFonts w:ascii="Arial" w:cs="Arial" w:eastAsia="Arial" w:hAnsi="Arial"/>
          <w:sz w:val="18"/>
          <w:szCs w:val="18"/>
          <w:b w:val="1"/>
          <w:bCs w:val="1"/>
          <w:color w:val="auto"/>
        </w:rPr>
        <w:t xml:space="preserve">WHEREAS, it </w:t>
      </w:r>
      <w:r>
        <w:rPr>
          <w:rFonts w:ascii="Arial" w:cs="Arial" w:eastAsia="Arial" w:hAnsi="Arial"/>
          <w:sz w:val="18"/>
          <w:szCs w:val="18"/>
          <w:color w:val="auto"/>
        </w:rPr>
        <w:t>is a condition to the closing of the transaction contemplated by the Merger Agreement that the Converting Corporation has effected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Conversion (as hereinafter defined);</w:t>
      </w:r>
    </w:p>
    <w:p>
      <w:pPr>
        <w:spacing w:after="0" w:line="162" w:lineRule="exact"/>
        <w:rPr>
          <w:sz w:val="20"/>
          <w:szCs w:val="20"/>
          <w:color w:val="auto"/>
        </w:rPr>
      </w:pPr>
    </w:p>
    <w:p>
      <w:pPr>
        <w:ind w:firstLine="583"/>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Converting Corporation intends for (i) the Conversion (as defined below) to be treated as a "reorganization" under Section 368(a)(1)</w:t>
      </w:r>
      <w:r>
        <w:rPr>
          <w:rFonts w:ascii="Arial" w:cs="Arial" w:eastAsia="Arial" w:hAnsi="Arial"/>
          <w:sz w:val="16"/>
          <w:szCs w:val="16"/>
          <w:b w:val="1"/>
          <w:bCs w:val="1"/>
          <w:color w:val="auto"/>
        </w:rPr>
        <w:t xml:space="preserve"> </w:t>
      </w:r>
      <w:r>
        <w:rPr>
          <w:rFonts w:ascii="Arial" w:cs="Arial" w:eastAsia="Arial" w:hAnsi="Arial"/>
          <w:sz w:val="16"/>
          <w:szCs w:val="16"/>
          <w:color w:val="auto"/>
        </w:rPr>
        <w:t>(F) of the Code, and (ii) this Plan of Conversion to constitute a "plan of reorganization" within the meaning of Treasury Regulation Section 1.368-2(g);</w:t>
      </w:r>
    </w:p>
    <w:p>
      <w:pPr>
        <w:spacing w:after="0" w:line="116" w:lineRule="exact"/>
        <w:rPr>
          <w:sz w:val="20"/>
          <w:szCs w:val="20"/>
          <w:color w:val="auto"/>
        </w:rPr>
      </w:pPr>
    </w:p>
    <w:p>
      <w:pPr>
        <w:jc w:val="both"/>
        <w:ind w:firstLine="58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Conversion and the form, terms and provisions of this Plan of Conversion have been authorized, approved and adopted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of the Converting Corporation;</w:t>
      </w:r>
    </w:p>
    <w:p>
      <w:pPr>
        <w:spacing w:after="0" w:line="162" w:lineRule="exact"/>
        <w:rPr>
          <w:sz w:val="20"/>
          <w:szCs w:val="20"/>
          <w:color w:val="auto"/>
        </w:rPr>
      </w:pPr>
    </w:p>
    <w:p>
      <w:pPr>
        <w:jc w:val="both"/>
        <w:ind w:firstLine="58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Converting Corporation has submitted this Plan of Conversion to the stockholders of the Converting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approval; and</w:t>
      </w:r>
    </w:p>
    <w:p>
      <w:pPr>
        <w:spacing w:after="0" w:line="162" w:lineRule="exact"/>
        <w:rPr>
          <w:sz w:val="20"/>
          <w:szCs w:val="20"/>
          <w:color w:val="auto"/>
        </w:rPr>
      </w:pPr>
    </w:p>
    <w:p>
      <w:pPr>
        <w:jc w:val="both"/>
        <w:ind w:firstLine="58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Plan has been authorized, approved and adopted by the holders of a majority of the voting power of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Converting Corporation.</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Converting Corporation hereby adopts this Plan as follows:</w:t>
      </w:r>
    </w:p>
    <w:p>
      <w:pPr>
        <w:spacing w:after="0" w:line="229" w:lineRule="exact"/>
        <w:rPr>
          <w:sz w:val="20"/>
          <w:szCs w:val="20"/>
          <w:color w:val="auto"/>
        </w:rPr>
      </w:pPr>
    </w:p>
    <w:p>
      <w:pPr>
        <w:jc w:val="both"/>
        <w:ind w:firstLine="591"/>
        <w:spacing w:after="0" w:line="255" w:lineRule="auto"/>
        <w:tabs>
          <w:tab w:leader="none" w:pos="139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Conversion; and Continuing Existence.</w:t>
      </w:r>
      <w:r>
        <w:rPr>
          <w:rFonts w:ascii="Arial" w:cs="Arial" w:eastAsia="Arial" w:hAnsi="Arial"/>
          <w:sz w:val="18"/>
          <w:szCs w:val="18"/>
          <w:color w:val="auto"/>
        </w:rPr>
        <w:t xml:space="preserve"> Immediately prior to the Effective Time on the Closing Date, in accordance with this Plan of Conversion, the DGCL and the NRS, the Converting Corporation shall convert into a Delaware corporation, with the Converted Corporation as the resulting corporation (the "Conversion"), and the existence of the Converting Corporation shall continue in the organizational form of the Converted Corporation. The Converted Corporation shall be incorporated, formed and organized as a Delaware corporation pursuant to the DGCL. Notwithstanding Section 106 of the DGCL, the existence of the Converted Corporation shall be deemed to have commenced on the date the Converting Corporation commenced its existence in the State of Nevada.</w:t>
      </w:r>
    </w:p>
    <w:p>
      <w:pPr>
        <w:spacing w:after="0" w:line="193" w:lineRule="exact"/>
        <w:rPr>
          <w:rFonts w:ascii="Arial" w:cs="Arial" w:eastAsia="Arial" w:hAnsi="Arial"/>
          <w:sz w:val="18"/>
          <w:szCs w:val="18"/>
          <w:color w:val="auto"/>
        </w:rPr>
      </w:pPr>
    </w:p>
    <w:p>
      <w:pPr>
        <w:ind w:firstLine="591"/>
        <w:spacing w:after="0" w:line="277" w:lineRule="auto"/>
        <w:tabs>
          <w:tab w:leader="none" w:pos="12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xml:space="preserve"> The Conversion is conditioned upon this Plan of Conversion being approved by the stockholders of the Converting Corporation in accordance with the requirements of the NRS and DGCL which approval has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591" w:right="20" w:firstLine="591"/>
        <w:spacing w:after="0" w:line="277" w:lineRule="auto"/>
        <w:tabs>
          <w:tab w:leader="none" w:pos="57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Filings.</w:t>
      </w:r>
      <w:r>
        <w:rPr>
          <w:rFonts w:ascii="Arial" w:cs="Arial" w:eastAsia="Arial" w:hAnsi="Arial"/>
          <w:sz w:val="18"/>
          <w:szCs w:val="18"/>
          <w:color w:val="auto"/>
        </w:rPr>
        <w:t xml:space="preserve"> Upon the terms and subject to the provisions of this Plan of Conversion, immediately prior to the Effective Time on the Closing Date, the Converting Corporation shall cause the Conversion to be consummated by:</w:t>
      </w:r>
    </w:p>
    <w:p>
      <w:pPr>
        <w:spacing w:after="0" w:line="170" w:lineRule="exact"/>
        <w:rPr>
          <w:rFonts w:ascii="Arial" w:cs="Arial" w:eastAsia="Arial" w:hAnsi="Arial"/>
          <w:sz w:val="18"/>
          <w:szCs w:val="18"/>
          <w:color w:val="auto"/>
        </w:rPr>
      </w:pPr>
    </w:p>
    <w:p>
      <w:pPr>
        <w:ind w:left="-591" w:firstLine="851"/>
        <w:spacing w:after="0" w:line="277" w:lineRule="auto"/>
        <w:tabs>
          <w:tab w:leader="none" w:pos="5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executing and filing (or causing the execution and filing of) Articles of Conversion pursuant to Sections 92A.205 and 92A.250 of the NRS,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"Articles of Conversion") with the Secretary of State of the State of Nevada;</w:t>
      </w:r>
    </w:p>
    <w:p>
      <w:pPr>
        <w:spacing w:after="0" w:line="170" w:lineRule="exact"/>
        <w:rPr>
          <w:rFonts w:ascii="Arial" w:cs="Arial" w:eastAsia="Arial" w:hAnsi="Arial"/>
          <w:sz w:val="18"/>
          <w:szCs w:val="18"/>
          <w:color w:val="auto"/>
        </w:rPr>
      </w:pPr>
    </w:p>
    <w:p>
      <w:pPr>
        <w:ind w:left="-591" w:firstLine="851"/>
        <w:spacing w:after="0" w:line="277" w:lineRule="auto"/>
        <w:tabs>
          <w:tab w:leader="none" w:pos="6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executing and filing (or causing the execution and filing of) a Certificate of Conversion pursuant to Sections 103 and 265 of the DGCL,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"Certificate of Conversion") with the Secretary of State of the State of Delaware; and</w:t>
      </w:r>
    </w:p>
    <w:p>
      <w:pPr>
        <w:spacing w:after="0" w:line="170" w:lineRule="exact"/>
        <w:rPr>
          <w:rFonts w:ascii="Arial" w:cs="Arial" w:eastAsia="Arial" w:hAnsi="Arial"/>
          <w:sz w:val="18"/>
          <w:szCs w:val="18"/>
          <w:color w:val="auto"/>
        </w:rPr>
      </w:pPr>
    </w:p>
    <w:p>
      <w:pPr>
        <w:ind w:left="-591" w:firstLine="851"/>
        <w:spacing w:after="0" w:line="277" w:lineRule="auto"/>
        <w:tabs>
          <w:tab w:leader="none" w:pos="5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executing and filing (or causing the execution and tiling of) a Certificate of incorporation of the Converted Corporation,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"Certificate of Incorporation") with the Secretary of State of the State of Delaware.</w:t>
      </w:r>
    </w:p>
    <w:p>
      <w:pPr>
        <w:spacing w:after="0" w:line="170" w:lineRule="exact"/>
        <w:rPr>
          <w:rFonts w:ascii="Arial" w:cs="Arial" w:eastAsia="Arial" w:hAnsi="Arial"/>
          <w:sz w:val="18"/>
          <w:szCs w:val="18"/>
          <w:color w:val="auto"/>
        </w:rPr>
      </w:pPr>
    </w:p>
    <w:p>
      <w:pPr>
        <w:jc w:val="both"/>
        <w:ind w:left="-591" w:firstLine="591"/>
        <w:spacing w:after="0" w:line="259"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Conversion Effective Time.</w:t>
      </w:r>
      <w:r>
        <w:rPr>
          <w:rFonts w:ascii="Arial" w:cs="Arial" w:eastAsia="Arial" w:hAnsi="Arial"/>
          <w:sz w:val="18"/>
          <w:szCs w:val="18"/>
          <w:color w:val="auto"/>
        </w:rPr>
        <w:t xml:space="preserve"> The Conversion shall become effective at the later of the time the Articles of Conversion, Certificate of Conversion and Certificate of Incorporation are duly filed or at such later date and time as MCT and the Converting Corporation shall agree in writing and shall specify in the Certificate of Conversion and the Articles of Conversion (the time the Conversion becomes effective being the "Conversion Effective Time").</w:t>
      </w:r>
    </w:p>
    <w:p>
      <w:pPr>
        <w:spacing w:after="0" w:line="186" w:lineRule="exact"/>
        <w:rPr>
          <w:rFonts w:ascii="Arial" w:cs="Arial" w:eastAsia="Arial" w:hAnsi="Arial"/>
          <w:sz w:val="18"/>
          <w:szCs w:val="18"/>
          <w:color w:val="auto"/>
        </w:rPr>
      </w:pPr>
    </w:p>
    <w:p>
      <w:pPr>
        <w:jc w:val="both"/>
        <w:ind w:left="-591" w:firstLine="591"/>
        <w:spacing w:after="0" w:line="269" w:lineRule="auto"/>
        <w:tabs>
          <w:tab w:leader="none" w:pos="57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Effect of the Conversion.</w:t>
      </w:r>
      <w:r>
        <w:rPr>
          <w:rFonts w:ascii="Arial" w:cs="Arial" w:eastAsia="Arial" w:hAnsi="Arial"/>
          <w:sz w:val="17"/>
          <w:szCs w:val="17"/>
          <w:color w:val="auto"/>
        </w:rPr>
        <w:t xml:space="preserve"> The Conversion shall have the effects set forth in this Plan of Conversion, the Merger Agreement and in the relevant provisions of the DGCL and NRS. Pursuant to Section 265(f) of the DGCL, upon the Conversion Effective Time the Converted Corporation shall for all purposes of the law of the State of Delaware be deemed to be the same entity as the Converting Corporation. Upon the Conversion Effective Time, by virtue of the Conversion, for all purposes of the laws of the State of Delaware, all of the rights, privileges and powers of the Converting Corporation, all property, real, personal and mixed, and all debts due to the Converting Corporation, as well as all other things and causes of action belonging to the Converting Corporation existing immediately prior to the Conversion Effective Time, shall remain vested in the Converted Corporation and shall be the property of the Converted Corporation and the title to any real property vested by deed or otherwise in the Converting Corporation existing immediately prior to the Conversion Effective Time shall not revert or be in any way impaired by reason of the Conversion, but shall vest in the Converted Corporation. Upon the Conversion Effective Time, all rights of creditors and all liens upon the property of the Converting Corporation shall be preserved unimpaired, limited to the property affected by such liens at the time of the Conversion becoming effective, and all debts, contracts, liabilities, obligations and duties of the Converting Corporation shall thenceforth attach to the Converted Corporation and may be enforced against it to the same extent as they had been incurred or contracted by it.</w:t>
      </w:r>
    </w:p>
    <w:p>
      <w:pPr>
        <w:spacing w:after="0" w:line="179" w:lineRule="exact"/>
        <w:rPr>
          <w:rFonts w:ascii="Arial" w:cs="Arial" w:eastAsia="Arial" w:hAnsi="Arial"/>
          <w:sz w:val="17"/>
          <w:szCs w:val="17"/>
          <w:color w:val="auto"/>
        </w:rPr>
      </w:pPr>
    </w:p>
    <w:p>
      <w:pPr>
        <w:ind w:left="-591" w:firstLine="591"/>
        <w:spacing w:after="0" w:line="308" w:lineRule="auto"/>
        <w:tabs>
          <w:tab w:leader="none" w:pos="76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Conversion of Capital Stock.</w:t>
      </w:r>
      <w:r>
        <w:rPr>
          <w:rFonts w:ascii="Arial" w:cs="Arial" w:eastAsia="Arial" w:hAnsi="Arial"/>
          <w:sz w:val="17"/>
          <w:szCs w:val="17"/>
          <w:color w:val="auto"/>
        </w:rPr>
        <w:t xml:space="preserve"> At the Conversion Effective Time, by virtue of the Conversion and without any action on the part of the Converting Corporation, Converted Corporation, the holders or any shares of capital stock of the Converting Corporation or any other person:</w:t>
      </w:r>
    </w:p>
    <w:p>
      <w:pPr>
        <w:spacing w:after="0" w:line="146" w:lineRule="exact"/>
        <w:rPr>
          <w:rFonts w:ascii="Arial" w:cs="Arial" w:eastAsia="Arial" w:hAnsi="Arial"/>
          <w:sz w:val="17"/>
          <w:szCs w:val="17"/>
          <w:color w:val="auto"/>
        </w:rPr>
      </w:pPr>
    </w:p>
    <w:p>
      <w:pPr>
        <w:jc w:val="both"/>
        <w:ind w:left="-591" w:firstLine="851"/>
        <w:spacing w:after="0" w:line="276" w:lineRule="auto"/>
        <w:tabs>
          <w:tab w:leader="none" w:pos="581"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share of Common Stock, $0.001 par value per share, of the Converting Corporation ("Converting Corporation Common Stock") issued and outstanding immediately prior to the Conversion Effective Time shall thereupon be converted into and become one validly issued, fully paid and nonassessable share of Common Stock, $0.001 par value per share, of the Converted Corporation ("Converted Corporation Common Stock"). As of the Conversion Effective Time, all such shares of Converting Corporation Common Stock shall no longer be outstanding and shall automatically be cancelled and shall cease to exist, and shall thereafter only represent shares of Converted Corporation Common Stock.</w:t>
      </w:r>
    </w:p>
    <w:p>
      <w:pPr>
        <w:spacing w:after="0" w:line="172" w:lineRule="exact"/>
        <w:rPr>
          <w:rFonts w:ascii="Arial" w:cs="Arial" w:eastAsia="Arial" w:hAnsi="Arial"/>
          <w:sz w:val="17"/>
          <w:szCs w:val="17"/>
          <w:color w:val="auto"/>
        </w:rPr>
      </w:pPr>
    </w:p>
    <w:p>
      <w:pPr>
        <w:jc w:val="both"/>
        <w:ind w:left="-591" w:firstLine="851"/>
        <w:spacing w:after="0" w:line="259" w:lineRule="auto"/>
        <w:tabs>
          <w:tab w:leader="none" w:pos="6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option to acquire shares of Converting Corporation Common Stock outstanding immediately prior to the Conversion Effective Time shall thereupon be converted into and become an equivalent option to acquire the same number of shares of Converted Corporation Common Stock, upon the same terms and conditions (including the vesting schedule and exercise price per share applicable to each such option) as were in effect immediately prior to the Conversion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419100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9"/>
          </w:cols>
          <w:pgMar w:left="831" w:top="908" w:right="239" w:bottom="1440" w:gutter="0" w:footer="0" w:header="0"/>
        </w:sectPr>
      </w:pPr>
    </w:p>
    <w:bookmarkStart w:id="13" w:name="page14"/>
    <w:bookmarkEnd w:id="13"/>
    <w:p>
      <w:pPr>
        <w:jc w:val="both"/>
        <w:ind w:firstLine="851"/>
        <w:spacing w:after="0" w:line="259" w:lineRule="auto"/>
        <w:tabs>
          <w:tab w:leader="none" w:pos="12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warrant or other right to acquire shares of Converting Corporation Common Stock outstanding immediately prior to the Conversion Effective Time shall thereupon be converted into and become an equivalent warrant or other right to acquire the same number of shares of Converted Corporation Common Stock, upon the same terms and conditions (including the vesting schedule and exercise price per share applicable to each such warrant or other right) as were in effect immediately prior to the Conversion Effective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of Preferred Stock of the Converting Corporation issued and outstanding.</w:t>
      </w:r>
    </w:p>
    <w:p>
      <w:pPr>
        <w:spacing w:after="0" w:line="225" w:lineRule="exact"/>
        <w:rPr>
          <w:sz w:val="20"/>
          <w:szCs w:val="20"/>
          <w:color w:val="auto"/>
        </w:rPr>
      </w:pPr>
    </w:p>
    <w:p>
      <w:pPr>
        <w:jc w:val="both"/>
        <w:ind w:firstLine="591"/>
        <w:spacing w:after="0" w:line="273" w:lineRule="auto"/>
        <w:tabs>
          <w:tab w:leader="none" w:pos="120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xml:space="preserve"> From and after the Conversion Effective Time, all of the outstanding certificates that prior to that time represented shares of the Converting Corporation Common Stock shall be deemed for all purposes to evidence ownership of and to represent shares of Converted Corporation Common Stock. The registered owner on the books and records of the Converted Corporation or its transfer agent of any such outstanding stock certificate shall, until such certificate shall have been surrendered for transfer or conversion or otherwise accounted for to the Converted Corporation or its transfer agent, have and be entitled to exercise any voting and other rights with respect to and to receive any dividend and other distributions upon the shares of the Converted Corporation evidenced by such outstanding certificate as provided above.</w:t>
      </w:r>
    </w:p>
    <w:p>
      <w:pPr>
        <w:spacing w:after="0" w:line="178" w:lineRule="exact"/>
        <w:rPr>
          <w:rFonts w:ascii="Arial" w:cs="Arial" w:eastAsia="Arial" w:hAnsi="Arial"/>
          <w:sz w:val="17"/>
          <w:szCs w:val="17"/>
          <w:color w:val="auto"/>
        </w:rPr>
      </w:pPr>
    </w:p>
    <w:p>
      <w:pPr>
        <w:jc w:val="both"/>
        <w:ind w:firstLine="591"/>
        <w:spacing w:after="0" w:line="257" w:lineRule="auto"/>
        <w:tabs>
          <w:tab w:leader="none" w:pos="122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Effect on employee Benefit, Equity Incentive or Other Similar Plans.</w:t>
      </w:r>
      <w:r>
        <w:rPr>
          <w:rFonts w:ascii="Arial" w:cs="Arial" w:eastAsia="Arial" w:hAnsi="Arial"/>
          <w:sz w:val="18"/>
          <w:szCs w:val="18"/>
          <w:color w:val="auto"/>
        </w:rPr>
        <w:t xml:space="preserve"> Upon the Conversion Effective Time, by virtue of the Conversion and without any further action on the part of the Converting Corporation or its stockholders, each employee benefit plan, equity incentive plan or other similar plan to which the Converting Corporation is a party shall continue to be a plan of the Converted Corporation. To the extent that any such plan provides for the issuance of Converting Corporation Common Stock, upon the Conversion Effective Time, such plan shall be deemed to provide for the issuance of Converted Corporation Common Stock.</w:t>
      </w:r>
    </w:p>
    <w:p>
      <w:pPr>
        <w:spacing w:after="0" w:line="188" w:lineRule="exact"/>
        <w:rPr>
          <w:rFonts w:ascii="Arial" w:cs="Arial" w:eastAsia="Arial" w:hAnsi="Arial"/>
          <w:sz w:val="18"/>
          <w:szCs w:val="18"/>
          <w:color w:val="auto"/>
        </w:rPr>
      </w:pPr>
    </w:p>
    <w:p>
      <w:pPr>
        <w:jc w:val="both"/>
        <w:ind w:right="20" w:firstLine="591"/>
        <w:spacing w:after="0" w:line="264" w:lineRule="auto"/>
        <w:tabs>
          <w:tab w:leader="none" w:pos="118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At the Conversion Effective Time, the bylaws of the Converted Corporation shall be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shall be the bylaws of the Converted Corporation until thereafter amended in accordance with its terms, the certificate of incorporation of the Converted Corporation and as provided by applicable law.</w:t>
      </w:r>
    </w:p>
    <w:p>
      <w:pPr>
        <w:spacing w:after="0" w:line="181" w:lineRule="exact"/>
        <w:rPr>
          <w:rFonts w:ascii="Arial" w:cs="Arial" w:eastAsia="Arial" w:hAnsi="Arial"/>
          <w:sz w:val="18"/>
          <w:szCs w:val="18"/>
          <w:color w:val="auto"/>
        </w:rPr>
      </w:pPr>
    </w:p>
    <w:p>
      <w:pPr>
        <w:ind w:right="20" w:firstLine="591"/>
        <w:spacing w:after="0" w:line="277" w:lineRule="auto"/>
        <w:tabs>
          <w:tab w:leader="none" w:pos="121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The directors and officers of the Converting Corporation immediately prior to the Conversion Effective Time shall be the directors and officers of the Converted Corporation until their successors shall have been duly elected and qualified.</w:t>
      </w:r>
    </w:p>
    <w:p>
      <w:pPr>
        <w:spacing w:after="0" w:line="170" w:lineRule="exact"/>
        <w:rPr>
          <w:rFonts w:ascii="Arial" w:cs="Arial" w:eastAsia="Arial" w:hAnsi="Arial"/>
          <w:sz w:val="18"/>
          <w:szCs w:val="18"/>
          <w:color w:val="auto"/>
        </w:rPr>
      </w:pPr>
    </w:p>
    <w:p>
      <w:pPr>
        <w:ind w:firstLine="591"/>
        <w:spacing w:after="0" w:line="277" w:lineRule="auto"/>
        <w:tabs>
          <w:tab w:leader="none" w:pos="120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Plan of Conversion shall be governed and construed in accordance with the laws of the State of Delaware and, so far as applicable, the conversion provisions of the NRS.</w:t>
      </w:r>
    </w:p>
    <w:p>
      <w:pPr>
        <w:spacing w:after="0" w:line="170" w:lineRule="exact"/>
        <w:rPr>
          <w:rFonts w:ascii="Arial" w:cs="Arial" w:eastAsia="Arial" w:hAnsi="Arial"/>
          <w:sz w:val="18"/>
          <w:szCs w:val="18"/>
          <w:color w:val="auto"/>
        </w:rPr>
      </w:pPr>
    </w:p>
    <w:p>
      <w:pPr>
        <w:jc w:val="both"/>
        <w:ind w:firstLine="591"/>
        <w:spacing w:after="0" w:line="264" w:lineRule="auto"/>
        <w:tabs>
          <w:tab w:leader="none" w:pos="132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Copy of Plan of Conversion.</w:t>
      </w:r>
      <w:r>
        <w:rPr>
          <w:rFonts w:ascii="Arial" w:cs="Arial" w:eastAsia="Arial" w:hAnsi="Arial"/>
          <w:sz w:val="18"/>
          <w:szCs w:val="18"/>
          <w:color w:val="auto"/>
        </w:rPr>
        <w:t xml:space="preserve"> After the Conversion, a copy of this Plan of Conversion will be kept on file at the offices of the Converted Corporation, and any stockholder of the Converted Corporation (or former stockholder of the Converting Corporation) may request a copy of this Plan of Conversion at no charge at any time.</w:t>
      </w:r>
    </w:p>
    <w:p>
      <w:pPr>
        <w:spacing w:after="0" w:line="181" w:lineRule="exact"/>
        <w:rPr>
          <w:rFonts w:ascii="Arial" w:cs="Arial" w:eastAsia="Arial" w:hAnsi="Arial"/>
          <w:sz w:val="18"/>
          <w:szCs w:val="18"/>
          <w:color w:val="auto"/>
        </w:rPr>
      </w:pPr>
    </w:p>
    <w:p>
      <w:pPr>
        <w:jc w:val="both"/>
        <w:ind w:firstLine="591"/>
        <w:spacing w:after="0" w:line="259"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Abandonment.</w:t>
      </w:r>
      <w:r>
        <w:rPr>
          <w:rFonts w:ascii="Arial" w:cs="Arial" w:eastAsia="Arial" w:hAnsi="Arial"/>
          <w:sz w:val="18"/>
          <w:szCs w:val="18"/>
          <w:color w:val="auto"/>
        </w:rPr>
        <w:t xml:space="preserve"> At any time before the Conversion Effective Time, this Plan of Conversion may be terminated and the Conversion may be abandoned for any reason whatsoever by the Board of Directors of the Converting Corporation (with the prior written consent of MCT), notwithstanding the approval of this Plan of Conversion by the stockholders of the Converting Corporation. In the event of termination of this Plan of Conversion, this Plan of Conversion shall become void and of no further r force or effect.</w:t>
      </w:r>
    </w:p>
    <w:p>
      <w:pPr>
        <w:spacing w:after="0" w:line="186" w:lineRule="exact"/>
        <w:rPr>
          <w:rFonts w:ascii="Arial" w:cs="Arial" w:eastAsia="Arial" w:hAnsi="Arial"/>
          <w:sz w:val="18"/>
          <w:szCs w:val="18"/>
          <w:color w:val="auto"/>
        </w:rPr>
      </w:pPr>
    </w:p>
    <w:p>
      <w:pPr>
        <w:jc w:val="both"/>
        <w:ind w:firstLine="591"/>
        <w:spacing w:after="0" w:line="264" w:lineRule="auto"/>
        <w:tabs>
          <w:tab w:leader="none" w:pos="1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 The Board of Directors of the Converting Corporation (with the prior written consent of MCT) may amend this Plan of Conversion at any time prior to the filing of a Certificate of Conversion with the Delaware Secretary of State or the Articles of Conversion with the Nevada Secretary of State.</w:t>
      </w:r>
    </w:p>
    <w:p>
      <w:pPr>
        <w:spacing w:after="0" w:line="181" w:lineRule="exact"/>
        <w:rPr>
          <w:rFonts w:ascii="Arial" w:cs="Arial" w:eastAsia="Arial" w:hAnsi="Arial"/>
          <w:sz w:val="18"/>
          <w:szCs w:val="18"/>
          <w:color w:val="auto"/>
        </w:rPr>
      </w:pPr>
    </w:p>
    <w:p>
      <w:pPr>
        <w:jc w:val="both"/>
        <w:ind w:firstLine="591"/>
        <w:spacing w:after="0" w:line="264" w:lineRule="auto"/>
        <w:tabs>
          <w:tab w:leader="none" w:pos="137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The Converting Corporation intends for (i) the Conversion (as defined below) to be treated as a "reorganization" under Section 368(a)(1)(F) of the Code, and (ii) this Plan of Conversion to constitute a "plan of reorganization" within the meaning of Treasury Regulation Section 1.368-2(g).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1240" w:hanging="649"/>
        <w:spacing w:after="0"/>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xml:space="preserve"> This Plan of Conversion shall not confer any rights or remedies upon any person other than as expressly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both"/>
        <w:ind w:firstLine="591"/>
        <w:spacing w:after="0" w:line="264" w:lineRule="auto"/>
        <w:tabs>
          <w:tab w:leader="none" w:pos="125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Plan will be interpreted in such manner as to be effective and valid under applicable law, but if any provision of this Plan is held to be prohibited by or invalid under applicable law, such provision will be ineffective only to the extent of such prohibition or invalidity, without invalidating the remainder of this Plan.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hereby causes this Plan of Conversion to be duly executed as of the date hereof.</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 a Nevada corporation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 /s/Peter L. Hoang</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t>Exhibit A to Plan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Articles of Conversion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6" w:name="page17"/>
    <w:bookmarkEnd w:id="16"/>
    <w:p>
      <w:pPr>
        <w:ind w:left="1720"/>
        <w:spacing w:after="0"/>
        <w:rPr>
          <w:sz w:val="20"/>
          <w:szCs w:val="20"/>
          <w:color w:val="auto"/>
        </w:rPr>
      </w:pPr>
      <w:r>
        <w:rPr>
          <w:rFonts w:ascii="Arial" w:cs="Arial" w:eastAsia="Arial" w:hAnsi="Arial"/>
          <w:sz w:val="18"/>
          <w:szCs w:val="18"/>
          <w:b w:val="1"/>
          <w:bCs w:val="1"/>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0090" cy="71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0090" cy="71183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202 North Carson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Carson City, Nevada 89701-4201</w:t>
      </w:r>
    </w:p>
    <w:p>
      <w:pPr>
        <w:spacing w:after="0" w:line="9" w:lineRule="exact"/>
        <w:rPr>
          <w:sz w:val="20"/>
          <w:szCs w:val="20"/>
          <w:color w:val="auto"/>
        </w:rPr>
      </w:pPr>
    </w:p>
    <w:p>
      <w:pPr>
        <w:ind w:left="1720" w:right="7820" w:firstLine="3"/>
        <w:spacing w:after="0" w:line="323" w:lineRule="auto"/>
        <w:tabs>
          <w:tab w:leader="none" w:pos="215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684-5708 Website: </w:t>
      </w:r>
      <w:r>
        <w:rPr>
          <w:rFonts w:ascii="Arial" w:cs="Arial" w:eastAsia="Arial" w:hAnsi="Arial"/>
          <w:sz w:val="16"/>
          <w:szCs w:val="16"/>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907030" cy="600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907030" cy="600075"/>
                    </a:xfrm>
                    <a:prstGeom prst="rect">
                      <a:avLst/>
                    </a:prstGeom>
                    <a:noFill/>
                  </pic:spPr>
                </pic:pic>
              </a:graphicData>
            </a:graphic>
          </wp:anchor>
        </w:drawing>
      </w:r>
    </w:p>
    <w:p>
      <w:pPr>
        <w:spacing w:after="0" w:line="227" w:lineRule="exact"/>
        <w:rPr>
          <w:sz w:val="20"/>
          <w:szCs w:val="20"/>
          <w:color w:val="auto"/>
        </w:rPr>
      </w:pPr>
    </w:p>
    <w:p>
      <w:pPr>
        <w:jc w:val="center"/>
        <w:ind w:right="6820"/>
        <w:spacing w:after="0"/>
        <w:rPr>
          <w:sz w:val="20"/>
          <w:szCs w:val="20"/>
          <w:color w:val="auto"/>
        </w:rPr>
      </w:pPr>
      <w:r>
        <w:rPr>
          <w:rFonts w:ascii="Arial" w:cs="Arial" w:eastAsia="Arial" w:hAnsi="Arial"/>
          <w:sz w:val="22"/>
          <w:szCs w:val="22"/>
          <w:b w:val="1"/>
          <w:bCs w:val="1"/>
          <w:color w:val="auto"/>
        </w:rPr>
        <w:t>Articles of Conversion</w:t>
      </w:r>
    </w:p>
    <w:p>
      <w:pPr>
        <w:spacing w:after="0" w:line="19"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(PURSUANT TO NRS 92A.205)</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Page 1</w:t>
      </w:r>
    </w:p>
    <w:p>
      <w:pPr>
        <w:spacing w:after="0" w:line="31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USE BLACK INK ONLY - DO NOT HIGHLIGHT</w:t>
      </w:r>
      <w:r>
        <w:rPr>
          <w:sz w:val="20"/>
          <w:szCs w:val="20"/>
          <w:color w:val="auto"/>
        </w:rPr>
        <w:tab/>
      </w:r>
      <w:r>
        <w:rPr>
          <w:rFonts w:ascii="Arial" w:cs="Arial" w:eastAsia="Arial" w:hAnsi="Arial"/>
          <w:sz w:val="16"/>
          <w:szCs w:val="16"/>
          <w:color w:val="auto"/>
        </w:rPr>
        <w:t>ABOVE SPACE IS FOR OFFICE USE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NOTE: The charter document for the resulting entity </w:t>
      </w:r>
      <w:r>
        <w:rPr>
          <w:rFonts w:ascii="Arial" w:cs="Arial" w:eastAsia="Arial" w:hAnsi="Arial"/>
          <w:sz w:val="18"/>
          <w:szCs w:val="18"/>
          <w:i w:val="1"/>
          <w:iCs w:val="1"/>
          <w:color w:val="auto"/>
        </w:rPr>
        <w:t>must</w:t>
      </w:r>
      <w:r>
        <w:rPr>
          <w:rFonts w:ascii="Arial" w:cs="Arial" w:eastAsia="Arial" w:hAnsi="Arial"/>
          <w:sz w:val="18"/>
          <w:szCs w:val="18"/>
          <w:color w:val="auto"/>
        </w:rPr>
        <w:t xml:space="preserve"> be submitted/filed simultaneously with the articles of conversion.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Conversion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NRS 92A.205)</w:t>
      </w:r>
    </w:p>
    <w:p>
      <w:pPr>
        <w:spacing w:after="0" w:line="20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Name and jurisdiction of organization of constituent entity and resulting entity: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Name of constituent entity</w:t>
      </w:r>
    </w:p>
    <w:p>
      <w:pPr>
        <w:sectPr>
          <w:pgSz w:w="11900" w:h="16838" w:orient="portrait"/>
          <w:cols w:equalWidth="0" w:num="1">
            <w:col w:w="11420"/>
          </w:cols>
          <w:pgMar w:left="240" w:top="904" w:right="23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Jurisdiction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Entity type *</w:t>
      </w:r>
    </w:p>
    <w:p>
      <w:pPr>
        <w:spacing w:after="0" w:line="200" w:lineRule="exact"/>
        <w:rPr>
          <w:sz w:val="20"/>
          <w:szCs w:val="20"/>
          <w:color w:val="auto"/>
        </w:rPr>
      </w:pPr>
    </w:p>
    <w:p>
      <w:pPr>
        <w:sectPr>
          <w:pgSz w:w="11900" w:h="16838" w:orient="portrait"/>
          <w:cols w:equalWidth="0" w:num="2">
            <w:col w:w="4820" w:space="720"/>
            <w:col w:w="5880"/>
          </w:cols>
          <w:pgMar w:left="240" w:top="904" w:right="239" w:bottom="1440" w:gutter="0" w:footer="0" w:header="0"/>
          <w:type w:val="continuous"/>
        </w:sectPr>
      </w:pP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Marker Therapeutics, Inc.</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Name of resulting entity</w:t>
      </w:r>
    </w:p>
    <w:p>
      <w:pPr>
        <w:sectPr>
          <w:pgSz w:w="11900" w:h="16838" w:orient="portrait"/>
          <w:cols w:equalWidth="0" w:num="1">
            <w:col w:w="11420"/>
          </w:cols>
          <w:pgMar w:left="240" w:top="904" w:right="239" w:bottom="1440" w:gutter="0" w:footer="0" w:header="0"/>
          <w:type w:val="continuous"/>
        </w:sectPr>
      </w:pP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Jurisdiction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 type</w:t>
      </w:r>
    </w:p>
    <w:p>
      <w:pPr>
        <w:spacing w:after="0" w:line="200" w:lineRule="exact"/>
        <w:rPr>
          <w:sz w:val="20"/>
          <w:szCs w:val="20"/>
          <w:color w:val="auto"/>
        </w:rPr>
      </w:pPr>
    </w:p>
    <w:p>
      <w:pPr>
        <w:sectPr>
          <w:pgSz w:w="11900" w:h="16838" w:orient="portrait"/>
          <w:cols w:equalWidth="0" w:num="2">
            <w:col w:w="4820" w:space="720"/>
            <w:col w:w="5880"/>
          </w:cols>
          <w:pgMar w:left="240" w:top="904" w:right="239" w:bottom="1440" w:gutter="0" w:footer="0" w:header="0"/>
          <w:type w:val="continuous"/>
        </w:sectPr>
      </w:pPr>
    </w:p>
    <w:p>
      <w:pPr>
        <w:spacing w:after="0" w:line="7" w:lineRule="exact"/>
        <w:rPr>
          <w:sz w:val="20"/>
          <w:szCs w:val="20"/>
          <w:color w:val="auto"/>
        </w:rPr>
      </w:pPr>
    </w:p>
    <w:p>
      <w:pPr>
        <w:ind w:left="980" w:hanging="324"/>
        <w:spacing w:after="0" w:line="282" w:lineRule="auto"/>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 plan of conversion has been adopted by the constituent entity in compliance with the law of the jurisdiction governing the constituent entity.</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Location of plan of conversion: (check one)</w:t>
      </w:r>
    </w:p>
    <w:p>
      <w:pPr>
        <w:spacing w:after="0" w:line="225" w:lineRule="exact"/>
        <w:rPr>
          <w:rFonts w:ascii="Arial" w:cs="Arial" w:eastAsia="Arial" w:hAnsi="Arial"/>
          <w:sz w:val="18"/>
          <w:szCs w:val="18"/>
          <w:b w:val="1"/>
          <w:bCs w:val="1"/>
          <w:color w:val="auto"/>
        </w:rPr>
      </w:pPr>
    </w:p>
    <w:p>
      <w:pPr>
        <w:ind w:left="1640" w:hanging="335"/>
        <w:spacing w:after="0"/>
        <w:tabs>
          <w:tab w:leader="none" w:pos="1640" w:val="left"/>
        </w:tabs>
        <w:numPr>
          <w:ilvl w:val="1"/>
          <w:numId w:val="25"/>
        </w:numPr>
        <w:rPr>
          <w:rFonts w:ascii="MS PGothic" w:cs="MS PGothic" w:eastAsia="MS PGothic" w:hAnsi="MS PGothic"/>
          <w:sz w:val="18"/>
          <w:szCs w:val="18"/>
          <w:color w:val="auto"/>
        </w:rPr>
      </w:pPr>
      <w:r>
        <w:rPr>
          <w:rFonts w:ascii="Arial" w:cs="Arial" w:eastAsia="Arial" w:hAnsi="Arial"/>
          <w:sz w:val="18"/>
          <w:szCs w:val="18"/>
          <w:b w:val="1"/>
          <w:bCs w:val="1"/>
          <w:color w:val="auto"/>
        </w:rPr>
        <w:t>The entire plan of conversion is attached to these articles.</w:t>
      </w:r>
    </w:p>
    <w:p>
      <w:pPr>
        <w:spacing w:after="0" w:line="225" w:lineRule="exact"/>
        <w:rPr>
          <w:sz w:val="20"/>
          <w:szCs w:val="20"/>
          <w:color w:val="auto"/>
        </w:rPr>
      </w:pPr>
    </w:p>
    <w:p>
      <w:pPr>
        <w:ind w:left="1640" w:hanging="335"/>
        <w:spacing w:after="0"/>
        <w:tabs>
          <w:tab w:leader="none" w:pos="1640" w:val="left"/>
        </w:tabs>
        <w:numPr>
          <w:ilvl w:val="1"/>
          <w:numId w:val="26"/>
        </w:numPr>
        <w:rPr>
          <w:rFonts w:ascii="MS PGothic" w:cs="MS PGothic" w:eastAsia="MS PGothic" w:hAnsi="MS PGothic"/>
          <w:sz w:val="16"/>
          <w:szCs w:val="16"/>
          <w:color w:val="auto"/>
        </w:rPr>
      </w:pPr>
      <w:r>
        <w:rPr>
          <w:rFonts w:ascii="Arial" w:cs="Arial" w:eastAsia="Arial" w:hAnsi="Arial"/>
          <w:sz w:val="16"/>
          <w:szCs w:val="16"/>
          <w:b w:val="1"/>
          <w:bCs w:val="1"/>
          <w:color w:val="auto"/>
        </w:rPr>
        <w:t>The complete executed plan of conversion is on file at the registered office or principal place of business of the resulting entity.</w:t>
      </w:r>
    </w:p>
    <w:p>
      <w:pPr>
        <w:spacing w:after="0" w:line="248" w:lineRule="exact"/>
        <w:rPr>
          <w:rFonts w:ascii="MS PGothic" w:cs="MS PGothic" w:eastAsia="MS PGothic" w:hAnsi="MS PGothic"/>
          <w:sz w:val="16"/>
          <w:szCs w:val="16"/>
          <w:color w:val="auto"/>
        </w:rPr>
      </w:pPr>
    </w:p>
    <w:p>
      <w:pPr>
        <w:ind w:left="1300" w:firstLine="5"/>
        <w:spacing w:after="0" w:line="282" w:lineRule="auto"/>
        <w:tabs>
          <w:tab w:leader="none" w:pos="1653" w:val="left"/>
        </w:tabs>
        <w:numPr>
          <w:ilvl w:val="1"/>
          <w:numId w:val="2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The complete executed plan of conversion for the resulting domestic limited </w:t>
      </w:r>
      <w:r>
        <w:rPr>
          <w:rFonts w:ascii="Arial" w:cs="Arial" w:eastAsia="Arial" w:hAnsi="Arial"/>
          <w:sz w:val="18"/>
          <w:szCs w:val="18"/>
          <w:b w:val="1"/>
          <w:bCs w:val="1"/>
          <w:i w:val="1"/>
          <w:iCs w:val="1"/>
          <w:color w:val="auto"/>
        </w:rPr>
        <w:t>partnership Is</w:t>
      </w:r>
      <w:r>
        <w:rPr>
          <w:rFonts w:ascii="Arial" w:cs="Arial" w:eastAsia="Arial" w:hAnsi="Arial"/>
          <w:sz w:val="18"/>
          <w:szCs w:val="18"/>
          <w:b w:val="1"/>
          <w:bCs w:val="1"/>
          <w:color w:val="auto"/>
        </w:rPr>
        <w:t xml:space="preserve"> on file at the records office required by NRS 88.330.</w:t>
      </w:r>
    </w:p>
    <w:p>
      <w:pPr>
        <w:spacing w:after="0" w:line="16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   corporation, limited partnership, limited-liability limited partnership, limited-liability company or business trust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i w:val="1"/>
                <w:iCs w:val="1"/>
                <w:color w:val="auto"/>
              </w:rPr>
              <w:t>This form must be accompanied by appropriate fees.</w:t>
            </w:r>
          </w:p>
        </w:tc>
        <w:tc>
          <w:tcPr>
            <w:tcW w:w="5640" w:type="dxa"/>
            <w:vAlign w:val="bottom"/>
          </w:tcPr>
          <w:p>
            <w:pPr>
              <w:jc w:val="right"/>
              <w:spacing w:after="0"/>
              <w:rPr>
                <w:sz w:val="20"/>
                <w:szCs w:val="20"/>
                <w:color w:val="auto"/>
              </w:rPr>
            </w:pPr>
            <w:r>
              <w:rPr>
                <w:rFonts w:ascii="Arial" w:cs="Arial" w:eastAsia="Arial" w:hAnsi="Arial"/>
                <w:sz w:val="18"/>
                <w:szCs w:val="18"/>
                <w:color w:val="auto"/>
              </w:rPr>
              <w:t>Nevada Secretary of State 92A Conversion Page 1</w:t>
            </w:r>
          </w:p>
        </w:tc>
      </w:tr>
      <w:tr>
        <w:trPr>
          <w:trHeight w:val="230"/>
        </w:trPr>
        <w:tc>
          <w:tcPr>
            <w:tcW w:w="5780" w:type="dxa"/>
            <w:vAlign w:val="bottom"/>
          </w:tcPr>
          <w:p>
            <w:pPr>
              <w:spacing w:after="0"/>
              <w:rPr>
                <w:sz w:val="20"/>
                <w:szCs w:val="20"/>
                <w:color w:val="auto"/>
              </w:rPr>
            </w:pPr>
          </w:p>
        </w:tc>
        <w:tc>
          <w:tcPr>
            <w:tcW w:w="5640" w:type="dxa"/>
            <w:vAlign w:val="bottom"/>
          </w:tcPr>
          <w:p>
            <w:pPr>
              <w:jc w:val="right"/>
              <w:spacing w:after="0"/>
              <w:rPr>
                <w:sz w:val="20"/>
                <w:szCs w:val="20"/>
                <w:color w:val="auto"/>
              </w:rPr>
            </w:pPr>
            <w:r>
              <w:rPr>
                <w:rFonts w:ascii="Arial" w:cs="Arial" w:eastAsia="Arial" w:hAnsi="Arial"/>
                <w:sz w:val="18"/>
                <w:szCs w:val="18"/>
                <w:color w:val="auto"/>
              </w:rPr>
              <w:t>Revised: 1-5-15</w:t>
            </w:r>
          </w:p>
        </w:tc>
      </w:tr>
      <w:tr>
        <w:trPr>
          <w:trHeight w:val="675"/>
        </w:trPr>
        <w:tc>
          <w:tcPr>
            <w:tcW w:w="5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17" w:name="page18"/>
    <w:bookmarkEnd w:id="17"/>
    <w:p>
      <w:pPr>
        <w:ind w:left="1720"/>
        <w:spacing w:after="0"/>
        <w:rPr>
          <w:sz w:val="20"/>
          <w:szCs w:val="20"/>
          <w:color w:val="auto"/>
        </w:rPr>
      </w:pPr>
      <w:r>
        <w:rPr>
          <w:rFonts w:ascii="Arial" w:cs="Arial" w:eastAsia="Arial" w:hAnsi="Arial"/>
          <w:sz w:val="18"/>
          <w:szCs w:val="18"/>
          <w:b w:val="1"/>
          <w:bCs w:val="1"/>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0090" cy="711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0090" cy="71183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202 North Carson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Carson City, Nevada 89701-4201</w:t>
      </w:r>
    </w:p>
    <w:p>
      <w:pPr>
        <w:spacing w:after="0" w:line="9" w:lineRule="exact"/>
        <w:rPr>
          <w:sz w:val="20"/>
          <w:szCs w:val="20"/>
          <w:color w:val="auto"/>
        </w:rPr>
      </w:pPr>
    </w:p>
    <w:p>
      <w:pPr>
        <w:ind w:left="1720" w:right="7820" w:firstLine="3"/>
        <w:spacing w:after="0" w:line="323" w:lineRule="auto"/>
        <w:tabs>
          <w:tab w:leader="none" w:pos="215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684-5708 Website: </w:t>
      </w:r>
      <w:r>
        <w:rPr>
          <w:rFonts w:ascii="Arial" w:cs="Arial" w:eastAsia="Arial" w:hAnsi="Arial"/>
          <w:sz w:val="16"/>
          <w:szCs w:val="16"/>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907030" cy="60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907030" cy="600075"/>
                    </a:xfrm>
                    <a:prstGeom prst="rect">
                      <a:avLst/>
                    </a:prstGeom>
                    <a:noFill/>
                  </pic:spPr>
                </pic:pic>
              </a:graphicData>
            </a:graphic>
          </wp:anchor>
        </w:drawing>
      </w:r>
    </w:p>
    <w:p>
      <w:pPr>
        <w:spacing w:after="0" w:line="227" w:lineRule="exact"/>
        <w:rPr>
          <w:sz w:val="20"/>
          <w:szCs w:val="20"/>
          <w:color w:val="auto"/>
        </w:rPr>
      </w:pPr>
    </w:p>
    <w:p>
      <w:pPr>
        <w:jc w:val="center"/>
        <w:ind w:right="6820"/>
        <w:spacing w:after="0"/>
        <w:rPr>
          <w:sz w:val="20"/>
          <w:szCs w:val="20"/>
          <w:color w:val="auto"/>
        </w:rPr>
      </w:pPr>
      <w:r>
        <w:rPr>
          <w:rFonts w:ascii="Arial" w:cs="Arial" w:eastAsia="Arial" w:hAnsi="Arial"/>
          <w:sz w:val="22"/>
          <w:szCs w:val="22"/>
          <w:b w:val="1"/>
          <w:bCs w:val="1"/>
          <w:color w:val="auto"/>
        </w:rPr>
        <w:t>Articles of Conversion</w:t>
      </w:r>
    </w:p>
    <w:p>
      <w:pPr>
        <w:spacing w:after="0" w:line="19"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(PURSUANT TO NRS 92A.205)</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Page 2</w:t>
      </w:r>
    </w:p>
    <w:p>
      <w:pPr>
        <w:spacing w:after="0" w:line="313"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b w:val="1"/>
          <w:bCs w:val="1"/>
          <w:color w:val="auto"/>
        </w:rPr>
        <w:t>USE BLACK INK ONLY - DO NOT HIGHLIGHT</w:t>
      </w:r>
      <w:r>
        <w:rPr>
          <w:sz w:val="20"/>
          <w:szCs w:val="20"/>
          <w:color w:val="auto"/>
        </w:rPr>
        <w:tab/>
      </w:r>
      <w:r>
        <w:rPr>
          <w:rFonts w:ascii="Arial" w:cs="Arial" w:eastAsia="Arial" w:hAnsi="Arial"/>
          <w:sz w:val="17"/>
          <w:szCs w:val="17"/>
          <w:b w:val="1"/>
          <w:bCs w:val="1"/>
          <w:color w:val="auto"/>
        </w:rPr>
        <w:t>ABOVE SPACE IS FOR OFFICE USE ONLY</w:t>
      </w:r>
    </w:p>
    <w:p>
      <w:pPr>
        <w:spacing w:after="0" w:line="225" w:lineRule="exact"/>
        <w:rPr>
          <w:sz w:val="20"/>
          <w:szCs w:val="20"/>
          <w:color w:val="auto"/>
        </w:rPr>
      </w:pPr>
    </w:p>
    <w:p>
      <w:pPr>
        <w:ind w:left="980" w:right="80" w:hanging="32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Forwarding address where copies of process may be sent by the Secretary of State of Nevada (if a foreign entity is the resulting entity in the conversion):</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Hoang, Chief Executive Officer</w:t>
      </w:r>
    </w:p>
    <w:p>
      <w:pPr>
        <w:spacing w:after="0" w:line="225" w:lineRule="exact"/>
        <w:rPr>
          <w:sz w:val="20"/>
          <w:szCs w:val="20"/>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Marker Therapeutics, Inc.</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time of filing: (optional) (must not be later than 90 days after the certificate is filed)</w:t>
      </w:r>
    </w:p>
    <w:p>
      <w:pPr>
        <w:spacing w:after="0" w:line="225" w:lineRule="exact"/>
        <w:rPr>
          <w:sz w:val="20"/>
          <w:szCs w:val="20"/>
          <w:color w:val="auto"/>
        </w:rPr>
      </w:pPr>
    </w:p>
    <w:p>
      <w:pPr>
        <w:ind w:left="3140"/>
        <w:spacing w:after="0"/>
        <w:tabs>
          <w:tab w:leader="none" w:pos="4200" w:val="left"/>
          <w:tab w:leader="none" w:pos="6520" w:val="left"/>
          <w:tab w:leader="none" w:pos="76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10/17/2018</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6"/>
          <w:szCs w:val="16"/>
          <w:color w:val="auto"/>
        </w:rPr>
        <w:t>0:05 am</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Signatures - must be signed by:</w:t>
      </w:r>
    </w:p>
    <w:p>
      <w:pPr>
        <w:spacing w:after="0" w:line="229" w:lineRule="exact"/>
        <w:rPr>
          <w:rFonts w:ascii="Arial" w:cs="Arial" w:eastAsia="Arial" w:hAnsi="Arial"/>
          <w:sz w:val="18"/>
          <w:szCs w:val="18"/>
          <w:b w:val="1"/>
          <w:bCs w:val="1"/>
          <w:color w:val="auto"/>
        </w:rPr>
      </w:pPr>
    </w:p>
    <w:p>
      <w:pPr>
        <w:ind w:left="980" w:right="400"/>
        <w:spacing w:after="0" w:line="259" w:lineRule="auto"/>
        <w:tabs>
          <w:tab w:leader="none" w:pos="12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constituent entity is a Nevada entity: an officer of each Nevada corporation; all general partners of each Nevada limited partnership or limited-liability limited partnership; a manager of each Nevada limited-liability company with managers or one member if there are no managers; a trustee of each Nevada business trust; a managing partner of a Nevada limited-liability partnership (a.k.a. general partnership governed by NRS chapter 87).</w:t>
      </w:r>
    </w:p>
    <w:p>
      <w:pPr>
        <w:spacing w:after="0" w:line="186" w:lineRule="exact"/>
        <w:rPr>
          <w:rFonts w:ascii="Arial" w:cs="Arial" w:eastAsia="Arial" w:hAnsi="Arial"/>
          <w:sz w:val="18"/>
          <w:szCs w:val="18"/>
          <w:color w:val="auto"/>
        </w:rPr>
      </w:pPr>
    </w:p>
    <w:p>
      <w:pPr>
        <w:ind w:left="1200" w:hanging="220"/>
        <w:spacing w:after="0"/>
        <w:tabs>
          <w:tab w:leader="none" w:pos="1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constituent entity is a foreign entity: must be signed by the constituent entity in the manner provided by the law governing it.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Name of </w:t>
      </w:r>
      <w:r>
        <w:rPr>
          <w:rFonts w:ascii="Arial" w:cs="Arial" w:eastAsia="Arial" w:hAnsi="Arial"/>
          <w:sz w:val="18"/>
          <w:szCs w:val="18"/>
          <w:b w:val="1"/>
          <w:bCs w:val="1"/>
          <w:i w:val="1"/>
          <w:iCs w:val="1"/>
          <w:color w:val="auto"/>
        </w:rPr>
        <w:t>constituent</w:t>
      </w:r>
      <w:r>
        <w:rPr>
          <w:rFonts w:ascii="Arial" w:cs="Arial" w:eastAsia="Arial" w:hAnsi="Arial"/>
          <w:sz w:val="18"/>
          <w:szCs w:val="18"/>
          <w:b w:val="1"/>
          <w:bCs w:val="1"/>
          <w:color w:val="auto"/>
        </w:rPr>
        <w:t xml:space="preserve"> entity</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1760" w:type="dxa"/>
            <w:vAlign w:val="bottom"/>
          </w:tcPr>
          <w:p>
            <w:pPr>
              <w:ind w:left="940"/>
              <w:spacing w:after="0"/>
              <w:rPr>
                <w:sz w:val="20"/>
                <w:szCs w:val="20"/>
                <w:color w:val="auto"/>
              </w:rPr>
            </w:pPr>
            <w:r>
              <w:rPr>
                <w:rFonts w:ascii="Arial" w:cs="Arial" w:eastAsia="Arial" w:hAnsi="Arial"/>
                <w:sz w:val="18"/>
                <w:szCs w:val="18"/>
                <w:color w:val="auto"/>
                <w:w w:val="88"/>
              </w:rPr>
              <w:t>10/16/2018</w:t>
            </w: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2860" w:type="dxa"/>
            <w:vAlign w:val="bottom"/>
          </w:tcPr>
          <w:p>
            <w:pPr>
              <w:ind w:left="220"/>
              <w:spacing w:after="0"/>
              <w:rPr>
                <w:sz w:val="20"/>
                <w:szCs w:val="20"/>
                <w:color w:val="auto"/>
              </w:rPr>
            </w:pPr>
            <w:r>
              <w:rPr>
                <w:rFonts w:ascii="Arial" w:cs="Arial" w:eastAsia="Arial" w:hAnsi="Arial"/>
                <w:sz w:val="18"/>
                <w:szCs w:val="18"/>
                <w:b w:val="1"/>
                <w:bCs w:val="1"/>
                <w:color w:val="auto"/>
              </w:rPr>
              <w:t>Title</w:t>
            </w:r>
          </w:p>
        </w:tc>
        <w:tc>
          <w:tcPr>
            <w:tcW w:w="1760" w:type="dxa"/>
            <w:vAlign w:val="bottom"/>
          </w:tcPr>
          <w:p>
            <w:pPr>
              <w:ind w:left="940"/>
              <w:spacing w:after="0"/>
              <w:rPr>
                <w:sz w:val="20"/>
                <w:szCs w:val="20"/>
                <w:color w:val="auto"/>
              </w:rPr>
            </w:pPr>
            <w:r>
              <w:rPr>
                <w:rFonts w:ascii="Arial" w:cs="Arial" w:eastAsia="Arial" w:hAnsi="Arial"/>
                <w:sz w:val="18"/>
                <w:szCs w:val="18"/>
                <w:b w:val="1"/>
                <w:bCs w:val="1"/>
                <w:color w:val="auto"/>
              </w:rPr>
              <w:t>Date</w:t>
            </w:r>
          </w:p>
        </w:tc>
      </w:tr>
    </w:tbl>
    <w:p>
      <w:pPr>
        <w:spacing w:after="0" w:line="183" w:lineRule="exact"/>
        <w:rPr>
          <w:sz w:val="20"/>
          <w:szCs w:val="20"/>
          <w:color w:val="auto"/>
        </w:rPr>
      </w:pPr>
    </w:p>
    <w:p>
      <w:pPr>
        <w:ind w:right="20" w:firstLine="8"/>
        <w:spacing w:after="0" w:line="312" w:lineRule="auto"/>
        <w:tabs>
          <w:tab w:leader="none" w:pos="1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Pursuant to NRS 92A.205(4) if the conversion takes effect on a later date specified in the articles of conversion pursuant to NRS 92A.240, the constituent document filed with the Secretary of State pursuant to paragraph (b) subsection 1 must state the name and the jurisdiction of the constituent entity and that the existence of the resulting entity does not begin until the later date. </w:t>
      </w:r>
      <w:r>
        <w:rPr>
          <w:rFonts w:ascii="Arial" w:cs="Arial" w:eastAsia="Arial" w:hAnsi="Arial"/>
          <w:sz w:val="16"/>
          <w:szCs w:val="16"/>
          <w:b w:val="1"/>
          <w:bCs w:val="1"/>
          <w:color w:val="auto"/>
        </w:rPr>
        <w:t>This statement must be included within the resulting entity's articles.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FEE: $350.00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i w:val="1"/>
                <w:iCs w:val="1"/>
                <w:color w:val="auto"/>
              </w:rPr>
              <w:t>This form must be accompanied by appropriate fees.</w:t>
            </w:r>
          </w:p>
        </w:tc>
        <w:tc>
          <w:tcPr>
            <w:tcW w:w="5640" w:type="dxa"/>
            <w:vAlign w:val="bottom"/>
          </w:tcPr>
          <w:p>
            <w:pPr>
              <w:jc w:val="right"/>
              <w:spacing w:after="0"/>
              <w:rPr>
                <w:sz w:val="20"/>
                <w:szCs w:val="20"/>
                <w:color w:val="auto"/>
              </w:rPr>
            </w:pPr>
            <w:r>
              <w:rPr>
                <w:rFonts w:ascii="Arial" w:cs="Arial" w:eastAsia="Arial" w:hAnsi="Arial"/>
                <w:sz w:val="18"/>
                <w:szCs w:val="18"/>
                <w:color w:val="auto"/>
              </w:rPr>
              <w:t>Nevada Secretary of State 92A Conversion Page 2</w:t>
            </w:r>
          </w:p>
        </w:tc>
      </w:tr>
      <w:tr>
        <w:trPr>
          <w:trHeight w:val="230"/>
        </w:trPr>
        <w:tc>
          <w:tcPr>
            <w:tcW w:w="5780" w:type="dxa"/>
            <w:vAlign w:val="bottom"/>
          </w:tcPr>
          <w:p>
            <w:pPr>
              <w:spacing w:after="0"/>
              <w:rPr>
                <w:sz w:val="20"/>
                <w:szCs w:val="20"/>
                <w:color w:val="auto"/>
              </w:rPr>
            </w:pPr>
          </w:p>
        </w:tc>
        <w:tc>
          <w:tcPr>
            <w:tcW w:w="5640" w:type="dxa"/>
            <w:vAlign w:val="bottom"/>
          </w:tcPr>
          <w:p>
            <w:pPr>
              <w:jc w:val="right"/>
              <w:spacing w:after="0"/>
              <w:rPr>
                <w:sz w:val="20"/>
                <w:szCs w:val="20"/>
                <w:color w:val="auto"/>
              </w:rPr>
            </w:pPr>
            <w:r>
              <w:rPr>
                <w:rFonts w:ascii="Arial" w:cs="Arial" w:eastAsia="Arial" w:hAnsi="Arial"/>
                <w:sz w:val="18"/>
                <w:szCs w:val="18"/>
                <w:color w:val="auto"/>
              </w:rPr>
              <w:t>Revised: 1-5-15</w:t>
            </w:r>
          </w:p>
        </w:tc>
      </w:tr>
      <w:tr>
        <w:trPr>
          <w:trHeight w:val="675"/>
        </w:trPr>
        <w:tc>
          <w:tcPr>
            <w:tcW w:w="57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Exhibit B to Plan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Certificate of Conversion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CONVERSION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FROM A NON-DELAWARE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A DELAWARE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265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where the Non-Delaware Corporation first formed is Nevada.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immediately prior to filing this Certificate is Nevada.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the Non-Delaware Corporation first formed is October 22, 1991.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FOURTH:</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Non-Delaware Corporation immediately prior to filing this Certificate is Marker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FIFTH</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as set forth in the Certificate of Incorporation is Marker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SIXTH:</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and time of this Certificate shall be October 17, 2018 at 3:05 a.m. EDT.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being duly authorized to sign on behalf of the converting Non-Delaware Corporation has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on the 16th day of October, 2018.</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 Nevada corporation</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Exhibit C to Plan of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undersigned, a natural person (the “Incorporator”), for the purpose of organizing a corporation to conduct the business and promote the purposes hereinafter stated, under the provisions and subject to the requirements of the laws of the State of Delaware hereby certifies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“Marker Therapeutics, Inc.” (hereinafter referred to as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street address and county of the registered office of the Corporation in the State of Delaware is 1209 Orange Street, Wilmington, Delaware 19801, County of New Castle. The name of the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nature of the business or purposes for which the Corporation is organized is to engage in any lawful act or activity for which a corporation may be organized under the Delaware General Corporation Law (the “DGCL”).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both"/>
        <w:ind w:firstLine="656"/>
        <w:spacing w:after="0" w:line="259" w:lineRule="auto"/>
        <w:tabs>
          <w:tab w:leader="none" w:pos="141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Authorization of Stock</w:t>
      </w:r>
      <w:r>
        <w:rPr>
          <w:rFonts w:ascii="Arial" w:cs="Arial" w:eastAsia="Arial" w:hAnsi="Arial"/>
          <w:sz w:val="18"/>
          <w:szCs w:val="18"/>
          <w:color w:val="auto"/>
        </w:rPr>
        <w:t>. The Corporation is authorized to issue two classes of stock to be designated, respectively, “Common Stock” and “Preferred Stock.” The total number of shares that the Corporation is authorized to issue is One Hundred Fifty Five Million (155,000,000) shares, consisting of (i) One Hundred Fifty Million (150,000,000) shares of Common Stock, $0.001 par value per share, and (ii) Five Million (5,000,000) shares of Preferred Stock, $0.001 par value per share.</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The rights, preferences, privileges and restrictions granted to and imposed on the Common Stock are as set forth below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Article IV(B).</w:t>
      </w:r>
    </w:p>
    <w:p>
      <w:pPr>
        <w:spacing w:after="0" w:line="9" w:lineRule="exact"/>
        <w:rPr>
          <w:rFonts w:ascii="Arial" w:cs="Arial" w:eastAsia="Arial" w:hAnsi="Arial"/>
          <w:sz w:val="16"/>
          <w:szCs w:val="16"/>
          <w:color w:val="auto"/>
        </w:rPr>
      </w:pPr>
    </w:p>
    <w:p>
      <w:pPr>
        <w:jc w:val="both"/>
        <w:ind w:left="1620" w:firstLine="981"/>
        <w:spacing w:after="0" w:line="255" w:lineRule="auto"/>
        <w:tabs>
          <w:tab w:leader="none" w:pos="336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“Board of Directors”) upon any issuance of the Preferred Stock of any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left="1620" w:firstLine="981"/>
        <w:spacing w:after="0" w:line="270" w:lineRule="auto"/>
        <w:tabs>
          <w:tab w:leader="none" w:pos="3258"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81" w:lineRule="exact"/>
        <w:rPr>
          <w:rFonts w:ascii="Arial" w:cs="Arial" w:eastAsia="Arial" w:hAnsi="Arial"/>
          <w:sz w:val="17"/>
          <w:szCs w:val="17"/>
          <w:color w:val="auto"/>
        </w:rPr>
      </w:pPr>
    </w:p>
    <w:p>
      <w:pPr>
        <w:jc w:val="both"/>
        <w:ind w:left="1620" w:firstLine="981"/>
        <w:spacing w:after="0" w:line="312" w:lineRule="auto"/>
        <w:tabs>
          <w:tab w:leader="none" w:pos="3218"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the Corporation legally available therefor, any dividends as may be declared from time to time by the Board of Directors.</w:t>
      </w:r>
    </w:p>
    <w:p>
      <w:pPr>
        <w:spacing w:after="0" w:line="146" w:lineRule="exact"/>
        <w:rPr>
          <w:rFonts w:ascii="Arial" w:cs="Arial" w:eastAsia="Arial" w:hAnsi="Arial"/>
          <w:sz w:val="16"/>
          <w:szCs w:val="16"/>
          <w:color w:val="auto"/>
        </w:rPr>
      </w:pPr>
    </w:p>
    <w:p>
      <w:pPr>
        <w:jc w:val="both"/>
        <w:ind w:left="1620" w:firstLine="981"/>
        <w:spacing w:after="0" w:line="264" w:lineRule="auto"/>
        <w:tabs>
          <w:tab w:leader="none" w:pos="3299"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holders of the Common Stock will be entitled to share ratably, on the basis of the number of shares of Common Stock then held by each such holder, in all distributions to the holders of the Common Stock in any liquidation, dissolution or winding up of the Corporation.</w:t>
      </w:r>
    </w:p>
    <w:p>
      <w:pPr>
        <w:spacing w:after="0" w:line="181" w:lineRule="exact"/>
        <w:rPr>
          <w:rFonts w:ascii="Arial" w:cs="Arial" w:eastAsia="Arial" w:hAnsi="Arial"/>
          <w:sz w:val="18"/>
          <w:szCs w:val="18"/>
          <w:color w:val="auto"/>
        </w:rPr>
      </w:pPr>
    </w:p>
    <w:p>
      <w:pPr>
        <w:ind w:left="3180" w:hanging="579"/>
        <w:spacing w:after="0"/>
        <w:tabs>
          <w:tab w:leader="none" w:pos="31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color w:val="auto"/>
        </w:rPr>
      </w:pPr>
    </w:p>
    <w:p>
      <w:pPr>
        <w:jc w:val="both"/>
        <w:ind w:firstLine="648"/>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The number of directors which shall constitute the Board of Directors shall be determined in the manner set forth in the Bylaws of the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of the Corporation need not be elected by written ballot unless the Bylaws of the Corporation so provide.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by applicable law, the Corporation is authorized to provide indemnification of (and advancement of expenses to) directors, officer, employees and agents of the Corporation (and any other persons to which the DGCL permits the Corporation to provide indemnification) through Bylaw provisions, agreements with such persons, vote of stockholders or disinterested directors or otherwise, in excess of the indemnification and advancement otherwise permitted by such applicable law, subject only to limits created by applicable DGCL (statutory or non-statutory) with respect to actions for breach of duty to the Corporation, its stockholders and others.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The Corporation shall have the power to purchase and maintain insurance on behalf of any person who is or was a director, officer, employee or agent of the Corporation, or was servicing at the request of the Corporation as a director, officer, employee or agent of another entity,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 X or the DGCL.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fullest extent provided by law, a director of the Corporation shall not be personally liable to the Corporation or its stockholders for monetary damages for breach of fiduciary duty as a director. If the DGCL is amended after approval by the stockholders of this Article XI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 the Corporation existing at the time of, or increase the liability of any director of the Corporation with respect to any acts or omissions of such director occurring prior to, such amendment, repeal or modification.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(1) any derivative action or proceeding brought on behalf of the Corporation; (2) any action asserting a claim of breach of a fiduciary duty owed by, or any other wrongdoing by, any director, officer or other employee of the Corporation to the Corporation or the Corporation’s stockholders;</w:t>
      </w:r>
    </w:p>
    <w:p>
      <w:pPr>
        <w:spacing w:after="0" w:line="2" w:lineRule="exact"/>
        <w:rPr>
          <w:sz w:val="20"/>
          <w:szCs w:val="20"/>
          <w:color w:val="auto"/>
        </w:rPr>
      </w:pPr>
    </w:p>
    <w:p>
      <w:pPr>
        <w:jc w:val="both"/>
        <w:ind w:firstLine="8"/>
        <w:spacing w:after="0" w:line="271" w:lineRule="auto"/>
        <w:tabs>
          <w:tab w:leader="none" w:pos="2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or any director or officer or other employee of the Corporation arising pursuant to any provision of the DGCL, the Corporation’s Certificate of Incorporation or the Bylaws of the Corporation; (4) any action to interpret, apply, enforce or determine the validity of the Delaware Certificate of Incorporation or the Bylaws, or (5) any action asserting a claim against the Corporation or any director or officer or other employee of the Corporation governed by the internal affairs doctrine. Any person or entity purchasing or otherwise acquiring or holding any interest in shares of capital stock of the Corporation shall be deemed to have notice of and consented to the provisions of this Article XII.</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action the subject matter of which is within the scope of this Article XII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this Article XII (an “FSC Enforcement Action”) and (ii) having service of process made upon such stockholder in any such FSC Enforcement Action by service upon such stockholder’s counsel in the Foreign Action as agent for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the mailing address of the Incorporator are as follows:</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Mailing Address</w:t>
      </w:r>
    </w:p>
    <w:p>
      <w:pPr>
        <w:spacing w:after="0" w:line="200" w:lineRule="exact"/>
        <w:rPr>
          <w:sz w:val="20"/>
          <w:szCs w:val="20"/>
          <w:color w:val="auto"/>
        </w:rPr>
      </w:pPr>
    </w:p>
    <w:p>
      <w:pPr>
        <w:sectPr>
          <w:pgSz w:w="11900" w:h="16838" w:orient="portrait"/>
          <w:cols w:equalWidth="0" w:num="2">
            <w:col w:w="4960" w:space="720"/>
            <w:col w:w="5740"/>
          </w:cols>
          <w:pgMar w:left="240" w:top="908" w:right="239" w:bottom="1440" w:gutter="0" w:footer="0" w:header="0"/>
          <w:type w:val="continuous"/>
        </w:sectPr>
      </w:pP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w:t>
      </w:r>
      <w:r>
        <w:rPr>
          <w:rFonts w:ascii="Arial" w:cs="Arial" w:eastAsia="Arial" w:hAnsi="Arial"/>
          <w:sz w:val="11"/>
          <w:szCs w:val="11"/>
          <w:color w:val="auto"/>
        </w:rPr>
        <w:t>ETER</w:t>
      </w:r>
      <w:r>
        <w:rPr>
          <w:rFonts w:ascii="Arial" w:cs="Arial" w:eastAsia="Arial" w:hAnsi="Arial"/>
          <w:sz w:val="17"/>
          <w:szCs w:val="17"/>
          <w:color w:val="auto"/>
        </w:rPr>
        <w:t xml:space="preserve"> H</w:t>
      </w:r>
      <w:r>
        <w:rPr>
          <w:rFonts w:ascii="Arial" w:cs="Arial" w:eastAsia="Arial" w:hAnsi="Arial"/>
          <w:sz w:val="11"/>
          <w:szCs w:val="11"/>
          <w:color w:val="auto"/>
        </w:rPr>
        <w:t>OANG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 West Forsyth Street,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0" w:lineRule="exact"/>
        <w:rPr>
          <w:sz w:val="20"/>
          <w:szCs w:val="20"/>
          <w:color w:val="auto"/>
        </w:rPr>
      </w:pPr>
    </w:p>
    <w:p>
      <w:pPr>
        <w:sectPr>
          <w:pgSz w:w="11900" w:h="16838" w:orient="portrait"/>
          <w:cols w:equalWidth="0" w:num="2">
            <w:col w:w="4960" w:space="720"/>
            <w:col w:w="5740"/>
          </w:cols>
          <w:pgMar w:left="240" w:top="908"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date and time of this Certificate of Incorporation shall be October 17, 2018 at 3:05 a.m. EDT.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I, the undersigned, for the purpose of forming a corporation pursuant to the DGCL, do make, file and record this Certificate of Incorporation, hereby acknowledging, declaring and certifying that this Certificate of Incorporation is my act and deed and that the facts herein stated are true, and have accordingly hereunto set my hand this 16th day of October, 2018.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ETER</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u w:val="single" w:color="auto"/>
          <w:color w:val="auto"/>
        </w:rPr>
        <w:t>Exhibit D to Plan of Conversion</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OFFICES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Registered Office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Offices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STOCKHOLDERS AND MEETING THEREOF</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Place of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Annual Meetings</w:t>
            </w: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Special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810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Notice of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Fixing a Record Date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Stockholders’ Records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Business Transacted at Special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Quorum; Meeting Adjournment; Presence by Remote Means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Voting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2.10</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Number of Votes Per Share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Action by Written Consent of Stockholders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Nominations and Proposals of Business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Postponement and Cancellation of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Board Authority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Number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Election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Removal or Resignation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Vacancies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Place of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Telephonic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Regular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Special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Quorum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Action Without a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Committees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3.13</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Minutes of Committee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3.14</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Compensation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NOTICES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Waiver of 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Electronic 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904"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OFFICERS</w:t>
            </w:r>
          </w:p>
        </w:tc>
        <w:tc>
          <w:tcPr>
            <w:tcW w:w="6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400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Required and Permitted Officers</w:t>
            </w:r>
          </w:p>
        </w:tc>
        <w:tc>
          <w:tcPr>
            <w:tcW w:w="6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Appointment of Required Officers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Appointment of Permitted Officers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Officer Compensation</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Removal; Resignation; Vacancies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President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Vice President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Secretary and Assistant Secretary</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Chief Financial Officer, Treasurer and Assistant Treasurer</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5.10</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Delegation of Authority</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CERTIFICATE OF STOCK</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Stock Certificates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Lost, Stolen or Destroyed Certificates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Transfer of Stock</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Registered Stockholders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GENERAL PROVISIONS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770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Dividends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Reserve for Dividends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Checks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7.4</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Fiscal Year</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Corporate Seal</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7.6</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Inconsistencies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7.7</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Severability</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VIII INDEMNIFICATION</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IX AMENDMENTS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 LOANS TO OFFICERS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 MISCELLANEOUS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4820"/>
              <w:spacing w:after="0"/>
              <w:rPr>
                <w:sz w:val="20"/>
                <w:szCs w:val="20"/>
                <w:color w:val="auto"/>
              </w:rPr>
            </w:pPr>
            <w:r>
              <w:rPr>
                <w:rFonts w:ascii="Arial" w:cs="Arial" w:eastAsia="Arial" w:hAnsi="Arial"/>
                <w:sz w:val="18"/>
                <w:szCs w:val="18"/>
                <w:color w:val="auto"/>
              </w:rPr>
              <w:t>3</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The registered office of Marker Therapeutics, Inc. (the “Corporation”) in the State of Delaware shall be established and maintained at the office of The Corporation Trust Company, 1209 Orange Street, Wilmington, Delaware 19801, County of New Castle, and The Corporation Trust Company shall be the registered agent of the Corporation in charge thereof.</w:t>
      </w:r>
    </w:p>
    <w:p>
      <w:pPr>
        <w:spacing w:after="0" w:line="176"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AND MEETINGS THEREOF</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Place of Meetings</w:t>
      </w:r>
      <w:r>
        <w:rPr>
          <w:rFonts w:ascii="Arial" w:cs="Arial" w:eastAsia="Arial" w:hAnsi="Arial"/>
          <w:sz w:val="18"/>
          <w:szCs w:val="18"/>
          <w:color w:val="auto"/>
        </w:rPr>
        <w:t>. Meetings of the stockholders of the Corporation may be held at such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w:t>
      </w:r>
    </w:p>
    <w:p>
      <w:pPr>
        <w:spacing w:after="0" w:line="18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Annual Meetings</w:t>
      </w:r>
      <w:r>
        <w:rPr>
          <w:rFonts w:ascii="Arial" w:cs="Arial" w:eastAsia="Arial" w:hAnsi="Arial"/>
          <w:sz w:val="18"/>
          <w:szCs w:val="18"/>
          <w:color w:val="auto"/>
        </w:rPr>
        <w:t>. Annual meetings of stockholders shall be held on such date and at such time as shall be designated from time to time by the Board of Directors and stated in the notice of the meeting, at which they shall elect a Board of Directors by a plurality vote, and transact such other business as may properly be brought before the meeting.</w:t>
      </w:r>
    </w:p>
    <w:p>
      <w:pPr>
        <w:spacing w:after="0" w:line="176"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stockholders, for any purpose or purposes, unless otherwise prescribed by statute or by the certificate of incorporation (the “Certificate of Incorporation”), may be called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Notice of Meeting</w:t>
      </w:r>
      <w:r>
        <w:rPr>
          <w:rFonts w:ascii="Arial" w:cs="Arial" w:eastAsia="Arial" w:hAnsi="Arial"/>
          <w:sz w:val="18"/>
          <w:szCs w:val="18"/>
          <w:color w:val="auto"/>
        </w:rPr>
        <w:t>. Written notice of any stockholder meeting stating the place, if any, date and hour of the meeting, the record date for determining stockholders entitled to vote at the meeting (if such date is different from the record date for stockholders entitled to notice of the meeting), the means of remote communication, if any, by which stockholders and proxyholders may be deemed to be present in person and vote at such meeting, and, in the case of a special meeting, the purpose or purposes for which the meeting is called, shall be given to each stockholder entitled to vote at such meeting not fewer than ten (10) nor more than sixty (60) days before the date of the meeting.</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Fixing a 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3" w:name="page34"/>
    <w:bookmarkEnd w:id="33"/>
    <w:p>
      <w:pPr>
        <w:ind w:right="20"/>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Stockholders’ Records</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w:t>
      </w:r>
    </w:p>
    <w:p>
      <w:pPr>
        <w:spacing w:after="0" w:line="3" w:lineRule="exact"/>
        <w:rPr>
          <w:sz w:val="20"/>
          <w:szCs w:val="20"/>
          <w:color w:val="auto"/>
        </w:rPr>
      </w:pPr>
    </w:p>
    <w:p>
      <w:pPr>
        <w:ind w:firstLine="8"/>
        <w:spacing w:after="0" w:line="269"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Business transacted at any special meeting of stockholders shall be limited to the purposes stated in the notice.</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Quorum; Meeting Adjournment; Presence by Remote Means</w:t>
      </w:r>
      <w:r>
        <w:rPr>
          <w:rFonts w:ascii="Arial" w:cs="Arial" w:eastAsia="Arial" w:hAnsi="Arial"/>
          <w:sz w:val="16"/>
          <w:szCs w:val="16"/>
          <w:color w:val="auto"/>
        </w:rPr>
        <w:t>.</w:t>
      </w:r>
    </w:p>
    <w:p>
      <w:pPr>
        <w:spacing w:after="0" w:line="229" w:lineRule="exact"/>
        <w:rPr>
          <w:sz w:val="20"/>
          <w:szCs w:val="20"/>
          <w:color w:val="auto"/>
        </w:rPr>
      </w:pPr>
    </w:p>
    <w:p>
      <w:pPr>
        <w:ind w:firstLine="8"/>
        <w:spacing w:after="0" w:line="271" w:lineRule="auto"/>
        <w:tabs>
          <w:tab w:leader="none" w:pos="65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one-third of the outstanding shares of the Corporation entitled to vote at any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78" w:lineRule="exact"/>
        <w:rPr>
          <w:rFonts w:ascii="Arial" w:cs="Arial" w:eastAsia="Arial" w:hAnsi="Arial"/>
          <w:sz w:val="17"/>
          <w:szCs w:val="17"/>
          <w:color w:val="auto"/>
        </w:rPr>
      </w:pPr>
    </w:p>
    <w:p>
      <w:pPr>
        <w:ind w:right="20" w:firstLine="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Presence by Remote Means</w:t>
      </w:r>
      <w:r>
        <w:rPr>
          <w:rFonts w:ascii="Arial" w:cs="Arial" w:eastAsia="Arial" w:hAnsi="Arial"/>
          <w:sz w:val="16"/>
          <w:szCs w:val="16"/>
          <w:color w:val="auto"/>
        </w:rPr>
        <w:t>. If authorized by the Board of Directors in its sole discretion, and subject to such guidelines and procedures as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may adopt, stockholders and proxyholders not physically present at a meeting of stockholders may, by means of remote communication:</w:t>
      </w:r>
    </w:p>
    <w:p>
      <w:pPr>
        <w:spacing w:after="0" w:line="124" w:lineRule="exact"/>
        <w:rPr>
          <w:sz w:val="20"/>
          <w:szCs w:val="20"/>
          <w:color w:val="auto"/>
        </w:rPr>
      </w:pPr>
    </w:p>
    <w:p>
      <w:pPr>
        <w:ind w:left="620" w:hanging="61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right="60" w:firstLine="8"/>
        <w:spacing w:after="0" w:line="293" w:lineRule="auto"/>
        <w:tabs>
          <w:tab w:leader="none" w:pos="6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61"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Voting</w:t>
      </w:r>
      <w:r>
        <w:rPr>
          <w:rFonts w:ascii="Arial" w:cs="Arial" w:eastAsia="Arial" w:hAnsi="Arial"/>
          <w:sz w:val="17"/>
          <w:szCs w:val="17"/>
          <w:color w:val="auto"/>
        </w:rPr>
        <w:t>. When a quorum is present at any meeting, the vote of the holders of a majority of the stock having voting power present in person or represented by proxy shall decide any question brought before such meeting other than the election of directors, unless the question is one upon which by express provision of the statutes, the Certificate of Incorporation or these bylaws, a different vote is required, in which case such express provision shall govern and control the decision of such question. All elections of directors shall be determined by a plurality of the votes cast.</w:t>
      </w:r>
    </w:p>
    <w:p>
      <w:pPr>
        <w:spacing w:after="0" w:line="16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Number of Votes Per Share</w:t>
      </w:r>
      <w:r>
        <w:rPr>
          <w:rFonts w:ascii="Arial" w:cs="Arial" w:eastAsia="Arial" w:hAnsi="Arial"/>
          <w:sz w:val="18"/>
          <w:szCs w:val="18"/>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Action by Written Consent of Stockholders.</w:t>
      </w:r>
    </w:p>
    <w:p>
      <w:pPr>
        <w:spacing w:after="0" w:line="229" w:lineRule="exact"/>
        <w:rPr>
          <w:sz w:val="20"/>
          <w:szCs w:val="20"/>
          <w:color w:val="auto"/>
        </w:rPr>
      </w:pPr>
    </w:p>
    <w:p>
      <w:pPr>
        <w:ind w:right="40" w:firstLine="8"/>
        <w:spacing w:after="0" w:line="271" w:lineRule="auto"/>
        <w:tabs>
          <w:tab w:leader="none" w:pos="65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Action by Written Consent of Stockholders. </w:t>
      </w:r>
      <w:r>
        <w:rPr>
          <w:rFonts w:ascii="Arial" w:cs="Arial" w:eastAsia="Arial" w:hAnsi="Arial"/>
          <w:sz w:val="17"/>
          <w:szCs w:val="17"/>
          <w:color w:val="auto"/>
        </w:rPr>
        <w:t>Unless otherwise provided by the Certificate of Incorporation, any action required or permitted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78" w:lineRule="exact"/>
        <w:rPr>
          <w:rFonts w:ascii="Arial" w:cs="Arial" w:eastAsia="Arial" w:hAnsi="Arial"/>
          <w:sz w:val="17"/>
          <w:szCs w:val="17"/>
          <w:color w:val="auto"/>
        </w:rPr>
      </w:pPr>
    </w:p>
    <w:p>
      <w:pPr>
        <w:ind w:firstLine="8"/>
        <w:spacing w:after="0" w:line="28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Electronic Consent</w:t>
      </w:r>
      <w:r>
        <w:rPr>
          <w:rFonts w:ascii="Arial" w:cs="Arial" w:eastAsia="Arial" w:hAnsi="Arial"/>
          <w:sz w:val="16"/>
          <w:szCs w:val="16"/>
          <w:color w:val="auto"/>
        </w:rPr>
        <w:t>. An electronic transmission consenting to an action to be taken and transmitted by a stockholder or proxyholder, or a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authorized to act for a stockholder or proxyholder, shall be deemed to be written, signed and dated for the purposes of this section, provided that any such electronic transmission sets forth or is delivered with information from which the Corporation can determine (1) that the electronic transmission was transmitted by the stockholder or proxyholder or by a person or persons authorized to act for the stockholder or proxyholder and (2) the date on which such stockholder or proxyholder or authorized person or persons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68"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Notice of Action</w:t>
      </w:r>
      <w:r>
        <w:rPr>
          <w:rFonts w:ascii="Arial" w:cs="Arial" w:eastAsia="Arial" w:hAnsi="Arial"/>
          <w:sz w:val="17"/>
          <w:szCs w:val="17"/>
          <w:color w:val="auto"/>
        </w:rPr>
        <w:t>. Prompt notice of any action taken pursuant to this Section 2.11 shall be provided to the stockholders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228(e) of the DGCL.</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Nominations and Proposals of Business</w:t>
      </w:r>
      <w:r>
        <w:rPr>
          <w:rFonts w:ascii="Arial" w:cs="Arial" w:eastAsia="Arial" w:hAnsi="Arial"/>
          <w:sz w:val="15"/>
          <w:szCs w:val="15"/>
          <w:color w:val="auto"/>
        </w:rPr>
        <w:t>.</w:t>
      </w:r>
    </w:p>
    <w:p>
      <w:pPr>
        <w:spacing w:after="0" w:line="229" w:lineRule="exact"/>
        <w:rPr>
          <w:sz w:val="20"/>
          <w:szCs w:val="20"/>
          <w:color w:val="auto"/>
        </w:rPr>
      </w:pPr>
    </w:p>
    <w:p>
      <w:pPr>
        <w:ind w:left="980" w:right="20" w:firstLine="892"/>
        <w:spacing w:after="0" w:line="270" w:lineRule="auto"/>
        <w:tabs>
          <w:tab w:leader="none" w:pos="25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proposals for other business to be transaction by the stockholders at an annual meeting of stockholders may be made (i) pursuant to the Corporation’s notice with respect to such meeting (or any supplement thereto), (ii) by or at the direction of the Board of Directors or any committee thereof or (iii) by any stockholder of record of the Corporation who (A) was a stockholder of record at the time of the giving of the notice contemplated in Section 2.12(b), (B) is entitled to vote at such meeting and (C) has complied with the notice procedures set forth in this Section 2.12. Subject to Section 1.2(i) and except as otherwise required by law, clause (iii) of this Section 2.12(a)shall be the exclusive means for a stockholder to make nominations or propose other business (other than nominations and proposals properly brought pursuant to applicable provisions of federal law, including the Securities Exchange Act of 1934 (as amended from time to time, he “Act”) and the rules and regulations of the Securities and Exchange Commission thereunder) before an annual meeting of stockholders.</w:t>
      </w:r>
    </w:p>
    <w:p>
      <w:pPr>
        <w:spacing w:after="0" w:line="181" w:lineRule="exact"/>
        <w:rPr>
          <w:rFonts w:ascii="Arial" w:cs="Arial" w:eastAsia="Arial" w:hAnsi="Arial"/>
          <w:sz w:val="17"/>
          <w:szCs w:val="17"/>
          <w:color w:val="auto"/>
        </w:rPr>
      </w:pPr>
    </w:p>
    <w:p>
      <w:pPr>
        <w:ind w:left="980" w:right="40" w:firstLine="892"/>
        <w:spacing w:after="0" w:line="271" w:lineRule="auto"/>
        <w:tabs>
          <w:tab w:leader="none" w:pos="25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Except as otherwise required by law, for nominations or proposals to be properly brought before an annual meeting by a stockholder pursuant to clause (iii) of Section 2.12(a), (i) the stockholder must have given timely notice thereof in writing to the Secretary of the Corporation with the information contemplated by Section 2.12(c) including, where applicable, delivery to the Corporation of timely and completed questionnaires as contemplated by Section 2.12(c), and (ii) the business must be a proper matter for stockholder action under the DGCL. The notice requirements of this Section 2.12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the Act and such stockholder’s proposal has been included in a proxy statement prepared by the Corporation to solicit proxies for such annual meeting.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980" w:right="160" w:firstLine="892"/>
        <w:spacing w:after="0" w:line="242" w:lineRule="auto"/>
        <w:tabs>
          <w:tab w:leader="none" w:pos="25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be timely for purposes of Section 2.12(b), a stockholder’s notice must be delivered to the Secretary of the Corporation at the principal executive office of the Corporation on a date (i)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w:t>
      </w:r>
    </w:p>
    <w:p>
      <w:pPr>
        <w:spacing w:after="0" w:line="1" w:lineRule="exact"/>
        <w:rPr>
          <w:sz w:val="20"/>
          <w:szCs w:val="20"/>
          <w:color w:val="auto"/>
        </w:rPr>
      </w:pPr>
    </w:p>
    <w:p>
      <w:pPr>
        <w:jc w:val="both"/>
        <w:ind w:left="980" w:right="80"/>
        <w:spacing w:after="0" w:line="223" w:lineRule="auto"/>
        <w:rPr>
          <w:sz w:val="20"/>
          <w:szCs w:val="20"/>
          <w:color w:val="auto"/>
        </w:rPr>
      </w:pPr>
      <w:r>
        <w:rPr>
          <w:rFonts w:ascii="Arial" w:cs="Arial" w:eastAsia="Arial" w:hAnsi="Arial"/>
          <w:sz w:val="16"/>
          <w:szCs w:val="16"/>
          <w:color w:val="auto"/>
        </w:rPr>
        <w:t>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anniversary date of the prior year’s annual meeting or (ii) if there was no annual meeting in the prior year or if the date of the current year’s annual meeting is more than 30 days before or more than 60 days after the anniversary date of the prior year’s annual meeting,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close of business on</w:t>
      </w:r>
    </w:p>
    <w:p>
      <w:pPr>
        <w:spacing w:after="0" w:line="3" w:lineRule="exact"/>
        <w:rPr>
          <w:sz w:val="20"/>
          <w:szCs w:val="20"/>
          <w:color w:val="auto"/>
        </w:rPr>
      </w:pPr>
    </w:p>
    <w:p>
      <w:pPr>
        <w:ind w:left="980" w:right="80"/>
        <w:spacing w:after="0" w:line="217" w:lineRule="auto"/>
        <w:rPr>
          <w:sz w:val="20"/>
          <w:szCs w:val="20"/>
          <w:color w:val="auto"/>
        </w:rPr>
      </w:pPr>
      <w:r>
        <w:rPr>
          <w:rFonts w:ascii="Arial" w:cs="Arial" w:eastAsia="Arial" w:hAnsi="Arial"/>
          <w:sz w:val="18"/>
          <w:szCs w:val="18"/>
          <w:color w:val="auto"/>
        </w:rPr>
        <w:t>the later of (x)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prior to such annual meeting or (y) 10 days after the day on which the date of the current year’s annual meeting is first disclosed in a public announcement. In no event shall any adjournment or postponement of an annual meeting or the announcement thereof commence a new time period for the delivery of such notice.</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Such notice form a stockholder must state (i) as to each nominee that the stockholder proposed for election or reelection as a director: (A) All information relating to such nominee that would be required to be disclosed in solicitations of proxies for the election of such nominee as a director pursuant to Regulation 14A under the Act, including such person’s written consent to being named in the proxy statement as a nominee and serving as a director if elected, and (B) a description of all direct and indirect compensation and other material monetary arrangements, agreements or understandings during the past three years, and any other material relationship, if any, between or concerning such stockholder, and Stockholder Associated Person (as defined below) or any of their respective affiliates or associates, on the one hand, and the proposed nominee or any of his or her affiliates or associates, on the other hand; (ii) as to each proposal that the stockholder seeks to bring before the meeting, a brief description of such proposal, the reasons for making the proposal at the meeting, the text of the proposal or business (including the text of any resolutions proposed for consideration and in the event that such business includes a proposal to amend the bylaws of the Corporation, the language of the proposed amendment) and any material interest that the stockholder has in the proposal; and (iii)</w:t>
      </w:r>
    </w:p>
    <w:p>
      <w:pPr>
        <w:spacing w:after="0" w:line="7" w:lineRule="exact"/>
        <w:rPr>
          <w:sz w:val="20"/>
          <w:szCs w:val="20"/>
          <w:color w:val="auto"/>
        </w:rPr>
      </w:pPr>
    </w:p>
    <w:p>
      <w:pPr>
        <w:ind w:right="40" w:firstLine="8"/>
        <w:spacing w:after="0" w:line="281" w:lineRule="auto"/>
        <w:tabs>
          <w:tab w:leader="none" w:pos="2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and the Stockholder Associated Persons, if any, on whose behalf the nomination or proposal is made, (B) the class (and, if applicable, series) and number of shares of stock of the Corporation that are, directly or indirectly, owned beneficially or of record by the stockholder, (C)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capital stock of the Corporation or otherwise (each a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of the stockholder or any Stockholder Associated Person,</w:t>
      </w:r>
    </w:p>
    <w:p>
      <w:pPr>
        <w:spacing w:after="0" w:line="5" w:lineRule="exact"/>
        <w:rPr>
          <w:rFonts w:ascii="Arial" w:cs="Arial" w:eastAsia="Arial" w:hAnsi="Arial"/>
          <w:sz w:val="16"/>
          <w:szCs w:val="16"/>
          <w:color w:val="auto"/>
        </w:rPr>
      </w:pPr>
    </w:p>
    <w:p>
      <w:pPr>
        <w:ind w:firstLine="8"/>
        <w:spacing w:after="0" w:line="284" w:lineRule="auto"/>
        <w:tabs>
          <w:tab w:leader="none" w:pos="2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proxy, contract, arrangement, understanding or relationship pursuant to which such stockholder or any Stockholder Associated Person has a right to vote any securities of the Corporation, (E) any proportionate interest in shares of the Corporation or Derivative Instruments held, directly or indirectly, by a general or limited partnership in which such stockholder or any Stockholder Associated Person is a general partner or beneficially owns, directly or indirectly, an interest in a general partner, (F) any performance-related fees (other than an asset-based fee) that such stockholder or any Stockholder Associated Person is entitled to based on any increase or decrease in the value of the shares of stock of the Corporation or Derivative Instruments, (G) any other information relating to such stockholder or any Stockholder Associated Person, if any, required to be disclosed in a proxy statement or other filing required to be made in connection with solicitations of proxies for, as applicable, the proposal and/or for the election of directors in an election contest pursuant to and in accordance with Section 14(a) of the Act and the rules and regulations of the Securities and Exchange Commission thereunder, (H) a representation that the stockholder is a holder of record of the Corporation entitled to vote at such meeting and intends to appear in person or by proxy at the meeting to propose such business or nomination, (I) a certificate as to whether or not the stockholder and all Stockholder Associated Persons have complied with all applicable federal, state and other legal requirements in connection with the stockholder’s and each Stockholder Associated Person’s acquisitions of shares of capital stock or other securities of the Corporation and the stockholder’s and each Stockholder Associated Person’s acts or omissions as a stockholder (or beneficial owner of securities ) of the Corporation, and (J) whether either the stockholder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reasonably believed by such stockholder to be sufficient to elect such nominee or nominees or otherwise to solicit proxies or votes from stockholders in support of such proposal or nomination.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200"/>
        <w:spacing w:after="0" w:line="255" w:lineRule="auto"/>
        <w:rPr>
          <w:sz w:val="20"/>
          <w:szCs w:val="20"/>
          <w:color w:val="auto"/>
        </w:rPr>
      </w:pPr>
      <w:r>
        <w:rPr>
          <w:rFonts w:ascii="Arial" w:cs="Arial" w:eastAsia="Arial" w:hAnsi="Arial"/>
          <w:sz w:val="18"/>
          <w:szCs w:val="18"/>
          <w:color w:val="auto"/>
        </w:rPr>
        <w:t>For purposes of these bylaws, a “Stockholder Associated Person” of any stockholder means (i) any “affiliate” or “associate” (as those terms are defined in Rule 12b-2 under the Act) of such stockholder, (ii) any beneficial owner of any capital stock or other securities of the Corporation owned of record or beneficially by such stockholder, (iii) any person directly or indirectly controlling, controlled by or under common control with any such Stockholder Associated Person referred to in clause (i) or (ii) above, and (iv) any person acting in concert in respect of any matter involving the Corporation or its securities with either such stockholder or any beneficial owner of any capital stock or other securities of the Corporation owned of record or beneficially by such stockholder.</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in order for a nomination to be property brought before an annual or special meeting by a stockholder pursuant to clause (iii) of Section 2.12(a), subject to Section 2.12(i), any nominee proposed by a stockholder shall complete a questionnaire in a form provided by the Corporation, and deliver a signed copy of such completed questionnaire to the Corporation within 10 days of the date that the Corporation makes available to the stockholder seeking to make such nomination or such nominee the form of such questionnaire and shall deliver a written and signed statement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questions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the service or action as a director of the Corporation that has not been disclosed in the notice required by this Section 2.12, and (iii) in such person’s individual capacity and on behalf of any person, entity or group on whose behalf the nomination is being made, would be in compliance, if elected as a director of the Corporation and will comply with all applicable publicly disclosed codes of ethics and conduct, corporate governance, conflict of interest, confidentiality and stock ownership and trading policies and guidelines of the Corporation. The Corporation may require any proposed nominee to furnish such other information as may be reasonably requested by the Corporation to determine the eligibility of the proposed nominee to serve as an independent director of the Corporation or that could be material to a reasonable stockholder’s understanding of the independence, or lack thereof, of the nominee. The information required to be included in a notice pursuant to this Section 2.12(c) shall be provided as of the date of such notice and shall be supplemented by the stockholder not later than 10 days after the record date for the determination of stockholders entitled to notice of the meeting to disclose any changes to such information as of the record date. If any of the facts set forth in any notice provided pursuant to this Section 2.12(c) change between the date that such notice is sent and the date of the annual meeting to which such notice pertains, the stockholder must deliver to the Secretary of the Corporation at the principal executive offices of the Corporation, by the earlier of (i) the close of business on the date that is five days after the event giving rise to such change, or (ii) the commencement of such annual meeting, a supplemental notice providing such revised information. The information required to be included in a notice pursuant to this Section 2.12(c) shall not include any ordinary course business activities of any broker, dealer, commercial bank, trust company or other nominee who is directed to prepare and submit the notice required by this Section 2.12(c) on behalf of a beneficial owner of the shares held of record by such broker, dealer, commercial bank, trust company or other nominee and who is not otherwise affiliated or associate with such beneficial owner. For purposed of these bylaws, “beneficial ownership” shall be determined in accordance with Rule 13d-3 promulgate under the Act.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80" w:firstLine="892"/>
        <w:spacing w:after="0" w:line="293" w:lineRule="auto"/>
        <w:tabs>
          <w:tab w:leader="none" w:pos="1551"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the Certificate of Incorporation of the Corporation, Section 2.12(c) and applicable law, only persons nominated in accordance with procedures stated in this Section 2.12 shall be eligible for election as and to serve as members of the Board of Directors and the only business that shall be conducted at an annual meeting of stockholders is the business that has been brought before the meeting in accordance with the procedures set forth in this Section 2.12. The chairman of the meting shall have the power and the duty to determine whether a nomination or any proposal has been made according to the procedure stated in this Section 2.12 and, if any nomination or proposal does not comply with this Section 2.12, unless otherwise required by law, the nomination or proposal shall be disregarded.</w:t>
      </w:r>
    </w:p>
    <w:p>
      <w:pPr>
        <w:spacing w:after="0" w:line="164" w:lineRule="exact"/>
        <w:rPr>
          <w:rFonts w:ascii="Arial" w:cs="Arial" w:eastAsia="Arial" w:hAnsi="Arial"/>
          <w:sz w:val="16"/>
          <w:szCs w:val="16"/>
          <w:color w:val="auto"/>
        </w:rPr>
      </w:pPr>
    </w:p>
    <w:p>
      <w:pPr>
        <w:ind w:right="160" w:firstLine="892"/>
        <w:spacing w:after="0" w:line="264" w:lineRule="auto"/>
        <w:tabs>
          <w:tab w:leader="none" w:pos="15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Section 2.12, “public announcement” means disclosure in a press release reported by the Dow Jones News Service, Associated Press or a comparable news service or in a document publicly filed or furnished by the Corporation with the Securities and Exchange Commission pursuant to Section 13, 14 or 15(d) of the Act.</w:t>
      </w:r>
    </w:p>
    <w:p>
      <w:pPr>
        <w:spacing w:after="0" w:line="181" w:lineRule="exact"/>
        <w:rPr>
          <w:rFonts w:ascii="Arial" w:cs="Arial" w:eastAsia="Arial" w:hAnsi="Arial"/>
          <w:sz w:val="18"/>
          <w:szCs w:val="18"/>
          <w:color w:val="auto"/>
        </w:rPr>
      </w:pPr>
    </w:p>
    <w:p>
      <w:pPr>
        <w:ind w:right="260" w:firstLine="892"/>
        <w:spacing w:after="0" w:line="259" w:lineRule="auto"/>
        <w:tabs>
          <w:tab w:leader="none" w:pos="15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2.12, a stockholder shall also comply with applicable requirements of the Act and the rules and regulations thereunder with respect to matters set forth in this Section 2.12. Nothing in this Section 2.12 shall affect any rights, if any, of stockholders to request inclusion of nominations or proposals in the Corporation’s proxy statement pursuant to applicable provisions of federal law, including the Act.</w:t>
      </w:r>
    </w:p>
    <w:p>
      <w:pPr>
        <w:spacing w:after="0" w:line="186" w:lineRule="exact"/>
        <w:rPr>
          <w:rFonts w:ascii="Arial" w:cs="Arial" w:eastAsia="Arial" w:hAnsi="Arial"/>
          <w:sz w:val="18"/>
          <w:szCs w:val="18"/>
          <w:color w:val="auto"/>
        </w:rPr>
      </w:pPr>
    </w:p>
    <w:p>
      <w:pPr>
        <w:ind w:right="100" w:firstLine="892"/>
        <w:spacing w:after="0" w:line="270" w:lineRule="auto"/>
        <w:tabs>
          <w:tab w:leader="none" w:pos="1551"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2.12, unless otherwise required by law, if the stockholder (or a qualified representative of the stockholder) does not appear at the annual or special meeting of stockholders of the Corporation to present a nomination or proposed business or does not provide the information required by Section 2.12(c), including any required supplement thereto, such nomination shall be disregarded and such proposed business shall not be transacted, notwithstanding that proxies in respect of such vote may have been received by the Corporation. For purposes of this Section 2.12,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1" w:lineRule="exact"/>
        <w:rPr>
          <w:rFonts w:ascii="Arial" w:cs="Arial" w:eastAsia="Arial" w:hAnsi="Arial"/>
          <w:sz w:val="17"/>
          <w:szCs w:val="17"/>
          <w:color w:val="auto"/>
        </w:rPr>
      </w:pPr>
    </w:p>
    <w:p>
      <w:pPr>
        <w:ind w:firstLine="892"/>
        <w:spacing w:after="0" w:line="273" w:lineRule="auto"/>
        <w:tabs>
          <w:tab w:leader="none" w:pos="1551"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2.12 is delivered to the Secretary of the Corporation, who is entitled to vote at the meeting upon such election and who complies with the notice procedures set forth in this Section 2.12.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Section 2.12(b) shall be delivered to the Secretary of the Corporation at the principal executive offices of the Corporation not earlier than the close of business on the 120ths day prior to such special meeting and not later than the close of business on the later of (x)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meeting or (y) the</w:t>
      </w:r>
    </w:p>
    <w:p>
      <w:pPr>
        <w:ind w:right="120"/>
        <w:spacing w:after="0" w:line="250" w:lineRule="auto"/>
        <w:rPr>
          <w:sz w:val="20"/>
          <w:szCs w:val="20"/>
          <w:color w:val="auto"/>
        </w:rPr>
      </w:pPr>
      <w:r>
        <w:rPr>
          <w:rFonts w:ascii="Arial" w:cs="Arial" w:eastAsia="Arial" w:hAnsi="Arial"/>
          <w:sz w:val="16"/>
          <w:szCs w:val="16"/>
          <w:color w:val="auto"/>
        </w:rPr>
        <w:t>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spacing w:after="0" w:line="21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1220" w:top="908" w:right="279" w:bottom="1440" w:gutter="0" w:footer="0" w:header="0"/>
        </w:sectPr>
      </w:pPr>
    </w:p>
    <w:bookmarkStart w:id="38" w:name="page39"/>
    <w:bookmarkEnd w:id="38"/>
    <w:p>
      <w:pPr>
        <w:ind w:left="980" w:right="80" w:firstLine="892"/>
        <w:spacing w:after="0" w:line="277" w:lineRule="auto"/>
        <w:tabs>
          <w:tab w:leader="none" w:pos="24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provisions of this Section 2.12 are subject to, and nothing in this Section 2.12 shall in any way limit the exercise, or the method or timing of the exercise of, the rights of any person granted by the Corporation to nominate directors.</w:t>
      </w:r>
    </w:p>
    <w:p>
      <w:pPr>
        <w:spacing w:after="0" w:line="16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Postponement and Cancellation of Meeting.</w:t>
      </w:r>
      <w:r>
        <w:rPr>
          <w:rFonts w:ascii="Arial" w:cs="Arial" w:eastAsia="Arial" w:hAnsi="Arial"/>
          <w:sz w:val="18"/>
          <w:szCs w:val="18"/>
          <w:color w:val="auto"/>
        </w:rPr>
        <w:t xml:space="preserve"> Any previously scheduled annual or special meeting of the stockholders may be postponed, and any previously scheduled annual or special meeting of the stockholders may be canceled, by resolution of the Board of Directors upon public notice given prior to the time previously scheduled for such meeting.</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Board Authority</w:t>
      </w:r>
      <w:r>
        <w:rPr>
          <w:rFonts w:ascii="Arial" w:cs="Arial" w:eastAsia="Arial" w:hAnsi="Arial"/>
          <w:sz w:val="18"/>
          <w:szCs w:val="18"/>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Number of Directors</w:t>
      </w:r>
      <w:r>
        <w:rPr>
          <w:rFonts w:ascii="Arial" w:cs="Arial" w:eastAsia="Arial" w:hAnsi="Arial"/>
          <w:sz w:val="18"/>
          <w:szCs w:val="18"/>
          <w:color w:val="auto"/>
        </w:rPr>
        <w:t>. The number of directors that shall constitute the whole Board of Directors shall be fixed from time to time by resolution of the Board of Directors, provided that the Board of Directors shall consist of at least one (1) member. No reduction of the authorized number of directors shall have the effect of removing any director before that director’s term of office expires.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Election of Directors</w:t>
      </w:r>
      <w:r>
        <w:rPr>
          <w:rFonts w:ascii="Arial" w:cs="Arial" w:eastAsia="Arial" w:hAnsi="Arial"/>
          <w:sz w:val="18"/>
          <w:szCs w:val="18"/>
          <w:color w:val="auto"/>
        </w:rPr>
        <w:t>. Directors shall be elected at each annual meeting of stockholders. Each director shall serve until his successor is duly elected and qualified or until his earlier death, resignation or removal. Directors need not be stockholders.</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Removal or Resignation of Directors</w:t>
      </w:r>
      <w:r>
        <w:rPr>
          <w:rFonts w:ascii="Arial" w:cs="Arial" w:eastAsia="Arial" w:hAnsi="Arial"/>
          <w:sz w:val="18"/>
          <w:szCs w:val="18"/>
          <w:color w:val="auto"/>
        </w:rPr>
        <w:t>. Unless otherwise provided by the Corporation’s Certificate of Incorporation or these bylaws, any director or the entire Board of Directors may be removed, with or without cause, by the affirmative vote of the holders of a majority of the shares entitled to vote at an election of directors. However, whenever a director has been elected by a voting group of stockholders, only the stockholders from that voting group may participate in the vote to remove him or her, and such vacancy may be filled only by the stockholders of that voting group. Any director may resign at any time upon written notice, including by electronic transmission, to the Corporation.</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Vacancies</w:t>
      </w:r>
      <w:r>
        <w:rPr>
          <w:rFonts w:ascii="Arial" w:cs="Arial" w:eastAsia="Arial" w:hAnsi="Arial"/>
          <w:sz w:val="17"/>
          <w:szCs w:val="17"/>
          <w:color w:val="auto"/>
        </w:rPr>
        <w:t>. Unless otherwise provided by the Corporation’s Certificate of Incorporation or these bylaws,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7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Place of Meetings</w:t>
      </w:r>
      <w:r>
        <w:rPr>
          <w:rFonts w:ascii="Arial" w:cs="Arial" w:eastAsia="Arial" w:hAnsi="Arial"/>
          <w:sz w:val="18"/>
          <w:szCs w:val="18"/>
          <w:color w:val="auto"/>
        </w:rPr>
        <w:t>. The Board of Directors of the Corporation may hold meetings, both regular and special, either within or without the State of Delaware.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140"/>
        <w:spacing w:after="0" w:line="261"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Telephonic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of the Board or Chief Executive Officer upon notice to each director; special meetings shall be called by the Chairman of the Board or Chief Executive Officer in like manner and on like notice on the written request of two (2) directors unless the Board of Directors consists of only one director, in which case special meetings shall be called by the Chairman of the Board or Chief Executive Officer in like manner and on like notice on the written request of the sole director. Notice of any special meeting shall be given to each director at his or her business or residence in writing by mail or delivered personally by hand, or by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9.1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77"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color w:val="auto"/>
        </w:rPr>
        <w:t>Quorum</w:t>
      </w:r>
      <w:r>
        <w:rPr>
          <w:rFonts w:ascii="Arial" w:cs="Arial" w:eastAsia="Arial" w:hAnsi="Arial"/>
          <w:sz w:val="16"/>
          <w:szCs w:val="16"/>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0" w:name="page41"/>
    <w:bookmarkEnd w:id="40"/>
    <w:p>
      <w:pPr>
        <w:ind w:right="180"/>
        <w:spacing w:after="0" w:line="28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Minutes of Committee Meetings</w:t>
      </w:r>
      <w:r>
        <w:rPr>
          <w:rFonts w:ascii="Arial" w:cs="Arial" w:eastAsia="Arial" w:hAnsi="Arial"/>
          <w:sz w:val="18"/>
          <w:szCs w:val="18"/>
          <w:color w:val="auto"/>
        </w:rPr>
        <w:t>. Each committee shall keep regular minutes of its meetings and report the same to the Board of Directors when required.</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Notice</w:t>
      </w:r>
      <w:r>
        <w:rPr>
          <w:rFonts w:ascii="Arial" w:cs="Arial" w:eastAsia="Arial" w:hAnsi="Arial"/>
          <w:sz w:val="16"/>
          <w:szCs w:val="16"/>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w:t>
      </w:r>
    </w:p>
    <w:p>
      <w:pPr>
        <w:spacing w:after="0" w:line="1" w:lineRule="exact"/>
        <w:rPr>
          <w:sz w:val="20"/>
          <w:szCs w:val="20"/>
          <w:color w:val="auto"/>
        </w:rPr>
      </w:pPr>
    </w:p>
    <w:p>
      <w:pPr>
        <w:jc w:val="both"/>
        <w:ind w:right="120" w:firstLine="8"/>
        <w:spacing w:after="0" w:line="255"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mail, addressed to such director or stockholder, at his or her address as it appears on the records of the Corporation, with postage thereon prepaid, and such notice shall be deemed to be given at the time when the same shall be deposited in the United States mail; or (ii) by electronic transmission as provided in Section 4.3 of these bylaws.</w:t>
      </w:r>
    </w:p>
    <w:p>
      <w:pPr>
        <w:spacing w:after="0" w:line="186"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Waiver of Notice</w:t>
      </w:r>
      <w:r>
        <w:rPr>
          <w:rFonts w:ascii="Arial" w:cs="Arial" w:eastAsia="Arial" w:hAnsi="Arial"/>
          <w:sz w:val="17"/>
          <w:szCs w:val="17"/>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 Attendance at any meeting shall constitute waiver of notice except attendance for the sole purpose of objecting, at the beginning of the meeting, to the transaction of any business because the meeting is not lawfully called or convened.</w:t>
      </w:r>
    </w:p>
    <w:p>
      <w:pPr>
        <w:spacing w:after="0" w:line="1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Electronic Notice</w:t>
      </w:r>
      <w:r>
        <w:rPr>
          <w:rFonts w:ascii="Arial" w:cs="Arial" w:eastAsia="Arial" w:hAnsi="Arial"/>
          <w:sz w:val="16"/>
          <w:szCs w:val="16"/>
          <w:color w:val="auto"/>
        </w:rPr>
        <w:t>.</w:t>
      </w:r>
    </w:p>
    <w:p>
      <w:pPr>
        <w:spacing w:after="0" w:line="229" w:lineRule="exact"/>
        <w:rPr>
          <w:sz w:val="20"/>
          <w:szCs w:val="20"/>
          <w:color w:val="auto"/>
        </w:rPr>
      </w:pPr>
    </w:p>
    <w:p>
      <w:pPr>
        <w:ind w:right="140" w:firstLine="8"/>
        <w:spacing w:after="0" w:line="272" w:lineRule="auto"/>
        <w:tabs>
          <w:tab w:leader="none" w:pos="65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Electronic Transmission</w:t>
      </w:r>
      <w:r>
        <w:rPr>
          <w:rFonts w:ascii="Arial" w:cs="Arial" w:eastAsia="Arial" w:hAnsi="Arial"/>
          <w:sz w:val="17"/>
          <w:szCs w:val="17"/>
          <w:color w:val="auto"/>
        </w:rPr>
        <w:t>. Without limiting the manner by which notice otherwise may be given effectively to stockholders and directors,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77" w:lineRule="exact"/>
        <w:rPr>
          <w:rFonts w:ascii="Arial" w:cs="Arial" w:eastAsia="Arial" w:hAnsi="Arial"/>
          <w:sz w:val="17"/>
          <w:szCs w:val="17"/>
          <w:color w:val="auto"/>
        </w:rPr>
      </w:pPr>
    </w:p>
    <w:p>
      <w:pPr>
        <w:ind w:firstLine="8"/>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Effective Date of Notice</w:t>
      </w:r>
      <w:r>
        <w:rPr>
          <w:rFonts w:ascii="Arial" w:cs="Arial" w:eastAsia="Arial" w:hAnsi="Arial"/>
          <w:sz w:val="18"/>
          <w:szCs w:val="18"/>
          <w:color w:val="auto"/>
        </w:rPr>
        <w:t>. Notice given pursuant to subsection (a) of this section shall be deemed given: (1) if by facsimile telecommunication,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89" w:lineRule="exact"/>
        <w:rPr>
          <w:rFonts w:ascii="Arial" w:cs="Arial" w:eastAsia="Arial" w:hAnsi="Arial"/>
          <w:sz w:val="18"/>
          <w:szCs w:val="18"/>
          <w:color w:val="auto"/>
        </w:rPr>
      </w:pPr>
    </w:p>
    <w:p>
      <w:pPr>
        <w:ind w:right="40" w:firstLine="8"/>
        <w:spacing w:after="0" w:line="264"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 directly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physical transmission of paper, that creates a record that may be retained, retrieved, and reviewed by a recipient thereof, and that may be directly reproduced in paper form by such a recipient through an automated process.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Required and Permitted Officers</w:t>
      </w:r>
      <w:r>
        <w:rPr>
          <w:rFonts w:ascii="Arial" w:cs="Arial" w:eastAsia="Arial" w:hAnsi="Arial"/>
          <w:sz w:val="18"/>
          <w:szCs w:val="18"/>
          <w:color w:val="auto"/>
        </w:rPr>
        <w:t>. The officers of the Corporation shall include, if and when designated by the Board of Directors, a Chief Executive Officer and/or a President, a Chief Financial Officer, a Treasurer and a Secretary. The Board of Directors may elect from among its members a Chairman of the Board and a Vice-Chairman of the Board. The Board of Directors may also choose one or more vice-presidents, assistant secretaries and assistant treasurers, and such other officers with such powers and duties as it shall deem necessary. Any number of offices may be held by the same person, unless the Certificate of Incorporation or these bylaws otherwise provide.</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The Board of Directors at its first meeting after each annual meeting of stockholders shall choose a Chief Executive Officer and/or a President, a Chief Financial Officer, Treasurer, and a Secretary.</w:t>
      </w:r>
    </w:p>
    <w:p>
      <w:pPr>
        <w:spacing w:after="0" w:line="162"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Appointment of Permitted Officers</w:t>
      </w:r>
      <w:r>
        <w:rPr>
          <w:rFonts w:ascii="Arial" w:cs="Arial" w:eastAsia="Arial" w:hAnsi="Arial"/>
          <w:sz w:val="16"/>
          <w:szCs w:val="16"/>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Officer Compensation</w:t>
      </w:r>
      <w:r>
        <w:rPr>
          <w:rFonts w:ascii="Arial" w:cs="Arial" w:eastAsia="Arial" w:hAnsi="Arial"/>
          <w:sz w:val="16"/>
          <w:szCs w:val="16"/>
          <w:color w:val="auto"/>
        </w:rPr>
        <w:t>. The salaries of all officers and agents of the Corporation shall be fixed by the Board of Directors.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Removal; Resignation; Vacancies</w:t>
      </w:r>
      <w:r>
        <w:rPr>
          <w:rFonts w:ascii="Arial" w:cs="Arial" w:eastAsia="Arial" w:hAnsi="Arial"/>
          <w:sz w:val="17"/>
          <w:szCs w:val="17"/>
          <w:color w:val="auto"/>
        </w:rPr>
        <w:t>. Subject to the rights, if any of an officer under any contract or employment, any officer may be removed, either with or without cause, by the Board of Directors at any regular or special meeting of the Board of Directors, at any time by the affirmative vote of a majority of the Board of Directors. Any officer may resign at any time by giving notice to the Corporation in writing or by electronic transmission to the Board of Directors or to the Chairman of the Board. Any vacancy occurring in any office of the Corporation shall be filled by the Board of Directors.</w:t>
      </w:r>
    </w:p>
    <w:p>
      <w:pPr>
        <w:spacing w:after="0" w:line="16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auto"/>
        </w:rPr>
        <w:t>President</w:t>
      </w:r>
      <w:r>
        <w:rPr>
          <w:rFonts w:ascii="Arial" w:cs="Arial" w:eastAsia="Arial" w:hAnsi="Arial"/>
          <w:sz w:val="16"/>
          <w:szCs w:val="16"/>
          <w:color w:val="auto"/>
        </w:rPr>
        <w:t>. Unless otherwise determined by the Board of Directors, the President shall be the Chief Executive Officer of the Corporation. Subject to the provisions of these bylaws and the direction of the Board of Directors, he or she shall have the responsibility for the general management and control of the business and affairs of the Corporation and shall perform all duties and have all powers that are commonly incident to the office of chief executive or which are delegated to him or her by the Board of Directors. He or she shall have the power to sign all stock certificates, contracts and other instruments of the Corporation that are authorized and shall have general supervision and direction of all of the other officers, employees and agents of the Corporation.</w:t>
      </w:r>
    </w:p>
    <w:p>
      <w:pPr>
        <w:spacing w:after="0" w:line="154"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delegated to him or her by the Board of Directors or the President. One Vice President may be designated by the Board of Directors to perform the duties and exercise the powers of the President in the event of the President’s absence or disability.</w:t>
      </w:r>
    </w:p>
    <w:p>
      <w:pPr>
        <w:spacing w:after="0" w:line="17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Secretary and Assistant Secretary</w:t>
      </w:r>
      <w:r>
        <w:rPr>
          <w:rFonts w:ascii="Arial" w:cs="Arial" w:eastAsia="Arial" w:hAnsi="Arial"/>
          <w:sz w:val="16"/>
          <w:szCs w:val="16"/>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2" w:name="page43"/>
    <w:bookmarkEnd w:id="42"/>
    <w:p>
      <w:pPr>
        <w:ind w:right="60"/>
        <w:spacing w:after="0" w:line="272"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Chief Financial Officer, Treasurer and Assistant Treasurer</w:t>
      </w:r>
      <w:r>
        <w:rPr>
          <w:rFonts w:ascii="Arial" w:cs="Arial" w:eastAsia="Arial" w:hAnsi="Arial"/>
          <w:sz w:val="17"/>
          <w:szCs w:val="17"/>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this or her office and shall also perform such other duties and have such other powers as the Board of Directors of the President shall designate from time to time. The President may direct the Treasurer or any Assistant Treasurer to assume and perform the duties of the Chief Financial Officer in the absence or disability of the Chief Financial Officer, and each Treasurer and Assistant Treasurer shall perform other duties commonly incident to his or her office and shall also perform such other duties and have such other powers as the Board of Directors or the President shall designate from time to time.</w:t>
      </w:r>
    </w:p>
    <w:p>
      <w:pPr>
        <w:spacing w:after="0" w:line="1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Stock Certificates</w:t>
      </w:r>
      <w:r>
        <w:rPr>
          <w:rFonts w:ascii="Arial" w:cs="Arial" w:eastAsia="Arial" w:hAnsi="Arial"/>
          <w:sz w:val="18"/>
          <w:szCs w:val="18"/>
          <w:color w:val="auto"/>
        </w:rPr>
        <w:t>. Shares of capital stock of the Corporation may be certificated or uncertificated, as provided in the DGCL. Stock certificates shall be signed by, or in the name of the Corporation by, (i) the Chairman of the Board (if any) or the Vice Chairman of the Board (if any), the President or a Vice President, and (ii) the Secretary or an Assistant Secretary, or the Treasurer or an Assistant Treasurer, or the Chief Financial Officer, certifying the number of shares owned by such stockholder. Any signature on a certificate may be by facsimile.</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Lost, Stolen or Destroyed Certificates</w:t>
      </w:r>
      <w:r>
        <w:rPr>
          <w:rFonts w:ascii="Arial" w:cs="Arial" w:eastAsia="Arial" w:hAnsi="Arial"/>
          <w:sz w:val="17"/>
          <w:szCs w:val="17"/>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7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Transfer of Stock</w:t>
      </w:r>
      <w:r>
        <w:rPr>
          <w:rFonts w:ascii="Arial" w:cs="Arial" w:eastAsia="Arial" w:hAnsi="Arial"/>
          <w:sz w:val="18"/>
          <w:szCs w:val="18"/>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Registered Stockholders</w:t>
      </w:r>
      <w:r>
        <w:rPr>
          <w:rFonts w:ascii="Arial" w:cs="Arial" w:eastAsia="Arial" w:hAnsi="Arial"/>
          <w:sz w:val="18"/>
          <w:szCs w:val="18"/>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Dividends upon the capital stock of the Corporation, if any, subject to the provisions of the Certificate of Incorporation and applicable law, may be declared by the Board of Directors at any regular or special meeting. Dividends may be paid in cash, in property or in shares of the capital stock, subject to the provisions of the Certificate of Incorporation and applicable law.</w:t>
      </w:r>
    </w:p>
    <w:p>
      <w:pPr>
        <w:spacing w:after="0" w:line="176"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Reserve for Dividends</w:t>
      </w:r>
      <w:r>
        <w:rPr>
          <w:rFonts w:ascii="Arial" w:cs="Arial" w:eastAsia="Arial" w:hAnsi="Arial"/>
          <w:sz w:val="17"/>
          <w:szCs w:val="17"/>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6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Inconsistencies</w:t>
      </w:r>
      <w:r>
        <w:rPr>
          <w:rFonts w:ascii="Arial" w:cs="Arial" w:eastAsia="Arial" w:hAnsi="Arial"/>
          <w:sz w:val="18"/>
          <w:szCs w:val="18"/>
          <w:color w:val="auto"/>
        </w:rPr>
        <w:t>. If any provision of these bylaws is or becomes inconsistent with any provision of the Certificate of Incorporation, the DGCL or any other applicable law, the provision of these bylaws shall not be given any effect to the extent of the inconsistency, but shall otherwise be given full force and effect.</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or provisions of these bylaws shall be held to be invalid, illegal, or unenforceable for any reason whatsoever: (1) the validity, legality, and enforceability of the remaining provisions of these bylaws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these bylaws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Corporation shall, to the fullest extent authorized under the laws of the State of Delaware, as those laws may be amended and supplemented from time to time, indemnify any person made, or threatened to be made, a party to an action or proceeding, whether criminal, civil, administrative or investigative, by reason of being a director or officer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8.1 shall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The Corporation’s obligation to provide indemnification under this Section 8.1 shall be offset to the extent of any other source of indemnification or any otherwise applicable insurance coverage under a policy maintained by the Corporation or any other person.</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312" w:lineRule="auto"/>
        <w:rPr>
          <w:sz w:val="20"/>
          <w:szCs w:val="20"/>
          <w:color w:val="auto"/>
        </w:rPr>
      </w:pPr>
      <w:r>
        <w:rPr>
          <w:rFonts w:ascii="Arial" w:cs="Arial" w:eastAsia="Arial" w:hAnsi="Arial"/>
          <w:sz w:val="16"/>
          <w:szCs w:val="16"/>
          <w:color w:val="auto"/>
        </w:rPr>
        <w:t>The foregoing provisions of this Section 8.1 shall be deemed to be a contract between the Corporation and each director or officer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Board of Directors in its sole discretion shall have power on behalf of the Corporation to indemnify any person, other than a director or officer, made a party to any action, suit or proceeding by reason of the fact that he or she, his or her testator or intestate, is or was an officer or employee of the Corporation.</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Corporation may purchase and maintain insurance, at its expense, to protect itself and any director, officer, employee or agent of the Corporation or another corporation, partnership, joint venture, trust or other enterprise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assure indemnification under this Section 8.1 of all directors, officers and employees who are determined by the Corporation or otherwise to be or to have been “fiduciaries” of any employee benefit plan of the Corporation that may exist from time to time, Section 145 of the DGCL shall, for the purposes of this Section 8.1,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(1) any derivative action or proceeding brought on behalf of the Corporation; (2) any action asserting a claim of breach of a fiduciary duty owed by, or any other wrongdoing by, any director, officer or other employee of the Corporation to the Corporation or the Corporation’s stockholders;</w:t>
      </w:r>
    </w:p>
    <w:p>
      <w:pPr>
        <w:spacing w:after="0" w:line="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or any director or officer or other employee of the Corporation arising pursuant to any provision of</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 DGCL, the Corporation’s Certificate of Incorporation or the Bylaws of the Corporation; (4) any action to interpret, apply, enforce or determine the validity of the Delaware Certificate of Incorporation or the Bylaws, or (5) any action asserting a claim against the Corporation or any director or officer or other employee of the Corporation governed by the internal affairs doctrine.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CERTIFICATE OF SECRETARY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hereby certifies that he is the duly elected and acting Secretary of Marker Therapeutics, Inc., a Delaware corporation (the “Corporation”), and that the bylaws attached hereto constitute the bylaws of said Corporation as duly adopted by Action by Written Consent of the Board of Directors on May 14,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subscribed his name this 16th day of October, 2018.</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CONVERSION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A NON-DELAWARE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265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w:t>
      </w:r>
      <w:r>
        <w:rPr>
          <w:rFonts w:ascii="Arial" w:cs="Arial" w:eastAsia="Arial" w:hAnsi="Arial"/>
          <w:sz w:val="18"/>
          <w:szCs w:val="18"/>
          <w:color w:val="auto"/>
        </w:rPr>
        <w:t>: The jurisdiction where the Non-Delaware Corporation first formed is Nevada.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w:t>
      </w:r>
      <w:r>
        <w:rPr>
          <w:rFonts w:ascii="Arial" w:cs="Arial" w:eastAsia="Arial" w:hAnsi="Arial"/>
          <w:sz w:val="18"/>
          <w:szCs w:val="18"/>
          <w:color w:val="auto"/>
        </w:rPr>
        <w:t>: The jurisdiction immediately prior to filing this Certificate is Nevada.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w:t>
      </w:r>
      <w:r>
        <w:rPr>
          <w:rFonts w:ascii="Arial" w:cs="Arial" w:eastAsia="Arial" w:hAnsi="Arial"/>
          <w:sz w:val="18"/>
          <w:szCs w:val="18"/>
          <w:color w:val="auto"/>
        </w:rPr>
        <w:t>: The date the Non-Delaware Corporation was first formed is October 22, 1991.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FOURTH</w:t>
      </w:r>
      <w:r>
        <w:rPr>
          <w:rFonts w:ascii="Arial" w:cs="Arial" w:eastAsia="Arial" w:hAnsi="Arial"/>
          <w:sz w:val="18"/>
          <w:szCs w:val="18"/>
          <w:color w:val="auto"/>
        </w:rPr>
        <w:t>: The name of the Non-Delaware Corporation immediately prior to filing this Certificate is Marker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FIFTH</w:t>
      </w:r>
      <w:r>
        <w:rPr>
          <w:rFonts w:ascii="Arial" w:cs="Arial" w:eastAsia="Arial" w:hAnsi="Arial"/>
          <w:sz w:val="18"/>
          <w:szCs w:val="18"/>
          <w:color w:val="auto"/>
        </w:rPr>
        <w:t>: The name of the Corporation as set forth in the Certificate of Incorporation is Marker Therapeutics,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SIXTH</w:t>
      </w:r>
      <w:r>
        <w:rPr>
          <w:rFonts w:ascii="Arial" w:cs="Arial" w:eastAsia="Arial" w:hAnsi="Arial"/>
          <w:sz w:val="18"/>
          <w:szCs w:val="18"/>
          <w:color w:val="auto"/>
        </w:rPr>
        <w:t>: The effective date and time of this Certificate shall be October 17, 2018 at 3:05 a.m. EDT.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being duly authorized to sign on behalf of the converting Non-Delaware Corporation has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on the 16th day of October, 2018.</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 Nevada corporation</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L. Hoang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undersigned, a natural person (the “Incorporator”), for the purpose of organizing a corporation to conduct the business and promote the purposes hereinafter stated, under the provisions and subject to the requirements of the laws of the State of Delaware hereby certifies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“Marker Therapeutics, Inc.” (hereinafter referred to as the “Corporation”).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street address and county of the registered office of the Corporation in the State of Delaware is 1209 Orange Street, Wilmington, Delaware 19801, County of New Castle. The name of the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nature of the business or purposes for which the Corporation is organized is to engage in any lawful act or activity for which a corporation may be organized under the Delaware General Corporation Law (the “DGCL”).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both"/>
        <w:ind w:firstLine="656"/>
        <w:spacing w:after="0" w:line="259" w:lineRule="auto"/>
        <w:tabs>
          <w:tab w:leader="none" w:pos="141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Authorization of Stock</w:t>
      </w:r>
      <w:r>
        <w:rPr>
          <w:rFonts w:ascii="Arial" w:cs="Arial" w:eastAsia="Arial" w:hAnsi="Arial"/>
          <w:sz w:val="18"/>
          <w:szCs w:val="18"/>
          <w:color w:val="auto"/>
        </w:rPr>
        <w:t>. The Corporation is authorized to issue two classes of stock to be designated, respectively, “Common Stock” and “Preferred Stock.” The total number of shares that the Corporation is authorized to issue is One Hundred Fifty Five Million (155,000,000) shares, consisting of (i) One Hundred Fifty Million (150,000,000) shares of Common Stock, $0.001 par value per share, and (ii) Five Million (5,000,000) shares of Preferred Stock, $0.001 par value per share.</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The rights, preferences, privileges and restrictions granted to and imposed on the Common Stock are as set forth below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Article IV(B).</w:t>
      </w:r>
    </w:p>
    <w:p>
      <w:pPr>
        <w:spacing w:after="0" w:line="210" w:lineRule="exact"/>
        <w:rPr>
          <w:rFonts w:ascii="Arial" w:cs="Arial" w:eastAsia="Arial" w:hAnsi="Arial"/>
          <w:sz w:val="16"/>
          <w:szCs w:val="16"/>
          <w:color w:val="auto"/>
        </w:rPr>
      </w:pPr>
    </w:p>
    <w:p>
      <w:pPr>
        <w:jc w:val="both"/>
        <w:ind w:firstLine="980"/>
        <w:spacing w:after="0" w:line="264" w:lineRule="auto"/>
        <w:tabs>
          <w:tab w:leader="none" w:pos="132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“Board of Directors”) upon any issuance of the Preferred Stock of any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ind w:firstLine="980"/>
        <w:spacing w:after="0" w:line="254" w:lineRule="auto"/>
        <w:tabs>
          <w:tab w:leader="none" w:pos="128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92" w:lineRule="exact"/>
        <w:rPr>
          <w:rFonts w:ascii="Arial" w:cs="Arial" w:eastAsia="Arial" w:hAnsi="Arial"/>
          <w:sz w:val="18"/>
          <w:szCs w:val="18"/>
          <w:color w:val="auto"/>
        </w:rPr>
      </w:pPr>
    </w:p>
    <w:p>
      <w:pPr>
        <w:jc w:val="both"/>
        <w:ind w:firstLine="980"/>
        <w:spacing w:after="0" w:line="264" w:lineRule="auto"/>
        <w:tabs>
          <w:tab w:leader="none" w:pos="128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the Corporation legally available therefor, any dividends as may be declared from time to time by the Board of Directors.</w:t>
      </w:r>
    </w:p>
    <w:p>
      <w:pPr>
        <w:spacing w:after="0" w:line="181" w:lineRule="exact"/>
        <w:rPr>
          <w:rFonts w:ascii="Arial" w:cs="Arial" w:eastAsia="Arial" w:hAnsi="Arial"/>
          <w:sz w:val="18"/>
          <w:szCs w:val="18"/>
          <w:color w:val="auto"/>
        </w:rPr>
      </w:pPr>
    </w:p>
    <w:p>
      <w:pPr>
        <w:ind w:firstLine="980"/>
        <w:spacing w:after="0" w:line="308" w:lineRule="auto"/>
        <w:tabs>
          <w:tab w:leader="none" w:pos="1287"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The holders of the Common Stock will be entitled to share ratably, on the basis of the number of shares of Common Stock then held by each such holder, in all distributions to the holders of the Common Stock in any liquidation, dissolution or winding up of the Corporation.</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color w:val="auto"/>
        </w:rPr>
      </w:pPr>
    </w:p>
    <w:p>
      <w:pPr>
        <w:jc w:val="both"/>
        <w:ind w:firstLine="648"/>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The number of directors which shall constitute the Board of Directors shall be determined in the manner set forth in the Bylaws of the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of the Corporation need not be elected by written ballot unless the Bylaws of the Corporation so provide.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by applicable law, the Corporation is authorized to provide indemnification of (and advancement of expenses to) directors, officer, employees and agents of the Corporation (and any other persons to which the DGCL permits the Corporation to provide indemnification) through Bylaw provisions, agreements with such persons, vote of stockholders or disinterested directors or otherwise, in excess of the indemnification and advancement otherwise permitted by such applicable law, subject only to limits created by applicable DGCL (statutory or non-statutory) with respect to actions for breach of duty to the Corporation, its stockholders and others.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Corporation shall have the power to purchase and maintain insurance on behalf of any person who is or was a director, officer, employee or agent of the Corporation, or was servicing at the request of the Corporation as a director, officer, employee or agent of another entity,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 X or the DGCL.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fullest extent provided by law, a director of the Corporation shall not be personally liable to the Corporation or its stockholders for monetary damages for breach of fiduciary duty as a director. If the DGCL is amended after approval by the stockholders of this Article XI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 the Corporation existing at the time of, or increase the liability of any director of the Corporation with respect to any acts or omissions of such director occurring prior to, such amendment, repeal or modification.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(1) any derivative action or proceeding brought on behalf of the Corporation; (2) any action asserting a claim of breach of a fiduciary duty owed by, or any other wrongdoing by, any director, officer or other employee of the Corporation to the Corporation or the Corporation’s stockholders;</w:t>
      </w:r>
    </w:p>
    <w:p>
      <w:pPr>
        <w:spacing w:after="0" w:line="2" w:lineRule="exact"/>
        <w:rPr>
          <w:sz w:val="20"/>
          <w:szCs w:val="20"/>
          <w:color w:val="auto"/>
        </w:rPr>
      </w:pPr>
    </w:p>
    <w:p>
      <w:pPr>
        <w:jc w:val="both"/>
        <w:ind w:firstLine="8"/>
        <w:spacing w:after="0" w:line="271"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or any director or officer or other employee of the Corporation arising pursuant to any provision of the DGCL, the Corporation’s Certificate of Incorporation or the Bylaws of the Corporation; (4) any action to interpret, apply, enforce or determine the validity of the Delaware Certificate of Incorporation or the Bylaws, or (5) any action asserting a claim against the Corporation or any director or officer or other employee of the Corporation governed by the internal affairs doctrine. Any person or entity purchasing or otherwise acquiring or holding any interest in shares of capital stock of the Corporation shall be deemed to have notice of and consented to the provisions of this Article XII.</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action the subject matter of which is within the scope of this Article XII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this Article XII (an “FSC Enforcement Action”) and (ii) having service of process made upon such stockholder in any such FSC Enforcement Action by service upon such stockholder’s counsel in the Foreign Action as agent for such stockholder.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the mailing address of the Incorporator are as follows:</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Mailing Address</w:t>
      </w:r>
    </w:p>
    <w:p>
      <w:pPr>
        <w:spacing w:after="0" w:line="200" w:lineRule="exact"/>
        <w:rPr>
          <w:sz w:val="20"/>
          <w:szCs w:val="20"/>
          <w:color w:val="auto"/>
        </w:rPr>
      </w:pPr>
    </w:p>
    <w:p>
      <w:pPr>
        <w:sectPr>
          <w:pgSz w:w="11900" w:h="16838" w:orient="portrait"/>
          <w:cols w:equalWidth="0" w:num="2">
            <w:col w:w="4040" w:space="720"/>
            <w:col w:w="6660"/>
          </w:cols>
          <w:pgMar w:left="240" w:top="905" w:right="239" w:bottom="1440" w:gutter="0" w:footer="0" w:header="0"/>
          <w:type w:val="continuous"/>
        </w:sectPr>
      </w:pPr>
    </w:p>
    <w:p>
      <w:pPr>
        <w:spacing w:after="0" w:line="4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w:t>
      </w:r>
      <w:r>
        <w:rPr>
          <w:rFonts w:ascii="Arial" w:cs="Arial" w:eastAsia="Arial" w:hAnsi="Arial"/>
          <w:sz w:val="11"/>
          <w:szCs w:val="11"/>
          <w:color w:val="auto"/>
        </w:rPr>
        <w:t>ETER</w:t>
      </w:r>
      <w:r>
        <w:rPr>
          <w:rFonts w:ascii="Arial" w:cs="Arial" w:eastAsia="Arial" w:hAnsi="Arial"/>
          <w:sz w:val="17"/>
          <w:szCs w:val="17"/>
          <w:color w:val="auto"/>
        </w:rPr>
        <w:t xml:space="preserve"> H</w:t>
      </w:r>
      <w:r>
        <w:rPr>
          <w:rFonts w:ascii="Arial" w:cs="Arial" w:eastAsia="Arial" w:hAnsi="Arial"/>
          <w:sz w:val="11"/>
          <w:szCs w:val="11"/>
          <w:color w:val="auto"/>
        </w:rPr>
        <w:t>OANG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 West Forsyth Street,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0" w:lineRule="exact"/>
        <w:rPr>
          <w:sz w:val="20"/>
          <w:szCs w:val="20"/>
          <w:color w:val="auto"/>
        </w:rPr>
      </w:pPr>
    </w:p>
    <w:p>
      <w:pPr>
        <w:sectPr>
          <w:pgSz w:w="11900" w:h="16838" w:orient="portrait"/>
          <w:cols w:equalWidth="0" w:num="2">
            <w:col w:w="4040" w:space="720"/>
            <w:col w:w="6660"/>
          </w:cols>
          <w:pgMar w:left="240" w:top="905"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date and time of this Certificate of Incorporation shall be October 17, 2018 at 3:05 a.m. EDT.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I, the undersigned, for the purpose of forming a corporation pursuant to the DGCL, do make, file and record this Certificate of Incorporation, hereby acknowledging, declaring and certifying that this Certificate of Incorporation is my act and deed and that the facts herein stated are true, and have accordingly hereunto set my hand this 16th day of October, 2018.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ETER</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Certificate of Incorporation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undersigned, a natural person (the “Incorporator”), for the purpose of organizing a corporation to conduct the business and promote the purposes hereinafter stated, under the provisions and subject to the requirements of the laws of the State of Delaware hereby certifies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“Marker Therapeutics, Inc.” (hereinafter referred to as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street address and county of the registered office of the Corporation in the State of Delaware is 1209 Orange Street, Wilmington, Delaware 19801, County of New Castle. The name of the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nature of the business or purposes for which the Corporation is organized is to engage in any lawful act or activity for which a corporation may be organized under the Delaware General Corporation Law (the “DGCL”).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both"/>
        <w:ind w:firstLine="656"/>
        <w:spacing w:after="0" w:line="259" w:lineRule="auto"/>
        <w:tabs>
          <w:tab w:leader="none" w:pos="138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Authorization of Stock</w:t>
      </w:r>
      <w:r>
        <w:rPr>
          <w:rFonts w:ascii="Arial" w:cs="Arial" w:eastAsia="Arial" w:hAnsi="Arial"/>
          <w:sz w:val="18"/>
          <w:szCs w:val="18"/>
          <w:color w:val="auto"/>
        </w:rPr>
        <w:t>. The Corporation is authorized to issue two classes of stock to be designated, respectively, “Common Stock” and “Preferred Stock.” The total number of shares that the Corporation is authorized to issue is One Hundred Fifty Five Million (155,000,000) shares, consisting of (i) One Hundred Fifty Million (150,000,000) shares of Common Stock, $0.001 par value per share, and (ii) Five Million (5,000,000) shares of Preferred Stock, $0.001 par value per share.</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The rights, preferences, privileges and restrictions granted to and imposed on the Common Stock are as set forth below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Article IV(B).</w:t>
      </w:r>
    </w:p>
    <w:p>
      <w:pPr>
        <w:spacing w:after="0" w:line="210" w:lineRule="exact"/>
        <w:rPr>
          <w:rFonts w:ascii="Arial" w:cs="Arial" w:eastAsia="Arial" w:hAnsi="Arial"/>
          <w:sz w:val="16"/>
          <w:szCs w:val="16"/>
          <w:color w:val="auto"/>
        </w:rPr>
      </w:pPr>
    </w:p>
    <w:p>
      <w:pPr>
        <w:jc w:val="both"/>
        <w:ind w:firstLine="980"/>
        <w:spacing w:after="0" w:line="264" w:lineRule="auto"/>
        <w:tabs>
          <w:tab w:leader="none" w:pos="132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“Board of Directors”) upon any issuance of the Preferred Stock of any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5" w:name="page56"/>
    <w:bookmarkEnd w:id="55"/>
    <w:p>
      <w:pPr>
        <w:jc w:val="both"/>
        <w:ind w:firstLine="980"/>
        <w:spacing w:after="0" w:line="254" w:lineRule="auto"/>
        <w:tabs>
          <w:tab w:leader="none" w:pos="128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of each share of Common Stock shall have the right to one vote for each such share, and shall be entitled to notice of any stockholders’ meeting in accordance with the Bylaws of the Corporation, and shall be entitled to vote upon such matters and in such manner as may be provided by law; provided, however,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92" w:lineRule="exact"/>
        <w:rPr>
          <w:rFonts w:ascii="Arial" w:cs="Arial" w:eastAsia="Arial" w:hAnsi="Arial"/>
          <w:sz w:val="18"/>
          <w:szCs w:val="18"/>
          <w:color w:val="auto"/>
        </w:rPr>
      </w:pPr>
    </w:p>
    <w:p>
      <w:pPr>
        <w:jc w:val="both"/>
        <w:ind w:firstLine="980"/>
        <w:spacing w:after="0" w:line="264" w:lineRule="auto"/>
        <w:tabs>
          <w:tab w:leader="none" w:pos="1287"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the Corporation legally available therefor, any dividends as may be declared from time to time by the Board of Directors.</w:t>
      </w:r>
    </w:p>
    <w:p>
      <w:pPr>
        <w:spacing w:after="0" w:line="181" w:lineRule="exact"/>
        <w:rPr>
          <w:rFonts w:ascii="Arial" w:cs="Arial" w:eastAsia="Arial" w:hAnsi="Arial"/>
          <w:sz w:val="18"/>
          <w:szCs w:val="18"/>
          <w:color w:val="auto"/>
        </w:rPr>
      </w:pPr>
    </w:p>
    <w:p>
      <w:pPr>
        <w:ind w:firstLine="980"/>
        <w:spacing w:after="0" w:line="308" w:lineRule="auto"/>
        <w:tabs>
          <w:tab w:leader="none" w:pos="128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The holders of the Common Stock will be entitled to share ratably, on the basis of the number of shares of Common Stock then held by each such holder, in all distributions to the holders of the Common Stock in any liquidation, dissolution or winding up of the Corporation.</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color w:val="auto"/>
        </w:rPr>
      </w:pPr>
    </w:p>
    <w:p>
      <w:pPr>
        <w:jc w:val="both"/>
        <w:ind w:firstLine="648"/>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Preferred Stock may be issued from time to time in one or more series. The Board of Directors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provided in this Certificate of Incorporation, in furtherance and not in limitation of the powers conferred by statute, the Board of Directors is expressly authorized to make, repeal, alter, amend and rescind any or all of the Bylaws of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The number of directors which shall constitute the Board of Directors shall be determined in the manner set forth in the Bylaws of the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of the Corporation need not be elected by written ballot unless the Bylaws of the Corporation so provide.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by applicable law, the Corporation is authorized to provide indemnification of (and advancement of expenses to) directors, officer, employees and agents of the Corporation (and any other persons to which the DGCL permits the Corporation to provide indemnification) through Bylaw provisions, agreements with such persons, vote of stockholders or disinterested directors or otherwise, in excess of the indemnification and advancement otherwise permitted by such applicable law, subject only to limits created by applicable DGCL (statutory or non-statutory) with respect to actions for breach of duty to the Corporation, its stockholders and others.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Corporation shall have the power to purchase and maintain insurance on behalf of any person who is or was a director, officer, employee or agent of the Corporation, or was servicing at the request of the Corporation as a director, officer, employee or agent of another entity,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 X or the DGCL.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fullest extent provided by law, a director of the Corporation shall not be personally liable to the Corporation or its stockholders for monetary damages for breach of fiduciary duty as a director. If the DGCL is amended after approval by the stockholders of this Article XI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 the Corporation existing at the time of, or increase the liability of any director of the Corporation with respect to any acts or omissions of such director occurring prior to, such amendment, repeal or modification.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(1) any derivative action or proceeding brought on behalf of the Corporation; (2) any action asserting a claim of breach of a fiduciary duty owed by, or any other wrongdoing by, any director, officer or other employee of the Corporation to the Corporation or the Corporation’s stockholders;</w:t>
      </w:r>
    </w:p>
    <w:p>
      <w:pPr>
        <w:spacing w:after="0" w:line="2" w:lineRule="exact"/>
        <w:rPr>
          <w:sz w:val="20"/>
          <w:szCs w:val="20"/>
          <w:color w:val="auto"/>
        </w:rPr>
      </w:pPr>
    </w:p>
    <w:p>
      <w:pPr>
        <w:jc w:val="both"/>
        <w:ind w:firstLine="8"/>
        <w:spacing w:after="0" w:line="271"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or any director or officer or other employee of the Corporation arising pursuant to any provision of the DGCL, the Corporation’s Certificate of Incorporation or the Bylaws of the Corporation; (4) any action to interpret, apply, enforce or determine the validity of the Delaware Certificate of Incorporation or the Bylaws, or (5) any action asserting a claim against the Corporation or any director or officer or other employee of the Corporation governed by the internal affairs doctrine. Any person or entity purchasing or otherwise acquiring or holding any interest in shares of capital stock of the Corporation shall be deemed to have notice of and consented to the provisions of this Article XII.</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action the subject matter of which is within the scope of this Article XII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this Article XII (an “FSC Enforcement Action”) and (ii) having service of process made upon such stockholder in any such FSC Enforcement Action by service upon such stockholder’s counsel in the Foreign Action as agent for such stockholder.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the mailing address of the Incorporator are as follows:</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Mailing Address</w:t>
      </w:r>
    </w:p>
    <w:p>
      <w:pPr>
        <w:spacing w:after="0" w:line="200" w:lineRule="exact"/>
        <w:rPr>
          <w:sz w:val="20"/>
          <w:szCs w:val="20"/>
          <w:color w:val="auto"/>
        </w:rPr>
      </w:pPr>
    </w:p>
    <w:p>
      <w:pPr>
        <w:sectPr>
          <w:pgSz w:w="11900" w:h="16838" w:orient="portrait"/>
          <w:cols w:equalWidth="0" w:num="2">
            <w:col w:w="4960" w:space="720"/>
            <w:col w:w="5740"/>
          </w:cols>
          <w:pgMar w:left="240" w:top="905" w:right="239" w:bottom="1440" w:gutter="0" w:footer="0" w:header="0"/>
          <w:type w:val="continuous"/>
        </w:sectPr>
      </w:pP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w:t>
      </w:r>
      <w:r>
        <w:rPr>
          <w:rFonts w:ascii="Arial" w:cs="Arial" w:eastAsia="Arial" w:hAnsi="Arial"/>
          <w:sz w:val="11"/>
          <w:szCs w:val="11"/>
          <w:color w:val="auto"/>
        </w:rPr>
        <w:t>ETER</w:t>
      </w:r>
      <w:r>
        <w:rPr>
          <w:rFonts w:ascii="Arial" w:cs="Arial" w:eastAsia="Arial" w:hAnsi="Arial"/>
          <w:sz w:val="17"/>
          <w:szCs w:val="17"/>
          <w:color w:val="auto"/>
        </w:rPr>
        <w:t xml:space="preserve"> H</w:t>
      </w:r>
      <w:r>
        <w:rPr>
          <w:rFonts w:ascii="Arial" w:cs="Arial" w:eastAsia="Arial" w:hAnsi="Arial"/>
          <w:sz w:val="11"/>
          <w:szCs w:val="11"/>
          <w:color w:val="auto"/>
        </w:rPr>
        <w:t>OANG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 West Forsyth Street,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0" w:lineRule="exact"/>
        <w:rPr>
          <w:sz w:val="20"/>
          <w:szCs w:val="20"/>
          <w:color w:val="auto"/>
        </w:rPr>
      </w:pPr>
    </w:p>
    <w:p>
      <w:pPr>
        <w:sectPr>
          <w:pgSz w:w="11900" w:h="16838" w:orient="portrait"/>
          <w:cols w:equalWidth="0" w:num="2">
            <w:col w:w="4960" w:space="720"/>
            <w:col w:w="5740"/>
          </w:cols>
          <w:pgMar w:left="240" w:top="905"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date and time of this Certificate of Incorporation shall be October 17, 2018 at 3:05 a.m. EDT.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9" w:name="page60"/>
    <w:bookmarkEnd w:id="59"/>
    <w:p>
      <w:pPr>
        <w:jc w:val="both"/>
        <w:ind w:firstLine="648"/>
        <w:spacing w:after="0" w:line="264" w:lineRule="auto"/>
        <w:rPr>
          <w:sz w:val="20"/>
          <w:szCs w:val="20"/>
          <w:color w:val="auto"/>
        </w:rPr>
      </w:pPr>
      <w:r>
        <w:rPr>
          <w:rFonts w:ascii="Arial" w:cs="Arial" w:eastAsia="Arial" w:hAnsi="Arial"/>
          <w:sz w:val="18"/>
          <w:szCs w:val="18"/>
          <w:color w:val="auto"/>
        </w:rPr>
        <w:t>I, the undersigned, for the purpose of forming a corporation pursuant to the DGCL, do make, file and record this Certificate of Incorporation, hereby acknowledging, declaring and certifying that this Certificate of Incorporation is my act and deed and that the facts herein stated are true, and have accordingly hereunto set my hand this 16th day of October,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/s/Peter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ETER</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Certificate of Incorporation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TIMBERWOLF MERGER SUB,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CELL THERAPY,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251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152400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corporation, Marker Cell Therapy, Inc., hereby certifies that:</w:t>
      </w:r>
    </w:p>
    <w:p>
      <w:pPr>
        <w:spacing w:after="0" w:line="225" w:lineRule="exact"/>
        <w:rPr>
          <w:sz w:val="20"/>
          <w:szCs w:val="20"/>
          <w:color w:val="auto"/>
        </w:rPr>
      </w:pPr>
    </w:p>
    <w:p>
      <w:pPr>
        <w:ind w:firstLine="656"/>
        <w:spacing w:after="0" w:line="277" w:lineRule="auto"/>
        <w:tabs>
          <w:tab w:leader="none" w:pos="14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names and states of incorporation of each constituent corporation is: Timberwolf Merger Sub, Inc., a Delaware corporation (the “Disappearing Corporation”) and Marker Cell Therapy, Inc., a Delaware corporation (the “Surviving Corporation”).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Agreement and Plan of Merger and Reorganization, dated May 15, 2018 (the “Merger Agreement”), setting forth the terms and conditions of the merger of the Disappearing Corporation with and into the Surviving Corporation (the “Merger”), has been approved, adopted, certified, executed and acknowledged by the Disappearing Corporation and by the Surviving Corporation in accordance with the provisions of Section 251 of the General Corporation Law of the State of Delaware.</w:t>
      </w:r>
    </w:p>
    <w:p>
      <w:pPr>
        <w:spacing w:after="0" w:line="186" w:lineRule="exact"/>
        <w:rPr>
          <w:rFonts w:ascii="Arial" w:cs="Arial" w:eastAsia="Arial" w:hAnsi="Arial"/>
          <w:sz w:val="18"/>
          <w:szCs w:val="18"/>
          <w:color w:val="auto"/>
        </w:rPr>
      </w:pPr>
    </w:p>
    <w:p>
      <w:pPr>
        <w:ind w:right="20" w:firstLine="656"/>
        <w:spacing w:after="0" w:line="277" w:lineRule="auto"/>
        <w:tabs>
          <w:tab w:leader="none" w:pos="1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surviving corporation of the Merger shall be Marker Cell Therapy, Inc., a Delaware corporation. The name of the Surviving Corporation of the Merger shall be “Marker Cell Therapy, Inc.”</w:t>
      </w:r>
    </w:p>
    <w:p>
      <w:pPr>
        <w:spacing w:after="0" w:line="170" w:lineRule="exact"/>
        <w:rPr>
          <w:rFonts w:ascii="Arial" w:cs="Arial" w:eastAsia="Arial" w:hAnsi="Arial"/>
          <w:sz w:val="18"/>
          <w:szCs w:val="18"/>
          <w:color w:val="auto"/>
        </w:rPr>
      </w:pPr>
    </w:p>
    <w:p>
      <w:pPr>
        <w:ind w:right="20" w:firstLine="656"/>
        <w:spacing w:after="0" w:line="277" w:lineRule="auto"/>
        <w:tabs>
          <w:tab w:leader="none" w:pos="12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Surviving Corporation shall be restated in its entirety to read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shall continue in full force and effect until thereafter amended in accordance with the DGCL.</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Merger is to become effective on October 17, 2018 at an effective time of 3:10 a.m. EDT.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Agreement of Merger is on file at 5 West Forsyth Street, Suite 200, Jacksonville, Florida 32202, the place of business of the Surviving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0" w:lineRule="exact"/>
        <w:rPr>
          <w:rFonts w:ascii="Arial" w:cs="Arial" w:eastAsia="Arial" w:hAnsi="Arial"/>
          <w:sz w:val="16"/>
          <w:szCs w:val="16"/>
          <w:color w:val="auto"/>
        </w:rPr>
      </w:pPr>
    </w:p>
    <w:p>
      <w:pPr>
        <w:ind w:right="20" w:firstLine="656"/>
        <w:spacing w:after="0" w:line="277" w:lineRule="auto"/>
        <w:tabs>
          <w:tab w:leader="none" w:pos="14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copy of the Merger Agreement will be furnished by the surviving corporation on request, without cost, to any stockholder of the Disappearing Corporation or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IN WITNESS WHEREOF, the undersigned has executed and subscribed to this Certificate of Merger on behalf of Marker Cell Therapy, Inc. as its authorized officer and hereby affirms, under penalty of perjury, that this Certificate of Merger is the act and deed of such corporation and that the facts stated herein are true.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October 16,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John Wilson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CEO and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080" w:type="dxa"/>
            <w:vAlign w:val="bottom"/>
            <w:gridSpan w:val="2"/>
          </w:tcPr>
          <w:p>
            <w:pPr>
              <w:jc w:val="center"/>
              <w:ind w:right="5340"/>
              <w:spacing w:after="0"/>
              <w:rPr>
                <w:sz w:val="20"/>
                <w:szCs w:val="20"/>
                <w:color w:val="auto"/>
              </w:rPr>
            </w:pPr>
            <w:r>
              <w:rPr>
                <w:rFonts w:ascii="Arial" w:cs="Arial" w:eastAsia="Arial" w:hAnsi="Arial"/>
                <w:sz w:val="18"/>
                <w:szCs w:val="18"/>
                <w:b w:val="1"/>
                <w:bCs w:val="1"/>
                <w:color w:val="auto"/>
                <w:w w:val="94"/>
              </w:rPr>
              <w:t>Exhibit A</w:t>
            </w:r>
          </w:p>
        </w:tc>
      </w:tr>
      <w:tr>
        <w:trPr>
          <w:trHeight w:val="20"/>
        </w:trPr>
        <w:tc>
          <w:tcPr>
            <w:tcW w:w="1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53"/>
        </w:trPr>
        <w:tc>
          <w:tcPr>
            <w:tcW w:w="1640" w:type="dxa"/>
            <w:vAlign w:val="bottom"/>
          </w:tcPr>
          <w:p>
            <w:pPr>
              <w:spacing w:after="0"/>
              <w:rPr>
                <w:sz w:val="24"/>
                <w:szCs w:val="24"/>
                <w:color w:val="auto"/>
              </w:rPr>
            </w:pPr>
          </w:p>
        </w:tc>
        <w:tc>
          <w:tcPr>
            <w:tcW w:w="978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rPr>
              <w:t>AMENDED AND RESTATED CERTIFICATE OF INCORPORATION</w:t>
            </w:r>
          </w:p>
        </w:tc>
      </w:tr>
      <w:tr>
        <w:trPr>
          <w:trHeight w:val="432"/>
        </w:trPr>
        <w:tc>
          <w:tcPr>
            <w:tcW w:w="16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80" w:type="dxa"/>
            <w:vAlign w:val="bottom"/>
            <w:gridSpan w:val="2"/>
          </w:tcPr>
          <w:p>
            <w:pPr>
              <w:jc w:val="center"/>
              <w:ind w:right="5340"/>
              <w:spacing w:after="0"/>
              <w:rPr>
                <w:sz w:val="20"/>
                <w:szCs w:val="20"/>
                <w:color w:val="auto"/>
              </w:rPr>
            </w:pPr>
            <w:r>
              <w:rPr>
                <w:rFonts w:ascii="Arial" w:cs="Arial" w:eastAsia="Arial" w:hAnsi="Arial"/>
                <w:sz w:val="18"/>
                <w:szCs w:val="18"/>
                <w:b w:val="1"/>
                <w:bCs w:val="1"/>
                <w:color w:val="auto"/>
              </w:rPr>
              <w:t>OF</w:t>
            </w:r>
          </w:p>
        </w:tc>
      </w:tr>
      <w:tr>
        <w:trPr>
          <w:trHeight w:val="432"/>
        </w:trPr>
        <w:tc>
          <w:tcPr>
            <w:tcW w:w="1640" w:type="dxa"/>
            <w:vAlign w:val="bottom"/>
          </w:tcPr>
          <w:p>
            <w:pPr>
              <w:spacing w:after="0"/>
              <w:rPr>
                <w:sz w:val="24"/>
                <w:szCs w:val="24"/>
                <w:color w:val="auto"/>
              </w:rPr>
            </w:pPr>
          </w:p>
        </w:tc>
        <w:tc>
          <w:tcPr>
            <w:tcW w:w="97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rPr>
              <w:t>MARKER CELL THERAPY, INC.</w:t>
            </w:r>
          </w:p>
        </w:tc>
      </w:tr>
      <w:tr>
        <w:trPr>
          <w:trHeight w:val="432"/>
        </w:trPr>
        <w:tc>
          <w:tcPr>
            <w:tcW w:w="1640" w:type="dxa"/>
            <w:vAlign w:val="bottom"/>
          </w:tcPr>
          <w:p>
            <w:pPr>
              <w:ind w:left="660"/>
              <w:spacing w:after="0"/>
              <w:rPr>
                <w:sz w:val="20"/>
                <w:szCs w:val="20"/>
                <w:color w:val="auto"/>
              </w:rPr>
            </w:pPr>
            <w:r>
              <w:rPr>
                <w:rFonts w:ascii="Arial" w:cs="Arial" w:eastAsia="Arial" w:hAnsi="Arial"/>
                <w:sz w:val="18"/>
                <w:szCs w:val="18"/>
                <w:color w:val="auto"/>
              </w:rPr>
              <w:t>FIRST:</w:t>
            </w:r>
          </w:p>
        </w:tc>
        <w:tc>
          <w:tcPr>
            <w:tcW w:w="9780" w:type="dxa"/>
            <w:vAlign w:val="bottom"/>
            <w:gridSpan w:val="3"/>
          </w:tcPr>
          <w:p>
            <w:pPr>
              <w:jc w:val="right"/>
              <w:ind w:right="5380"/>
              <w:spacing w:after="0"/>
              <w:rPr>
                <w:sz w:val="20"/>
                <w:szCs w:val="20"/>
                <w:color w:val="auto"/>
              </w:rPr>
            </w:pPr>
            <w:r>
              <w:rPr>
                <w:rFonts w:ascii="Arial" w:cs="Arial" w:eastAsia="Arial" w:hAnsi="Arial"/>
                <w:sz w:val="18"/>
                <w:szCs w:val="18"/>
                <w:color w:val="auto"/>
                <w:w w:val="96"/>
              </w:rPr>
              <w:t>The name of the corporation is Marker Cell Therapy, Inc..</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SECOND:</w:t>
            </w:r>
          </w:p>
        </w:tc>
        <w:tc>
          <w:tcPr>
            <w:tcW w:w="9780" w:type="dxa"/>
            <w:vAlign w:val="bottom"/>
            <w:gridSpan w:val="3"/>
          </w:tcPr>
          <w:p>
            <w:pPr>
              <w:jc w:val="right"/>
              <w:spacing w:after="0"/>
              <w:rPr>
                <w:sz w:val="20"/>
                <w:szCs w:val="20"/>
                <w:color w:val="auto"/>
              </w:rPr>
            </w:pPr>
            <w:r>
              <w:rPr>
                <w:rFonts w:ascii="Arial" w:cs="Arial" w:eastAsia="Arial" w:hAnsi="Arial"/>
                <w:sz w:val="18"/>
                <w:szCs w:val="18"/>
                <w:color w:val="auto"/>
                <w:w w:val="95"/>
              </w:rPr>
              <w:t>The address of the registered office of the Corporation in the State of Delaware is 1675 South State St., Ste. B, Dover, Delaware</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19901, located in the county of Kent. The name of the registered agent of the Corporation at such address is Capitol Services, Inc.</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THIRD:</w:t>
            </w:r>
          </w:p>
        </w:tc>
        <w:tc>
          <w:tcPr>
            <w:tcW w:w="9780" w:type="dxa"/>
            <w:vAlign w:val="bottom"/>
            <w:gridSpan w:val="3"/>
          </w:tcPr>
          <w:p>
            <w:pPr>
              <w:jc w:val="right"/>
              <w:spacing w:after="0"/>
              <w:rPr>
                <w:sz w:val="20"/>
                <w:szCs w:val="20"/>
                <w:color w:val="auto"/>
              </w:rPr>
            </w:pPr>
            <w:r>
              <w:rPr>
                <w:rFonts w:ascii="Arial" w:cs="Arial" w:eastAsia="Arial" w:hAnsi="Arial"/>
                <w:sz w:val="18"/>
                <w:szCs w:val="18"/>
                <w:color w:val="auto"/>
                <w:w w:val="93"/>
              </w:rPr>
              <w:t>The nature of the business or purposes to be conducted or promoted by the Corporation is to engage in any lawful act or activity for</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which corporations may be organized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FOURTH:</w:t>
            </w:r>
          </w:p>
        </w:tc>
        <w:tc>
          <w:tcPr>
            <w:tcW w:w="97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The total number of shares of stock which the Corporation is authorized to issue is 1,000. All shares shall be Common Stock,</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$0.001 par value per share, and are to be of one class.</w:t>
            </w:r>
          </w:p>
        </w:tc>
      </w:tr>
      <w:tr>
        <w:trPr>
          <w:trHeight w:val="418"/>
        </w:trPr>
        <w:tc>
          <w:tcPr>
            <w:tcW w:w="1640" w:type="dxa"/>
            <w:vAlign w:val="bottom"/>
          </w:tcPr>
          <w:p>
            <w:pPr>
              <w:ind w:left="660"/>
              <w:spacing w:after="0"/>
              <w:rPr>
                <w:sz w:val="20"/>
                <w:szCs w:val="20"/>
                <w:color w:val="auto"/>
              </w:rPr>
            </w:pPr>
            <w:r>
              <w:rPr>
                <w:rFonts w:ascii="Arial" w:cs="Arial" w:eastAsia="Arial" w:hAnsi="Arial"/>
                <w:sz w:val="18"/>
                <w:szCs w:val="18"/>
                <w:color w:val="auto"/>
              </w:rPr>
              <w:t>FIFTH:</w:t>
            </w:r>
          </w:p>
        </w:tc>
        <w:tc>
          <w:tcPr>
            <w:tcW w:w="97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Unless and except to the extent that the by-laws of the Corporation (the “</w:t>
            </w:r>
            <w:r>
              <w:rPr>
                <w:rFonts w:ascii="Arial" w:cs="Arial" w:eastAsia="Arial" w:hAnsi="Arial"/>
                <w:sz w:val="18"/>
                <w:szCs w:val="18"/>
                <w:b w:val="1"/>
                <w:bCs w:val="1"/>
                <w:i w:val="1"/>
                <w:iCs w:val="1"/>
                <w:color w:val="auto"/>
                <w:w w:val="94"/>
              </w:rPr>
              <w:t>By-laws</w:t>
            </w:r>
            <w:r>
              <w:rPr>
                <w:rFonts w:ascii="Arial" w:cs="Arial" w:eastAsia="Arial" w:hAnsi="Arial"/>
                <w:sz w:val="18"/>
                <w:szCs w:val="18"/>
                <w:color w:val="auto"/>
                <w:w w:val="94"/>
              </w:rPr>
              <w:t>”) shall so require, the election of directors of the</w:t>
            </w:r>
          </w:p>
        </w:tc>
      </w:tr>
      <w:tr>
        <w:trPr>
          <w:trHeight w:val="230"/>
        </w:trPr>
        <w:tc>
          <w:tcPr>
            <w:tcW w:w="11420" w:type="dxa"/>
            <w:vAlign w:val="bottom"/>
            <w:gridSpan w:val="4"/>
          </w:tcPr>
          <w:p>
            <w:pPr>
              <w:spacing w:after="0"/>
              <w:rPr>
                <w:sz w:val="20"/>
                <w:szCs w:val="20"/>
                <w:color w:val="auto"/>
              </w:rPr>
            </w:pPr>
            <w:r>
              <w:rPr>
                <w:rFonts w:ascii="Arial" w:cs="Arial" w:eastAsia="Arial" w:hAnsi="Arial"/>
                <w:sz w:val="18"/>
                <w:szCs w:val="18"/>
                <w:color w:val="auto"/>
              </w:rPr>
              <w:t>Corporation need not be by written ballot.</w:t>
            </w:r>
          </w:p>
        </w:tc>
      </w:tr>
      <w:tr>
        <w:trPr>
          <w:trHeight w:val="432"/>
        </w:trPr>
        <w:tc>
          <w:tcPr>
            <w:tcW w:w="1640" w:type="dxa"/>
            <w:vAlign w:val="bottom"/>
          </w:tcPr>
          <w:p>
            <w:pPr>
              <w:ind w:left="660"/>
              <w:spacing w:after="0"/>
              <w:rPr>
                <w:sz w:val="20"/>
                <w:szCs w:val="20"/>
                <w:color w:val="auto"/>
              </w:rPr>
            </w:pPr>
            <w:r>
              <w:rPr>
                <w:rFonts w:ascii="Arial" w:cs="Arial" w:eastAsia="Arial" w:hAnsi="Arial"/>
                <w:sz w:val="18"/>
                <w:szCs w:val="18"/>
                <w:color w:val="auto"/>
              </w:rPr>
              <w:t>SIXTH:</w:t>
            </w:r>
          </w:p>
        </w:tc>
        <w:tc>
          <w:tcPr>
            <w:tcW w:w="9780" w:type="dxa"/>
            <w:vAlign w:val="bottom"/>
            <w:gridSpan w:val="3"/>
          </w:tcPr>
          <w:p>
            <w:pPr>
              <w:jc w:val="right"/>
              <w:spacing w:after="0"/>
              <w:rPr>
                <w:sz w:val="20"/>
                <w:szCs w:val="20"/>
                <w:color w:val="auto"/>
              </w:rPr>
            </w:pPr>
            <w:r>
              <w:rPr>
                <w:rFonts w:ascii="Arial" w:cs="Arial" w:eastAsia="Arial" w:hAnsi="Arial"/>
                <w:sz w:val="18"/>
                <w:szCs w:val="18"/>
                <w:color w:val="auto"/>
              </w:rPr>
              <w:t>To the fullest extent permitted by law, a director of the Corporation shall not be personally liable to the Corporation or to its</w:t>
            </w:r>
          </w:p>
        </w:tc>
      </w:tr>
    </w:tbl>
    <w:p>
      <w:pPr>
        <w:jc w:val="both"/>
        <w:spacing w:after="0" w:line="255" w:lineRule="auto"/>
        <w:rPr>
          <w:sz w:val="20"/>
          <w:szCs w:val="20"/>
          <w:color w:val="auto"/>
        </w:rPr>
      </w:pPr>
      <w:r>
        <w:rPr>
          <w:rFonts w:ascii="Arial" w:cs="Arial" w:eastAsia="Arial" w:hAnsi="Arial"/>
          <w:sz w:val="18"/>
          <w:szCs w:val="18"/>
          <w:color w:val="auto"/>
        </w:rPr>
        <w:t>stockholders for monetary damages for any breach of fiduciary duty as a director. No amendment to, modification of or repeal of this Article Sixth shall apply to or have any effect on the liability or alleged liability of any director of the Corporation for or with respect to any acts or omissions of such director occurring prior to such amendment.</w:t>
      </w:r>
    </w:p>
    <w:p>
      <w:pPr>
        <w:spacing w:after="0" w:line="19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SEVENTH:</w:t>
      </w:r>
      <w:r>
        <w:rPr>
          <w:sz w:val="20"/>
          <w:szCs w:val="20"/>
          <w:color w:val="auto"/>
        </w:rPr>
        <w:tab/>
      </w:r>
      <w:r>
        <w:rPr>
          <w:rFonts w:ascii="Arial" w:cs="Arial" w:eastAsia="Arial" w:hAnsi="Arial"/>
          <w:sz w:val="18"/>
          <w:szCs w:val="18"/>
          <w:color w:val="auto"/>
        </w:rPr>
        <w:t>The following indemnification provisions shall apply to the persons enumerated below</w:t>
      </w:r>
    </w:p>
    <w:p>
      <w:pPr>
        <w:spacing w:after="0" w:line="225" w:lineRule="exact"/>
        <w:rPr>
          <w:sz w:val="20"/>
          <w:szCs w:val="20"/>
          <w:color w:val="auto"/>
        </w:rPr>
      </w:pPr>
    </w:p>
    <w:p>
      <w:pPr>
        <w:jc w:val="both"/>
        <w:ind w:firstLine="1305"/>
        <w:spacing w:after="0" w:line="270" w:lineRule="auto"/>
        <w:tabs>
          <w:tab w:leader="none" w:pos="211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Right to Indemnification of Directors and Officers</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(an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Seventh, the Corporation shall be required to indemnify an Indemnified Person in connection with a Proceeding (or part thereof) commenced by such Indemnified Person only if the commencement of such Proceeding (or part thereof) by the Indemnified Person was authorized in the specific case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3" w:name="page64"/>
    <w:bookmarkEnd w:id="63"/>
    <w:p>
      <w:pPr>
        <w:jc w:val="both"/>
        <w:ind w:left="-20" w:firstLine="1305"/>
        <w:spacing w:after="0" w:line="302" w:lineRule="auto"/>
        <w:tabs>
          <w:tab w:leader="none" w:pos="191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Prepayment of Expenses of Directors and Officers</w:t>
      </w:r>
      <w:r>
        <w:rPr>
          <w:rFonts w:ascii="Arial" w:cs="Arial" w:eastAsia="Arial" w:hAnsi="Arial"/>
          <w:sz w:val="16"/>
          <w:szCs w:val="16"/>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Seventh or otherwise.</w:t>
      </w:r>
    </w:p>
    <w:p>
      <w:pPr>
        <w:spacing w:after="0" w:line="154" w:lineRule="exact"/>
        <w:rPr>
          <w:rFonts w:ascii="Arial" w:cs="Arial" w:eastAsia="Arial" w:hAnsi="Arial"/>
          <w:sz w:val="16"/>
          <w:szCs w:val="16"/>
          <w:color w:val="auto"/>
        </w:rPr>
      </w:pPr>
    </w:p>
    <w:p>
      <w:pPr>
        <w:jc w:val="both"/>
        <w:ind w:left="-20" w:firstLine="1305"/>
        <w:spacing w:after="0" w:line="257" w:lineRule="auto"/>
        <w:tabs>
          <w:tab w:leader="none" w:pos="190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Seventh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rFonts w:ascii="Arial" w:cs="Arial" w:eastAsia="Arial" w:hAnsi="Arial"/>
          <w:sz w:val="18"/>
          <w:szCs w:val="18"/>
          <w:color w:val="auto"/>
        </w:rPr>
      </w:pPr>
    </w:p>
    <w:p>
      <w:pPr>
        <w:jc w:val="both"/>
        <w:ind w:left="-20" w:firstLine="1305"/>
        <w:spacing w:after="0" w:line="270" w:lineRule="auto"/>
        <w:tabs>
          <w:tab w:leader="none" w:pos="198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1" w:lineRule="exact"/>
        <w:rPr>
          <w:rFonts w:ascii="Arial" w:cs="Arial" w:eastAsia="Arial" w:hAnsi="Arial"/>
          <w:sz w:val="17"/>
          <w:szCs w:val="17"/>
          <w:color w:val="auto"/>
        </w:rPr>
      </w:pPr>
    </w:p>
    <w:p>
      <w:pPr>
        <w:jc w:val="both"/>
        <w:ind w:left="-20" w:firstLine="1305"/>
        <w:spacing w:after="0" w:line="264" w:lineRule="auto"/>
        <w:tabs>
          <w:tab w:leader="none" w:pos="194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97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Seventh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4" w:name="page65"/>
    <w:bookmarkEnd w:id="64"/>
    <w:p>
      <w:pPr>
        <w:jc w:val="both"/>
        <w:ind w:firstLine="1305"/>
        <w:spacing w:after="0" w:line="259" w:lineRule="auto"/>
        <w:tabs>
          <w:tab w:leader="none" w:pos="20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jc w:val="both"/>
        <w:ind w:firstLine="1305"/>
        <w:spacing w:after="0" w:line="257" w:lineRule="auto"/>
        <w:tabs>
          <w:tab w:leader="none" w:pos="200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Seventh; and (b) to indemnify or insure directors, officers and employees against liability in instances in which they may not otherwise be indemnified by the Corporation under the provisions of this Article Seventh.</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88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Seventh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EIGHTH: Unless the Corporation consents in writing to the selection of an alternative forum (an “</w:t>
      </w:r>
      <w:r>
        <w:rPr>
          <w:rFonts w:ascii="Arial" w:cs="Arial" w:eastAsia="Arial" w:hAnsi="Arial"/>
          <w:sz w:val="17"/>
          <w:szCs w:val="17"/>
          <w:b w:val="1"/>
          <w:bCs w:val="1"/>
          <w:i w:val="1"/>
          <w:iCs w:val="1"/>
          <w:color w:val="auto"/>
        </w:rPr>
        <w:t>Alternative Forum Consent</w:t>
      </w:r>
      <w:r>
        <w:rPr>
          <w:rFonts w:ascii="Arial" w:cs="Arial" w:eastAsia="Arial" w:hAnsi="Arial"/>
          <w:sz w:val="17"/>
          <w:szCs w:val="17"/>
          <w:color w:val="auto"/>
        </w:rPr>
        <w:t>”), the Court of Chancery in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DGCL or the Corporation’s certificate of incorporation or the Corporation's By-laws, or (iv) any action asserting a claim against the Corporation or any director, officer, stockholder, employee or agent of the Corporation governed by the internal affairs doctrine of the State of Delaware,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Eighth. The existence of any prior Alternative Forum Consent shall not act as a waiver of the Corporation's ongoing consent right as set forth above in this Article Eighth with respect to any current or future actions or claims.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64" w:lineRule="auto"/>
        <w:rPr>
          <w:sz w:val="20"/>
          <w:szCs w:val="20"/>
          <w:color w:val="auto"/>
        </w:rPr>
      </w:pPr>
      <w:r>
        <w:rPr>
          <w:rFonts w:ascii="Arial" w:cs="Arial" w:eastAsia="Arial" w:hAnsi="Arial"/>
          <w:sz w:val="18"/>
          <w:szCs w:val="18"/>
          <w:color w:val="auto"/>
        </w:rPr>
        <w:t>NINTH: In furtherance and not in limitation of the powers conferred by statute, the board of directors is expressly authorized to adopt, amend or repeal the By-laws or adopt new By-laws without any action on the part of the stockholders; provided that any By-law adopted or amended by the board of directors, and any powers thereby conferred, may be amended, altered or repealed by the stockholders.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TENTH: The Corporation shall have the right, subject to any express provisions or restrictions contained in the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or the By-laws, from time to time, to amend, alter or repeal any provision of the Certificate of Incorporation in any manner now or hereafter provided by law, and all rights and powers of any kind conferred upon a director or stockholder of the Corporation by the Certificate of Incorporation or any amendment thereof are conferred subject to such right.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MARKER THERAPEUTICS, INC.</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67" w:name="page68"/>
    <w:bookmarkEnd w:id="6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6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OFFICES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Registered Office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Offices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STOCKHOLDERS AND MEETING THEREOF</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Place of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Annual Meetings</w:t>
            </w: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2.3</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Special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2.4</w:t>
            </w:r>
          </w:p>
        </w:tc>
        <w:tc>
          <w:tcPr>
            <w:tcW w:w="80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Notice of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2.5</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Fixing a Record Date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Stockholders’ Records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2.7</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Business Transacted at Special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2.8</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Quorum; Meeting Adjournment; Presence by Remote Means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2.9</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Voting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2.10</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Number of Votes Per Share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Action by Written Consent of Stockholders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Nominations and Proposals of Business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2.13</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Postponement and Cancellation of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Board Authority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Number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3.3</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Election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3.4</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Removal or Resignation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3.5</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Vacancies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3.6</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Place of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3.7</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Telephonic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3.8</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Regular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3.9</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Special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3.10</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Quorum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Action Without a Meeting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Committees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3.13</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Minutes of Committee Meetings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3.14</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Compensation of Directors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NOTICES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Waiver of 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4.3</w:t>
            </w:r>
          </w:p>
        </w:tc>
        <w:tc>
          <w:tcPr>
            <w:tcW w:w="80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Electronic Notice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905"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OFFICERS</w:t>
            </w:r>
          </w:p>
        </w:tc>
        <w:tc>
          <w:tcPr>
            <w:tcW w:w="6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38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Required and Permitted Officers</w:t>
            </w:r>
          </w:p>
        </w:tc>
        <w:tc>
          <w:tcPr>
            <w:tcW w:w="6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5.2</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Appointment of Required Officers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5.3</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Appointment of Permitted Officers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5.4</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Officer Compensation</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5.5</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Removal; Resignation; Vacancies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President</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5.7</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Vice President</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5.8</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Secretary and Assistant Secretary</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5.9</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90"/>
              </w:rPr>
              <w:t>Chief Financial Officer, Treasurer and Assistant Treasurer</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5.10</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Delegation of Authority</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CERTIFICATE OF STOCK</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Stock Certificates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Lost, Stolen or Destroyed Certificates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6.3</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Transfer of Stock</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6.4</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Registered Stockholders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GENERAL PROVISIONS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4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Dividends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7.2</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Reserve for Dividends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7.3</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Checks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7.4</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Fiscal Year</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7.5</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Corporate Seal</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7.6</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Inconsistencies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7.7</w:t>
            </w: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Severability</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VIII INDEMNIFICATION</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IX AMENDMENTS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 LOANS TO OFFICERS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XI MISCELLANEOUS</w:t>
            </w:r>
          </w:p>
        </w:tc>
        <w:tc>
          <w:tcPr>
            <w:tcW w:w="5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The registered office of Marker Therapeutics, Inc. (the “Corporation”) in the State of Delaware shall be established and maintained at the office of The Corporation Trust Company, 1209 Orange Street, Wilmington, Delaware 19801, County of New Castle, and The Corporation Trust Company shall be the registered agent of the Corporation in charge thereof.</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AND MEETINGS THEREOF</w:t>
      </w:r>
    </w:p>
    <w:p>
      <w:pPr>
        <w:spacing w:after="0" w:line="207"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Place of Meetings</w:t>
      </w:r>
      <w:r>
        <w:rPr>
          <w:rFonts w:ascii="Arial" w:cs="Arial" w:eastAsia="Arial" w:hAnsi="Arial"/>
          <w:sz w:val="18"/>
          <w:szCs w:val="18"/>
          <w:color w:val="auto"/>
        </w:rPr>
        <w:t>. Meetings of the stockholders of the Corporation may be held at such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Annual Meetings</w:t>
      </w:r>
      <w:r>
        <w:rPr>
          <w:rFonts w:ascii="Arial" w:cs="Arial" w:eastAsia="Arial" w:hAnsi="Arial"/>
          <w:sz w:val="18"/>
          <w:szCs w:val="18"/>
          <w:color w:val="auto"/>
        </w:rPr>
        <w:t>. Annual meetings of stockholders shall be held on such date and at such time as shall be designated from time to time by the Board of Directors and stated in the notice of the meeting, at which they shall elect a Board of Directors by a plurality vote, and transact such other business as may properly be brought before the meeting.</w:t>
      </w:r>
    </w:p>
    <w:p>
      <w:pPr>
        <w:spacing w:after="0" w:line="176"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stockholders, for any purpose or purposes, unless otherwise prescribed by statute or by the certificate of incorporation (the “Certificate of Incorporation”), may be called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6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Notice of Meeting</w:t>
      </w:r>
      <w:r>
        <w:rPr>
          <w:rFonts w:ascii="Arial" w:cs="Arial" w:eastAsia="Arial" w:hAnsi="Arial"/>
          <w:sz w:val="18"/>
          <w:szCs w:val="18"/>
          <w:color w:val="auto"/>
        </w:rPr>
        <w:t>. Written notice of any stockholder meeting stating the place, if any, date and hour of the meeting, the record date for determining stockholders entitled to vote at the meeting (if such date is different from the record date for stockholders entitled to notice of the meeting), the means of remote communication, if any, by which stockholders and proxyholders may be deemed to be present in person and vote at such meeting, and, in the case of a special meeting, the purpose or purposes for which the meeting is called, shall be given to each stockholder entitled to vote at such meeting not fewer than ten (10) nor more than sixty (60) days before the date of the meeting.</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Fixing a 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firstLine="648"/>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Stockholders’ Records</w:t>
      </w:r>
      <w:r>
        <w:rPr>
          <w:rFonts w:ascii="Arial" w:cs="Arial" w:eastAsia="Arial" w:hAnsi="Arial"/>
          <w:sz w:val="17"/>
          <w:szCs w:val="17"/>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4"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Business transacted at any special meeting of stockholders shall be limited to the purposes stated in the notice.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Quorum; Meeting Adjournment; Presence by Remote Means</w:t>
      </w:r>
      <w:r>
        <w:rPr>
          <w:rFonts w:ascii="Arial" w:cs="Arial" w:eastAsia="Arial" w:hAnsi="Arial"/>
          <w:sz w:val="16"/>
          <w:szCs w:val="16"/>
          <w:color w:val="auto"/>
        </w:rPr>
        <w:t>.</w:t>
      </w:r>
    </w:p>
    <w:p>
      <w:pPr>
        <w:spacing w:after="0" w:line="229" w:lineRule="exact"/>
        <w:rPr>
          <w:sz w:val="20"/>
          <w:szCs w:val="20"/>
          <w:color w:val="auto"/>
        </w:rPr>
      </w:pPr>
    </w:p>
    <w:p>
      <w:pPr>
        <w:ind w:firstLine="899"/>
        <w:spacing w:after="0" w:line="271" w:lineRule="auto"/>
        <w:tabs>
          <w:tab w:leader="none" w:pos="136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one-third of the outstanding shares of the Corporation entitled to vote at any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78" w:lineRule="exact"/>
        <w:rPr>
          <w:rFonts w:ascii="Arial" w:cs="Arial" w:eastAsia="Arial" w:hAnsi="Arial"/>
          <w:sz w:val="17"/>
          <w:szCs w:val="17"/>
          <w:color w:val="auto"/>
        </w:rPr>
      </w:pPr>
    </w:p>
    <w:p>
      <w:pPr>
        <w:ind w:right="60" w:firstLine="889"/>
        <w:spacing w:after="0" w:line="264" w:lineRule="auto"/>
        <w:tabs>
          <w:tab w:leader="none" w:pos="1361"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Presence by Remote Means</w:t>
      </w:r>
      <w:r>
        <w:rPr>
          <w:rFonts w:ascii="Arial" w:cs="Arial" w:eastAsia="Arial" w:hAnsi="Arial"/>
          <w:sz w:val="18"/>
          <w:szCs w:val="18"/>
          <w:color w:val="auto"/>
        </w:rPr>
        <w:t>. If authorized by the Board of Directors in its sole discretion, and subject to such guidelines and procedures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may adopt, stockholders and proxyholders not physically present at a meeting of stockholders may, by means of remote communication:</w:t>
      </w:r>
    </w:p>
    <w:p>
      <w:pPr>
        <w:spacing w:after="0" w:line="181" w:lineRule="exact"/>
        <w:rPr>
          <w:rFonts w:ascii="Arial" w:cs="Arial" w:eastAsia="Arial" w:hAnsi="Arial"/>
          <w:sz w:val="18"/>
          <w:szCs w:val="18"/>
          <w:color w:val="auto"/>
        </w:rPr>
      </w:pPr>
    </w:p>
    <w:p>
      <w:pPr>
        <w:ind w:left="2060" w:hanging="620"/>
        <w:spacing w:after="0"/>
        <w:tabs>
          <w:tab w:leader="none" w:pos="2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100" w:firstLine="1440"/>
        <w:spacing w:after="0" w:line="255" w:lineRule="auto"/>
        <w:tabs>
          <w:tab w:leader="none" w:pos="20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Voting</w:t>
      </w:r>
      <w:r>
        <w:rPr>
          <w:rFonts w:ascii="Arial" w:cs="Arial" w:eastAsia="Arial" w:hAnsi="Arial"/>
          <w:sz w:val="17"/>
          <w:szCs w:val="17"/>
          <w:color w:val="auto"/>
        </w:rPr>
        <w:t>. When a quorum is present at any meeting, the vote of the holders of a majority of the stock having voting power present in person or represented by proxy shall decide any question brought before such meeting other than the election of directors, unless the question is one upon which by express provision of the statutes, the Certificate of Incorporation or these bylaws, a different vote is required, in which case such express provision shall govern and control the decision of such question. All elections of directors shall be determined by a plurality of the votes cast.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72" w:name="page73"/>
    <w:bookmarkEnd w:id="72"/>
    <w:p>
      <w:pPr>
        <w:jc w:val="both"/>
        <w:ind w:right="60" w:firstLine="648"/>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Number of Votes Per Share</w:t>
      </w:r>
      <w:r>
        <w:rPr>
          <w:rFonts w:ascii="Arial" w:cs="Arial" w:eastAsia="Arial" w:hAnsi="Arial"/>
          <w:sz w:val="18"/>
          <w:szCs w:val="18"/>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7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Action by Written Consent of Stockholders.</w:t>
      </w:r>
    </w:p>
    <w:p>
      <w:pPr>
        <w:spacing w:after="0" w:line="229" w:lineRule="exact"/>
        <w:rPr>
          <w:sz w:val="20"/>
          <w:szCs w:val="20"/>
          <w:color w:val="auto"/>
        </w:rPr>
      </w:pPr>
    </w:p>
    <w:p>
      <w:pPr>
        <w:ind w:right="40" w:firstLine="889"/>
        <w:spacing w:after="0" w:line="271" w:lineRule="auto"/>
        <w:tabs>
          <w:tab w:leader="none" w:pos="1351"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Action by Written Consent of Stockholders. </w:t>
      </w:r>
      <w:r>
        <w:rPr>
          <w:rFonts w:ascii="Arial" w:cs="Arial" w:eastAsia="Arial" w:hAnsi="Arial"/>
          <w:sz w:val="17"/>
          <w:szCs w:val="17"/>
          <w:color w:val="auto"/>
        </w:rPr>
        <w:t>Unless otherwise provided by the Certificate of Incorporation, any action required or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78" w:lineRule="exact"/>
        <w:rPr>
          <w:rFonts w:ascii="Arial" w:cs="Arial" w:eastAsia="Arial" w:hAnsi="Arial"/>
          <w:sz w:val="17"/>
          <w:szCs w:val="17"/>
          <w:color w:val="auto"/>
        </w:rPr>
      </w:pPr>
    </w:p>
    <w:p>
      <w:pPr>
        <w:ind w:firstLine="889"/>
        <w:spacing w:after="0" w:line="287" w:lineRule="auto"/>
        <w:tabs>
          <w:tab w:leader="none" w:pos="136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Electronic Consent</w:t>
      </w:r>
      <w:r>
        <w:rPr>
          <w:rFonts w:ascii="Arial" w:cs="Arial" w:eastAsia="Arial" w:hAnsi="Arial"/>
          <w:sz w:val="16"/>
          <w:szCs w:val="16"/>
          <w:color w:val="auto"/>
        </w:rPr>
        <w:t>. An electronic transmission consenting to an action to be taken and transmitted by a stockholder or proxyholder, or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or persons authorized to act for a stockholder or proxyholder, shall be deemed to be written, signed and dated for the purposes of this section, provided that any such electronic transmission sets forth or is delivered with information from which the Corporation can determine (1) that the electronic transmission was transmitted by the stockholder or proxyholder or by a person or persons authorized to act for the stockholder or proxyholder and (2) the date on which such stockholder or proxyholder or authorized person or persons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168" w:lineRule="exact"/>
        <w:rPr>
          <w:rFonts w:ascii="Arial" w:cs="Arial" w:eastAsia="Arial" w:hAnsi="Arial"/>
          <w:sz w:val="16"/>
          <w:szCs w:val="16"/>
          <w:color w:val="auto"/>
        </w:rPr>
      </w:pPr>
    </w:p>
    <w:p>
      <w:pPr>
        <w:ind w:right="180" w:firstLine="889"/>
        <w:spacing w:after="0" w:line="277" w:lineRule="auto"/>
        <w:tabs>
          <w:tab w:leader="none" w:pos="1351"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Notice of Action</w:t>
      </w:r>
      <w:r>
        <w:rPr>
          <w:rFonts w:ascii="Arial" w:cs="Arial" w:eastAsia="Arial" w:hAnsi="Arial"/>
          <w:sz w:val="18"/>
          <w:szCs w:val="18"/>
          <w:color w:val="auto"/>
        </w:rPr>
        <w:t>. Prompt notice of any action taken pursuant to this Section 2.11 shall be provided to the stockholders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228(e) of the DGCL.</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Nominations and Proposals of Business</w:t>
      </w:r>
      <w:r>
        <w:rPr>
          <w:rFonts w:ascii="Arial" w:cs="Arial" w:eastAsia="Arial" w:hAnsi="Arial"/>
          <w:sz w:val="15"/>
          <w:szCs w:val="15"/>
          <w:color w:val="auto"/>
        </w:rPr>
        <w:t>.</w:t>
      </w:r>
    </w:p>
    <w:p>
      <w:pPr>
        <w:spacing w:after="0" w:line="229" w:lineRule="exact"/>
        <w:rPr>
          <w:sz w:val="20"/>
          <w:szCs w:val="20"/>
          <w:color w:val="auto"/>
        </w:rPr>
      </w:pPr>
    </w:p>
    <w:p>
      <w:pPr>
        <w:ind w:right="60" w:firstLine="899"/>
        <w:spacing w:after="0" w:line="271" w:lineRule="auto"/>
        <w:tabs>
          <w:tab w:leader="none" w:pos="1361"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proposals for other business to be transaction by the stockholders at an annual meeting of stockholders may be made (i) pursuant to the Corporation’s notice with respect to such meeting (or any supplement thereto), (ii) by or at the direction of the Board of Directors or any committee thereof or (iii) by any stockholder of record of the Corporation who (A) was a stockholder of record at the time of the giving of the notice contemplated in Section 2.12(b), (B) is entitled to vote at such meeting and (C) has complied with the notice procedures set forth in this Section 2.12. Subject to Section 1.2(i) and except as otherwise required by law, clause (iii) of this Section 2.12(a)shall be the exclusive means for a stockholder to make nominations or propose other business (other than nominations and proposals properly brought pursuant to applicable provisions of federal law, including the Securities Exchange Act of 1934 (as amended from time to time, he “Act”) and the rules and regulations of the Securities and Exchange Commission thereunder) before an annual meeting of stockholders.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firstLine="899"/>
        <w:spacing w:after="0" w:line="272" w:lineRule="auto"/>
        <w:tabs>
          <w:tab w:leader="none" w:pos="1326"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Except as otherwise required by law, for nominations or proposals to be properly brought before an annual meeting by a stockholder pursuant to clause (iii) of Section 2.12(a), (i) the stockholder must have given timely notice thereof in writing to the Secretary of the Corporation with the information contemplated by Section 2.12(c) including, where applicable, delivery to the Corporation of timely and completed questionnaires as contemplated by Section 2.12(c), and (ii) the business must be a proper matter for stockholder action under the DGCL. The notice requirements of this Section 2.12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the Act and such stockholder’s proposal has been included in a proxy statement prepared by the Corporation to solicit proxies for such annual meeting.</w:t>
      </w:r>
    </w:p>
    <w:p>
      <w:pPr>
        <w:spacing w:after="0" w:line="177" w:lineRule="exact"/>
        <w:rPr>
          <w:rFonts w:ascii="Arial" w:cs="Arial" w:eastAsia="Arial" w:hAnsi="Arial"/>
          <w:sz w:val="17"/>
          <w:szCs w:val="17"/>
          <w:color w:val="auto"/>
        </w:rPr>
      </w:pPr>
    </w:p>
    <w:p>
      <w:pPr>
        <w:ind w:left="1320" w:hanging="421"/>
        <w:spacing w:after="0"/>
        <w:tabs>
          <w:tab w:leader="none" w:pos="1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be timely for purposes of Section 2.12(b), a stockholder’s notice must be delivered to the Secretary of the Corporation at the principal</w:t>
      </w:r>
    </w:p>
    <w:p>
      <w:pPr>
        <w:spacing w:after="0" w:line="4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executive office of the Corporation on a date (i)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anniversary date of the prior year’s annual meeting or (ii) if there was no annual meeting in the prior year or if the date of the current year’s annual meeting is more than 30 days before or more than 60 days after the anniversary date of the prior year’s annual meeting, not earlier than the close of business</w:t>
      </w:r>
    </w:p>
    <w:p>
      <w:pPr>
        <w:spacing w:after="0" w:line="2" w:lineRule="exact"/>
        <w:rPr>
          <w:sz w:val="20"/>
          <w:szCs w:val="20"/>
          <w:color w:val="auto"/>
        </w:rPr>
      </w:pPr>
    </w:p>
    <w:p>
      <w:pPr>
        <w:jc w:val="both"/>
        <w:ind w:right="300"/>
        <w:spacing w:after="0" w:line="231" w:lineRule="auto"/>
        <w:rPr>
          <w:sz w:val="20"/>
          <w:szCs w:val="20"/>
          <w:color w:val="auto"/>
        </w:rPr>
      </w:pPr>
      <w:r>
        <w:rPr>
          <w:rFonts w:ascii="Arial" w:cs="Arial" w:eastAsia="Arial" w:hAnsi="Arial"/>
          <w:sz w:val="17"/>
          <w:szCs w:val="17"/>
          <w:color w:val="auto"/>
        </w:rPr>
        <w:t>on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not later than the close of business on the later of (x)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or (y) 10 days after the day on which the date of the current year’s annual meeting is first disclosed in a public announcement. In no event shall any adjournment or postponement of an annual meeting or the announcement thereof commence a new time period for the delivery of such notice.</w:t>
      </w:r>
    </w:p>
    <w:p>
      <w:pPr>
        <w:spacing w:after="0" w:line="204"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Such notice form a stockholder must state (i) as to each nominee that the stockholder proposed for election or reelection as a director: (A) All information relating to such nominee that would be required to be disclosed in solicitations of proxies for the election of such nominee as a director pursuant to Regulation 14A under the Act, including such person’s written consent to being named in the proxy statement as a nominee and serving as a director if elected, and (B) a description of all direct and indirect compensation and other material monetary arrangements, agreements or understandings during the past three years, and any other material relationship, if any, between or concerning such stockholder, and Stockholder Associated Person (as defined below) or any of their respective affiliates or associates, on the one hand, and the proposed nominee or any of his or her affiliates or associates, on the other hand; (ii) as to each proposal that the stockholder seeks to bring before the meeting, a brief description of such proposal, the reasons for making the proposal at the meeting, the text of the proposal or business (including the text of any resolutions proposed for consideration and in the event that such business includes a proposal to amend the bylaws of the Corporation, the language of the proposed amendment) and any material interest that the stockholder has in the proposal; and (iii)</w:t>
      </w:r>
    </w:p>
    <w:p>
      <w:pPr>
        <w:spacing w:after="0" w:line="7" w:lineRule="exact"/>
        <w:rPr>
          <w:sz w:val="20"/>
          <w:szCs w:val="20"/>
          <w:color w:val="auto"/>
        </w:rPr>
      </w:pPr>
    </w:p>
    <w:p>
      <w:pPr>
        <w:ind w:right="40" w:firstLine="8"/>
        <w:spacing w:after="0" w:line="281" w:lineRule="auto"/>
        <w:tabs>
          <w:tab w:leader="none" w:pos="2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name and address of the stockholder giving the notice and the Stockholder Associated Persons, if any, on whose behalf the nomination or proposal is made, (B) the class (and, if applicable, series) and number of shares of stock of the Corporation that are, directly or indirectly, owned beneficially or of record by the stockholder, (C)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capital stock of the Corporation or otherwise (each a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of the stockholder or any Stockholder Associated Person,</w:t>
      </w:r>
    </w:p>
    <w:p>
      <w:pPr>
        <w:spacing w:after="0" w:line="5" w:lineRule="exact"/>
        <w:rPr>
          <w:rFonts w:ascii="Arial" w:cs="Arial" w:eastAsia="Arial" w:hAnsi="Arial"/>
          <w:sz w:val="16"/>
          <w:szCs w:val="16"/>
          <w:color w:val="auto"/>
        </w:rPr>
      </w:pPr>
    </w:p>
    <w:p>
      <w:pPr>
        <w:ind w:firstLine="8"/>
        <w:spacing w:after="0" w:line="284" w:lineRule="auto"/>
        <w:tabs>
          <w:tab w:leader="none" w:pos="2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proxy, contract, arrangement, understanding or relationship pursuant to which such stockholder or any Stockholder Associated Person has a right to vote any securities of the Corporation, (E) any proportionate interest in shares of the Corporation or Derivative Instruments held, directly or indirectly, by a general or limited partnership in which such stockholder or any Stockholder Associated Person is a general partner or beneficially owns, directly or indirectly, an interest in a general partner, (F) any performance-related fees (other than an asset-based fee) that such stockholder or any Stockholder Associated Person is entitled to based on any increase or decrease in the value of the shares of stock of the Corporation or Derivative Instruments, (G) any other information relating to such stockholder or any Stockholder Associated Person, if any, required to be disclosed in a proxy statement or other filing required to be made in connection with solicitations of proxies for, as applicable, the proposal and/or for the election of directors in an election contest pursuant to and in accordance with Section 14(a) of the Act and the rules and regulations of the Securities and Exchange Commission thereunder, (H) a representation that the stockholder is a holder of record of the Corporation entitled to vote at such meeting and intends to appear in person or by proxy at the meeting to propose such business or nomination, (I) a certificate as to whether or not the stockholder and all Stockholder Associated Persons have complied with all applicable federal, state and other legal requirements in connection with the stockholder’s and each Stockholder Associated Person’s acquisitions of shares of capital stock or other securities of the Corporation and the stockholder’s and each Stockholder Associated Person’s acts or omissions as a stockholder (or beneficial owner of securities ) of the Corporation, and (J) whether either the stockholder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reasonably believed by such stockholder to be sufficient to elect such nominee or nominees or otherwise to solicit proxies or votes from stockholders in support of such proposal or nomination.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right="60" w:firstLine="648"/>
        <w:spacing w:after="0" w:line="255" w:lineRule="auto"/>
        <w:rPr>
          <w:sz w:val="20"/>
          <w:szCs w:val="20"/>
          <w:color w:val="auto"/>
        </w:rPr>
      </w:pPr>
      <w:r>
        <w:rPr>
          <w:rFonts w:ascii="Arial" w:cs="Arial" w:eastAsia="Arial" w:hAnsi="Arial"/>
          <w:sz w:val="18"/>
          <w:szCs w:val="18"/>
          <w:color w:val="auto"/>
        </w:rPr>
        <w:t>For purposes of these bylaws, a “Stockholder Associated Person” of any stockholder means (i) any “affiliate” or “associate” (as those terms are defined in Rule 12b-2 under the Act) of such stockholder, (ii) any beneficial owner of any capital stock or other securities of the Corporation owned of record or beneficially by such stockholder, (iii) any person directly or indirectly controlling, controlled by or under common control with any such Stockholder Associated Person referred to in clause (i) or (ii) above, and (iv) any person acting in concert in respect of any matter involving the Corporation or its securities with either such stockholder or any beneficial owner of any capital stock or other securities of the Corporation owned of record or beneficially by such stockholder.</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in order for a nomination to be property brought before an annual or special meeting by a stockholder pursuant to clause (iii) of Section 2.12(a), subject to Section 2.12(i), any nominee proposed by a stockholder shall complete a questionnaire in a form provided by the Corporation, and deliver a signed copy of such completed questionnaire to the Corporation within 10 days of the date that the Corporation makes available to the stockholder seeking to make such nomination or such nominee the form of such questionnaire and shall deliver a written and signed statement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questions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the service or action as a director of the Corporation that has not been disclosed in the notice required by this Section 2.12, and (iii) in such person’s individual capacity and on behalf of any person, entity or group on whose behalf the nomination is being made, would be in compliance, if elected as a director of the Corporation and will comply with all applicable publicly disclosed codes of ethics and conduct, corporate governance, conflict of interest, confidentiality and stock ownership and trading policies and guidelines of the Corporation. The Corporation may require any proposed nominee to furnish such other information as may be reasonably requested by the Corporation to determine the eligibility of the proposed nominee to serve as an independent director of the Corporation or that could be material to a reasonable stockholder’s understanding of the independence, or lack thereof, of the nominee. The information required to be included in a notice pursuant to this Section 2.12(c) shall be provided as of the date of such notice and shall be supplemented by the stockholder not later than 10 days after the record date for the determination of stockholders entitled to notice of the meeting to disclose any changes to such information as of the record date. If any of the facts set forth in any notice provided pursuant to this Section 2.12(c) change between the date that such notice is sent and the date of the annual meeting to which such notice pertains, the stockholder must deliver to the Secretary of the Corporation at the principal executive offices of the Corporation, by the earlier of (i) the close of business on the date that is five days after the event giving rise to such change, or (ii) the commencement of such annual meeting, a supplemental notice providing such revised information. The information required to be included in a notice pursuant to this Section 2.12(c) shall not include any ordinary course business activities of any broker, dealer, commercial bank, trust company or other nominee who is directed to prepare and submit the notice required by this Section 2.12(c) on behalf of a beneficial owner of the shares held of record by such broker, dealer, commercial bank, trust company or other nominee and who is not otherwise affiliated or associate with such beneficial owner. For purposed of these bylaws, “beneficial ownership” shall be determined in accordance with Rule 13d-3 promulgate under the Act.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right="40" w:firstLine="899"/>
        <w:spacing w:after="0" w:line="255" w:lineRule="auto"/>
        <w:tabs>
          <w:tab w:leader="none" w:pos="13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 to the Certificate of Incorporation of the Corporation, Section 2.12(c) and applicable law, only persons nominated in accordance with procedures stated in this Section 2.12 shall be eligible for election as and to serve as members of the Board of Directors and the only business that shall be conducted at an annual meeting of stockholders is the business that has been brought before the meeting in accordance with the procedures set forth in this Section 2.12. The chairman of the meting shall have the power and the duty to determine whether a nomination or any proposal has been made according to the procedure stated in this Section 2.12 and, if any nomination or proposal does not comply with this Section 2.12, unless otherwise required by law, the nomination or proposal shall be disregarded.</w:t>
      </w:r>
    </w:p>
    <w:p>
      <w:pPr>
        <w:spacing w:after="0" w:line="193" w:lineRule="exact"/>
        <w:rPr>
          <w:rFonts w:ascii="Arial" w:cs="Arial" w:eastAsia="Arial" w:hAnsi="Arial"/>
          <w:sz w:val="18"/>
          <w:szCs w:val="18"/>
          <w:color w:val="auto"/>
        </w:rPr>
      </w:pPr>
    </w:p>
    <w:p>
      <w:pPr>
        <w:ind w:firstLine="899"/>
        <w:spacing w:after="0" w:line="264" w:lineRule="auto"/>
        <w:tabs>
          <w:tab w:leader="none" w:pos="13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this Section 2.12, “public announcement” means disclosure in a press release reported by the Dow Jones News Service, Associated Press or a comparable news service or in a document publicly filed or furnished by the Corporation with the Securities and Exchange Commission pursuant to Section 13, 14 or 15(d) of the Act.</w:t>
      </w:r>
    </w:p>
    <w:p>
      <w:pPr>
        <w:spacing w:after="0" w:line="181" w:lineRule="exact"/>
        <w:rPr>
          <w:rFonts w:ascii="Arial" w:cs="Arial" w:eastAsia="Arial" w:hAnsi="Arial"/>
          <w:sz w:val="18"/>
          <w:szCs w:val="18"/>
          <w:color w:val="auto"/>
        </w:rPr>
      </w:pPr>
    </w:p>
    <w:p>
      <w:pPr>
        <w:ind w:right="40" w:firstLine="899"/>
        <w:spacing w:after="0" w:line="259" w:lineRule="auto"/>
        <w:tabs>
          <w:tab w:leader="none" w:pos="13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2.12, a stockholder shall also comply with applicable requirements of the Act and the rules and regulations thereunder with respect to matters set forth in this Section 2.12. Nothing in this Section 2.12 shall affect any rights, if any, of stockholders to request inclusion of nominations or proposals in the Corporation’s proxy statement pursuant to applicable provisions of federal law, including the Act.</w:t>
      </w:r>
    </w:p>
    <w:p>
      <w:pPr>
        <w:spacing w:after="0" w:line="186" w:lineRule="exact"/>
        <w:rPr>
          <w:rFonts w:ascii="Arial" w:cs="Arial" w:eastAsia="Arial" w:hAnsi="Arial"/>
          <w:sz w:val="18"/>
          <w:szCs w:val="18"/>
          <w:color w:val="auto"/>
        </w:rPr>
      </w:pPr>
    </w:p>
    <w:p>
      <w:pPr>
        <w:ind w:right="60" w:firstLine="899"/>
        <w:spacing w:after="0" w:line="271" w:lineRule="auto"/>
        <w:tabs>
          <w:tab w:leader="none" w:pos="1326"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2.12, unless otherwise required by law, if the stockholder (or a qualified representative of the stockholder) does not appear at the annual or special meeting of stockholders of the Corporation to present a nomination or proposed business or does not provide the information required by Section 2.12(c), including any required supplement thereto, such nomination shall be disregarded and such proposed business shall not be transacted, notwithstanding that proxies in respect of such vote may have been received by the Corporation. For purposes of this Section 2.12,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8" w:lineRule="exact"/>
        <w:rPr>
          <w:rFonts w:ascii="Arial" w:cs="Arial" w:eastAsia="Arial" w:hAnsi="Arial"/>
          <w:sz w:val="17"/>
          <w:szCs w:val="17"/>
          <w:color w:val="auto"/>
        </w:rPr>
      </w:pPr>
    </w:p>
    <w:p>
      <w:pPr>
        <w:ind w:right="20" w:firstLine="899"/>
        <w:spacing w:after="0" w:line="283" w:lineRule="auto"/>
        <w:tabs>
          <w:tab w:leader="none" w:pos="1326"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2.12 is delivered to the Secretary of the Corporation, who is entitled to vote at the meeting upon such election and who complies with the notice procedures set forth in this Section 2.12.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Section 2.12(b) shall be delivered to the Secretary of the Corporation at the principal executive offices of the Corporation not earlier than</w:t>
      </w:r>
    </w:p>
    <w:p>
      <w:pPr>
        <w:spacing w:after="0" w:line="7"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the close of business on the 120ths day prior to such special meeting and not later than the close of business on the later of (x)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meeting or (y)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right="380" w:firstLine="899"/>
        <w:spacing w:after="0" w:line="277" w:lineRule="auto"/>
        <w:tabs>
          <w:tab w:leader="none" w:pos="136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provisions of this Section 2.12 are subject to, and nothing in this Section 2.12 shall in any way limit the exercise, or the method or timing of the exercise of, the rights of any person granted by the Corporation to nominate directors.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Postponement and Cancellation of Meeting.</w:t>
      </w:r>
      <w:r>
        <w:rPr>
          <w:rFonts w:ascii="Arial" w:cs="Arial" w:eastAsia="Arial" w:hAnsi="Arial"/>
          <w:sz w:val="18"/>
          <w:szCs w:val="18"/>
          <w:color w:val="auto"/>
        </w:rPr>
        <w:t xml:space="preserve"> Any previously scheduled annual or special meeting of the stockholders may be postponed, and any previously scheduled annual or special meeting of the stockholders may be canceled, by resolution of the Board of Directors upon public notice given prior to the time previously scheduled for such meeting.</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jc w:val="both"/>
        <w:ind w:right="500" w:firstLine="648"/>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Board Authority</w:t>
      </w:r>
      <w:r>
        <w:rPr>
          <w:rFonts w:ascii="Arial" w:cs="Arial" w:eastAsia="Arial" w:hAnsi="Arial"/>
          <w:sz w:val="18"/>
          <w:szCs w:val="18"/>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Number of Directors</w:t>
      </w:r>
      <w:r>
        <w:rPr>
          <w:rFonts w:ascii="Arial" w:cs="Arial" w:eastAsia="Arial" w:hAnsi="Arial"/>
          <w:sz w:val="18"/>
          <w:szCs w:val="18"/>
          <w:color w:val="auto"/>
        </w:rPr>
        <w:t>. The number of directors that shall constitute the whole Board of Directors shall be fixed from time to time by resolution of the Board of Directors, provided that the Board of Directors shall consist of at least one (1) member. No reduction of the authorized number of directors shall have the effect of removing any director before that director’s term of office expires.</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Election of Directors</w:t>
      </w:r>
      <w:r>
        <w:rPr>
          <w:rFonts w:ascii="Arial" w:cs="Arial" w:eastAsia="Arial" w:hAnsi="Arial"/>
          <w:sz w:val="18"/>
          <w:szCs w:val="18"/>
          <w:color w:val="auto"/>
        </w:rPr>
        <w:t>. Directors shall be elected at each annual meeting of stockholders. Each director shall serve until his successor is duly elected and qualified or until his earlier death, resignation or removal. Directors need not be stockholders.</w:t>
      </w:r>
    </w:p>
    <w:p>
      <w:pPr>
        <w:spacing w:after="0" w:line="1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Removal or Resignation of Directors</w:t>
      </w:r>
      <w:r>
        <w:rPr>
          <w:rFonts w:ascii="Arial" w:cs="Arial" w:eastAsia="Arial" w:hAnsi="Arial"/>
          <w:sz w:val="17"/>
          <w:szCs w:val="17"/>
          <w:color w:val="auto"/>
        </w:rPr>
        <w:t>. Unless otherwise provided by the Corporation’s Certificate of Incorporation or these bylaws, any director or the entire Board of Directors may be removed, with or without cause, by the affirmative vote of the holders of a majority of the shares entitled to vote at an election of directors. However, whenever a director has been elected by a voting group of stockholders, only the stockholders from that voting group may participate in the vote to remove him or her, and such vacancy may be filled only by the stockholders of that voting group. Any director may resign at any time upon written notice, including by electronic transmission, to the Corporation.</w:t>
      </w:r>
    </w:p>
    <w:p>
      <w:pPr>
        <w:spacing w:after="0" w:line="16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color w:val="auto"/>
        </w:rPr>
        <w:t>Vacancies</w:t>
      </w:r>
      <w:r>
        <w:rPr>
          <w:rFonts w:ascii="Arial" w:cs="Arial" w:eastAsia="Arial" w:hAnsi="Arial"/>
          <w:sz w:val="16"/>
          <w:szCs w:val="16"/>
          <w:color w:val="auto"/>
        </w:rPr>
        <w:t>. Unless otherwise provided by the Corporation’s Certificate of Incorporation or these bylaws,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6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Place of Meetings</w:t>
      </w:r>
      <w:r>
        <w:rPr>
          <w:rFonts w:ascii="Arial" w:cs="Arial" w:eastAsia="Arial" w:hAnsi="Arial"/>
          <w:sz w:val="18"/>
          <w:szCs w:val="18"/>
          <w:color w:val="auto"/>
        </w:rPr>
        <w:t>. The Board of Directors of the Corporation may hold meetings, both regular and special, either within or without the State of Delaware.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right="120" w:firstLine="648"/>
        <w:spacing w:after="0" w:line="261"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Telephonic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8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Regular Meetings</w:t>
      </w:r>
      <w:r>
        <w:rPr>
          <w:rFonts w:ascii="Arial" w:cs="Arial" w:eastAsia="Arial" w:hAnsi="Arial"/>
          <w:sz w:val="18"/>
          <w:szCs w:val="18"/>
          <w:color w:val="auto"/>
        </w:rPr>
        <w:t>. 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color w:val="auto"/>
        </w:rPr>
        <w:t>Special Meetings</w:t>
      </w:r>
      <w:r>
        <w:rPr>
          <w:rFonts w:ascii="Arial" w:cs="Arial" w:eastAsia="Arial" w:hAnsi="Arial"/>
          <w:sz w:val="17"/>
          <w:szCs w:val="17"/>
          <w:color w:val="auto"/>
        </w:rPr>
        <w:t>. Special meetings of the Board of Directors may be called by the Chairman of the Board or Chief Executive Officer upon notice to each director; special meetings shall be called by the Chairman of the Board or Chief Executive Officer in like manner and on like notice on the written request of two (2) directors unless the Board of Directors consists of only one director, in which case special meetings shall be called by the Chairman of the Board or Chief Executive Officer in like manner and on like notice on the written request of the sole director. Notice of any special meeting shall be given to each director at his or her business or residence in writing by mail or delivered personally by hand, or by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9.1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77"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color w:val="auto"/>
        </w:rPr>
        <w:t>Quorum</w:t>
      </w:r>
      <w:r>
        <w:rPr>
          <w:rFonts w:ascii="Arial" w:cs="Arial" w:eastAsia="Arial" w:hAnsi="Arial"/>
          <w:sz w:val="16"/>
          <w:szCs w:val="16"/>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51"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8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8" w:name="page79"/>
    <w:bookmarkEnd w:id="78"/>
    <w:p>
      <w:pPr>
        <w:ind w:right="700" w:firstLine="648"/>
        <w:spacing w:after="0" w:line="28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Minutes of Committee Meetings</w:t>
      </w:r>
      <w:r>
        <w:rPr>
          <w:rFonts w:ascii="Arial" w:cs="Arial" w:eastAsia="Arial" w:hAnsi="Arial"/>
          <w:sz w:val="18"/>
          <w:szCs w:val="18"/>
          <w:color w:val="auto"/>
        </w:rPr>
        <w:t>. Each committee shall keep regular minutes of its meetings and report the same to the Board of Directors when required.</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Notice</w:t>
      </w:r>
      <w:r>
        <w:rPr>
          <w:rFonts w:ascii="Arial" w:cs="Arial" w:eastAsia="Arial" w:hAnsi="Arial"/>
          <w:sz w:val="18"/>
          <w:szCs w:val="18"/>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(i) by mail, addressed to such director or stockholder, at his or her address as it appears on the records of the Corporation, with postage thereon prepaid, and such notice shall be deemed to be given at the time when the same shall be deposited in the United States mail; or (ii) by electronic transmission as provided in Section 4.3 of these bylaws.</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Waiver of Notice</w:t>
      </w:r>
      <w:r>
        <w:rPr>
          <w:rFonts w:ascii="Arial" w:cs="Arial" w:eastAsia="Arial" w:hAnsi="Arial"/>
          <w:sz w:val="17"/>
          <w:szCs w:val="17"/>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 Attendance at any meeting shall constitute waiver of notice except attendance for the sole purpose of objecting, at the beginning of the meeting, to the transaction of any business because the meeting is not lawfully called or convened.</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Electronic Notice</w:t>
      </w:r>
      <w:r>
        <w:rPr>
          <w:rFonts w:ascii="Arial" w:cs="Arial" w:eastAsia="Arial" w:hAnsi="Arial"/>
          <w:sz w:val="16"/>
          <w:szCs w:val="16"/>
          <w:color w:val="auto"/>
        </w:rPr>
        <w:t>.</w:t>
      </w:r>
    </w:p>
    <w:p>
      <w:pPr>
        <w:spacing w:after="0" w:line="229" w:lineRule="exact"/>
        <w:rPr>
          <w:sz w:val="20"/>
          <w:szCs w:val="20"/>
          <w:color w:val="auto"/>
        </w:rPr>
      </w:pPr>
    </w:p>
    <w:p>
      <w:pPr>
        <w:ind w:right="20" w:firstLine="889"/>
        <w:spacing w:after="0" w:line="272" w:lineRule="auto"/>
        <w:tabs>
          <w:tab w:leader="none" w:pos="135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Electronic Transmission</w:t>
      </w:r>
      <w:r>
        <w:rPr>
          <w:rFonts w:ascii="Arial" w:cs="Arial" w:eastAsia="Arial" w:hAnsi="Arial"/>
          <w:sz w:val="17"/>
          <w:szCs w:val="17"/>
          <w:color w:val="auto"/>
        </w:rPr>
        <w:t>. Without limiting the manner by which notice otherwise may be given effectively to stockholders and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77" w:lineRule="exact"/>
        <w:rPr>
          <w:rFonts w:ascii="Arial" w:cs="Arial" w:eastAsia="Arial" w:hAnsi="Arial"/>
          <w:sz w:val="17"/>
          <w:szCs w:val="17"/>
          <w:color w:val="auto"/>
        </w:rPr>
      </w:pPr>
    </w:p>
    <w:p>
      <w:pPr>
        <w:ind w:left="1340" w:hanging="441"/>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Effective Date of Notice</w:t>
      </w:r>
      <w:r>
        <w:rPr>
          <w:rFonts w:ascii="Arial" w:cs="Arial" w:eastAsia="Arial" w:hAnsi="Arial"/>
          <w:sz w:val="18"/>
          <w:szCs w:val="18"/>
          <w:color w:val="auto"/>
        </w:rPr>
        <w:t>. Notice given pursuant to subsection (a) of this section shall be deemed given: (1) if by facsimile</w:t>
      </w:r>
    </w:p>
    <w:p>
      <w:pPr>
        <w:spacing w:after="0" w:line="23" w:lineRule="exact"/>
        <w:rPr>
          <w:rFonts w:ascii="Arial" w:cs="Arial" w:eastAsia="Arial" w:hAnsi="Arial"/>
          <w:sz w:val="18"/>
          <w:szCs w:val="18"/>
          <w:color w:val="auto"/>
        </w:rPr>
      </w:pPr>
    </w:p>
    <w:p>
      <w:pPr>
        <w:ind w:right="40"/>
        <w:spacing w:after="0" w:line="252" w:lineRule="auto"/>
        <w:rPr>
          <w:rFonts w:ascii="Arial" w:cs="Arial" w:eastAsia="Arial" w:hAnsi="Arial"/>
          <w:sz w:val="18"/>
          <w:szCs w:val="18"/>
          <w:color w:val="auto"/>
        </w:rPr>
      </w:pPr>
      <w:r>
        <w:rPr>
          <w:rFonts w:ascii="Arial" w:cs="Arial" w:eastAsia="Arial" w:hAnsi="Arial"/>
          <w:sz w:val="18"/>
          <w:szCs w:val="18"/>
          <w:color w:val="auto"/>
        </w:rPr>
        <w:t>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94" w:lineRule="exact"/>
        <w:rPr>
          <w:rFonts w:ascii="Arial" w:cs="Arial" w:eastAsia="Arial" w:hAnsi="Arial"/>
          <w:sz w:val="18"/>
          <w:szCs w:val="18"/>
          <w:color w:val="auto"/>
        </w:rPr>
      </w:pPr>
    </w:p>
    <w:p>
      <w:pPr>
        <w:ind w:right="140" w:firstLine="899"/>
        <w:spacing w:after="0" w:line="264" w:lineRule="auto"/>
        <w:tabs>
          <w:tab w:leader="none" w:pos="1316"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physical transmission of paper, that creates a record that may be retained, retrieved, and reviewed by a recipient thereof, and that may be directly reproduced in paper form by such a recipient through an automated process.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left="52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Required and Permitted Officers</w:t>
      </w:r>
      <w:r>
        <w:rPr>
          <w:rFonts w:ascii="Arial" w:cs="Arial" w:eastAsia="Arial" w:hAnsi="Arial"/>
          <w:sz w:val="18"/>
          <w:szCs w:val="18"/>
          <w:color w:val="auto"/>
        </w:rPr>
        <w:t>. The officers of the Corporation shall include, if and when designated by the Board of Directors, a Chief Executive Officer and/or a President, a Chief Financial Officer, a Treasurer and a Secretary. The Board of Directors may elect from among its members a Chairman of the Board and a Vice-Chairman of the Board. The Board of Directors may also choose one or more vice-presidents, assistant secretaries and assistant treasurers, and such other officers with such powers and duties as it shall deem necessary. Any number of offices may be held by the same person, unless the Certificate of Incorporation or these bylaws otherwise provide.</w:t>
      </w:r>
    </w:p>
    <w:p>
      <w:pPr>
        <w:spacing w:after="0" w:line="18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The Board of Directors at its first meeting after each annual meeting of stockholders shall choose a Chief Executive Officer and/or a President, a Chief Financial Officer, Treasurer, and a Secretary.</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Appointment of Permitted Officers</w:t>
      </w:r>
      <w:r>
        <w:rPr>
          <w:rFonts w:ascii="Arial" w:cs="Arial" w:eastAsia="Arial" w:hAnsi="Arial"/>
          <w:sz w:val="18"/>
          <w:szCs w:val="18"/>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Officer Compensation</w:t>
      </w:r>
      <w:r>
        <w:rPr>
          <w:rFonts w:ascii="Arial" w:cs="Arial" w:eastAsia="Arial" w:hAnsi="Arial"/>
          <w:sz w:val="16"/>
          <w:szCs w:val="16"/>
          <w:color w:val="auto"/>
        </w:rPr>
        <w:t>. The salaries of all officers and agents of the Corporation shall be fixed by the Board of Directors.</w:t>
      </w:r>
    </w:p>
    <w:p>
      <w:pPr>
        <w:spacing w:after="0" w:line="225"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Removal; Resignation; Vacancies</w:t>
      </w:r>
      <w:r>
        <w:rPr>
          <w:rFonts w:ascii="Arial" w:cs="Arial" w:eastAsia="Arial" w:hAnsi="Arial"/>
          <w:sz w:val="16"/>
          <w:szCs w:val="16"/>
          <w:color w:val="auto"/>
        </w:rPr>
        <w:t>. Subject to the rights, if any of an officer under any contract or employment, any officer may be removed, either with or without cause, by the Board of Directors at any regular or special meeting of the Board of Directors, at any time by the affirmative vote of a majority of the Board of Directors. Any officer may resign at any time by giving notice to the Corporation in writing or by electronic transmission to the Board of Directors or to the Chairman of the Board. Any vacancy occurring in any office of the Corporation shall be filled by the Board of Directors.</w:t>
      </w:r>
    </w:p>
    <w:p>
      <w:pPr>
        <w:spacing w:after="0" w:line="15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President</w:t>
      </w:r>
      <w:r>
        <w:rPr>
          <w:rFonts w:ascii="Arial" w:cs="Arial" w:eastAsia="Arial" w:hAnsi="Arial"/>
          <w:sz w:val="18"/>
          <w:szCs w:val="18"/>
          <w:color w:val="auto"/>
        </w:rPr>
        <w:t>. Unless otherwise determined by the Board of Directors, the President shall be the Chief Executive Officer of the Corporation. Subject to the provisions of these bylaws and the direction of the Board of Directors, he or she shall have the responsibility for the general management and control of the business and affairs of the Corporation and shall perform all duties and have all powers that are commonly incident to the office of chief executive or which are delegated to him or her by the Board of Directors. He or she shall have the power to sign all stock certificates, contracts and other instruments of the Corporation that are authorized and shall have general supervision and direction of all of the other officers, employees and agents of the Corporation.</w:t>
      </w:r>
    </w:p>
    <w:p>
      <w:pPr>
        <w:spacing w:after="0" w:line="188"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Vice President</w:t>
      </w:r>
      <w:r>
        <w:rPr>
          <w:rFonts w:ascii="Arial" w:cs="Arial" w:eastAsia="Arial" w:hAnsi="Arial"/>
          <w:sz w:val="18"/>
          <w:szCs w:val="18"/>
          <w:color w:val="auto"/>
        </w:rPr>
        <w:t>. Each Vice President shall have the powers and duties delegated to him or her by the Board of Directors or the President. One Vice President may be designated by the Board of Directors to perform the duties and exercise the powers of the President in the event of the President’s absence or disability.</w:t>
      </w:r>
    </w:p>
    <w:p>
      <w:pPr>
        <w:spacing w:after="0" w:line="17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color w:val="auto"/>
        </w:rPr>
        <w:t>Secretary and Assistant Secretary</w:t>
      </w:r>
      <w:r>
        <w:rPr>
          <w:rFonts w:ascii="Arial" w:cs="Arial" w:eastAsia="Arial" w:hAnsi="Arial"/>
          <w:sz w:val="16"/>
          <w:szCs w:val="16"/>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right="40" w:firstLine="648"/>
        <w:spacing w:after="0" w:line="272"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Chief Financial Officer, Treasurer and Assistant Treasurer</w:t>
      </w:r>
      <w:r>
        <w:rPr>
          <w:rFonts w:ascii="Arial" w:cs="Arial" w:eastAsia="Arial" w:hAnsi="Arial"/>
          <w:sz w:val="17"/>
          <w:szCs w:val="17"/>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this or her office and shall also perform such other duties and have such other powers as the Board of Directors of the President shall designate from time to time. The President may direct the Treasurer or any Assistant Treasurer to assume and perform the duties of the Chief Financial Officer in the absence or disability of the Chief Financial Officer, and each Treasurer and Assistant Treasurer shall perform other duties commonly incident to his or her office and shall also perform such other duties and have such other powers as the Board of Directors or the President shall designate from time to time.</w:t>
      </w:r>
    </w:p>
    <w:p>
      <w:pPr>
        <w:spacing w:after="0" w:line="17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color w:val="auto"/>
        </w:rPr>
        <w:t>Delegation of Authority</w:t>
      </w:r>
      <w:r>
        <w:rPr>
          <w:rFonts w:ascii="Arial" w:cs="Arial" w:eastAsia="Arial" w:hAnsi="Arial"/>
          <w:sz w:val="18"/>
          <w:szCs w:val="18"/>
          <w:color w:val="auto"/>
        </w:rPr>
        <w:t>. The Board of Directors may from time to time delegate the powers or duties of any officer to any other officer or agent, notwithstanding any provision 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ind w:right="360" w:firstLine="648"/>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Stock Certificates</w:t>
      </w:r>
      <w:r>
        <w:rPr>
          <w:rFonts w:ascii="Arial" w:cs="Arial" w:eastAsia="Arial" w:hAnsi="Arial"/>
          <w:sz w:val="17"/>
          <w:szCs w:val="17"/>
          <w:color w:val="auto"/>
        </w:rPr>
        <w:t>. Shares of capital stock of the Corporation may be certificated or uncertificated, as provided in the DGCL. Stock certificates shall be signed by, or in the name of the Corporation by, (i) the Chairman of the Board (if any) or the Vice Chairman of the Board (if any), the President or a Vice President, and (ii) the Secretary or an Assistant Secretary, or the Treasurer or an Assistant Treasurer, or the Chief Financial Officer, certifying the number of shares owned by such stockholder. Any signature on a certificate may be by facsimile.</w:t>
      </w:r>
    </w:p>
    <w:p>
      <w:pPr>
        <w:spacing w:after="0" w:line="16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3"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Lost, Stolen or Destroyed Certificates</w:t>
      </w:r>
      <w:r>
        <w:rPr>
          <w:rFonts w:ascii="Arial" w:cs="Arial" w:eastAsia="Arial" w:hAnsi="Arial"/>
          <w:sz w:val="16"/>
          <w:szCs w:val="16"/>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5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Transfer of Stock</w:t>
      </w:r>
      <w:r>
        <w:rPr>
          <w:rFonts w:ascii="Arial" w:cs="Arial" w:eastAsia="Arial" w:hAnsi="Arial"/>
          <w:sz w:val="18"/>
          <w:szCs w:val="18"/>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ind w:right="120" w:firstLine="648"/>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Registered Stockholders</w:t>
      </w:r>
      <w:r>
        <w:rPr>
          <w:rFonts w:ascii="Arial" w:cs="Arial" w:eastAsia="Arial" w:hAnsi="Arial"/>
          <w:sz w:val="18"/>
          <w:szCs w:val="18"/>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Dividends upon the capital stock of the Corporation, if any, subject to the provisions of the Certificate of Incorporation and applicable law, may be declared by the Board of Directors at any regular or special meeting. Dividends may be paid in cash, in property or in shares of the capital stock, subject to the provisions of the Certificate of Incorporation and applicable law.</w:t>
      </w:r>
    </w:p>
    <w:p>
      <w:pPr>
        <w:spacing w:after="0" w:line="176" w:lineRule="exact"/>
        <w:rPr>
          <w:sz w:val="20"/>
          <w:szCs w:val="20"/>
          <w:color w:val="auto"/>
        </w:rPr>
      </w:pPr>
    </w:p>
    <w:p>
      <w:pPr>
        <w:ind w:right="320" w:firstLine="648"/>
        <w:spacing w:after="0" w:line="30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Reserve for Dividends</w:t>
      </w:r>
      <w:r>
        <w:rPr>
          <w:rFonts w:ascii="Arial" w:cs="Arial" w:eastAsia="Arial" w:hAnsi="Arial"/>
          <w:sz w:val="16"/>
          <w:szCs w:val="16"/>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5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Inconsistencies</w:t>
      </w:r>
      <w:r>
        <w:rPr>
          <w:rFonts w:ascii="Arial" w:cs="Arial" w:eastAsia="Arial" w:hAnsi="Arial"/>
          <w:sz w:val="18"/>
          <w:szCs w:val="18"/>
          <w:color w:val="auto"/>
        </w:rPr>
        <w:t>. If any provision of these bylaws is or becomes inconsistent with any provision of the Certificate of Incorporation, the DGCL or any other applicable law, the provision of these bylaws shall not be given any effect to the extent of the inconsistency, but shall otherwise be given full force and effect.</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or provisions of these bylaws shall be held to be invalid, illegal, or unenforceable for any reason whatsoever: (1) the validity, legality, and enforceability of the remaining provisions of these bylaws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these bylaws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Corporation shall, to the fullest extent authorized under the laws of the State of Delaware, as those laws may be amended and supplemented from time to time, indemnify any person made, or threatened to be made, a party to an action or proceeding, whether criminal, civil, administrative or investigative, by reason of being a director or officer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8.1 shall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The Corporation’s obligation to provide indemnification under this Section 8.1 shall be offset to the extent of any other source of indemnification or any otherwise applicable insurance coverage under a policy maintained by the Corporation or any other person.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82" w:name="page83"/>
    <w:bookmarkEnd w:id="82"/>
    <w:p>
      <w:pPr>
        <w:ind w:firstLine="648"/>
        <w:spacing w:after="0" w:line="271" w:lineRule="auto"/>
        <w:rPr>
          <w:sz w:val="20"/>
          <w:szCs w:val="20"/>
          <w:color w:val="auto"/>
        </w:rPr>
      </w:pPr>
      <w:r>
        <w:rPr>
          <w:rFonts w:ascii="Arial" w:cs="Arial" w:eastAsia="Arial" w:hAnsi="Arial"/>
          <w:sz w:val="17"/>
          <w:szCs w:val="17"/>
          <w:color w:val="auto"/>
        </w:rPr>
        <w:t>Expenses incurred by a director or officer of the Corporation in defending a civil or criminal action, suit or proceeding by reason of the fact that he or she is or was a director or officer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foregoing provisions of this Section 8.1 shall be deemed to be a contract between the Corporation and each director or officer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Board of Directors in its sole discretion shall have power on behalf of the Corporation to indemnify any person, other than a director or officer, made a party to any action, suit or proceeding by reason of the fact that he or she, his or her testator or intestate, is or was an officer or employee of the Corporation.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Corporation may purchase and maintain insurance, at its expense, to protect itself and any director, officer, employee or agent of the Corporation or another corporation, partnership, joint venture, trust or other enterprise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assure indemnification under this Section 8.1 of all directors, officers and employees who are determined by the Corporation or otherwise to be or to have been “fiduciaries” of any employee benefit plan of the Corporation that may exist from time to time, Section 145 of the DGCL shall, for the purposes of this Section 8.1,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(1) any derivative action or proceeding brought on behalf of the Corporation; (2) any action asserting a claim of breach of a fiduciary duty owed by, or any other wrongdoing by, any director, officer or other employee of the Corporation to the Corporation or the Corporation’s stockholders;</w:t>
      </w:r>
    </w:p>
    <w:p>
      <w:pPr>
        <w:spacing w:after="0" w:line="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or any director or officer or other employee of the Corporation arising pursuant to any provision of</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 DGCL, the Corporation’s Certificate of Incorporation or the Bylaws of the Corporation; (4) any action to interpret, apply, enforce or determine the validity of the Delaware Certificate of Incorporation or the Bylaws, or (5) any action asserting a claim against the Corporation or any director or officer or other employee of the Corporation governed by the internal affairs doctrine.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CERTIFICATE OF SECRETARY 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undersigned hereby certifies that he is the duly elected and acting Secretary of Marker Therapeutics, Inc., a Delaware corporation (the “Corporation”), and that the bylaws attached hereto constitute the bylaws of said Corporation as duly adopted by Action by Written Consent of the Board of Directors on May 14, 2018.</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subscribed his name this 16th day of October, 2018.</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Loiacono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2014 OMNIBUS STOCK OWNERSHIP PLAN,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AS AMENDED THROUGH AUGUST 29, 2017</w:t>
      </w:r>
    </w:p>
    <w:p>
      <w:pPr>
        <w:spacing w:after="0" w:line="207" w:lineRule="exact"/>
        <w:rPr>
          <w:sz w:val="20"/>
          <w:szCs w:val="20"/>
          <w:color w:val="auto"/>
        </w:rPr>
      </w:pPr>
    </w:p>
    <w:p>
      <w:pPr>
        <w:ind w:right="420" w:firstLine="48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2014 Omnibus Stock Ownership Plan (the “Plan”) was originally adopted by the Company and approved by the stockholders on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29, 2017;</w:t>
      </w:r>
    </w:p>
    <w:p>
      <w:pPr>
        <w:spacing w:after="0" w:line="162" w:lineRule="exact"/>
        <w:rPr>
          <w:sz w:val="20"/>
          <w:szCs w:val="20"/>
          <w:color w:val="auto"/>
        </w:rPr>
      </w:pPr>
    </w:p>
    <w:p>
      <w:pPr>
        <w:ind w:right="480" w:firstLine="48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May 14, 2018, the Board of Directors approved an amendment to increase the shares authorized and available under the Plan by</w:t>
      </w:r>
      <w:r>
        <w:rPr>
          <w:rFonts w:ascii="Arial" w:cs="Arial" w:eastAsia="Arial" w:hAnsi="Arial"/>
          <w:sz w:val="17"/>
          <w:szCs w:val="17"/>
          <w:b w:val="1"/>
          <w:bCs w:val="1"/>
          <w:color w:val="auto"/>
        </w:rPr>
        <w:t xml:space="preserve"> </w:t>
      </w:r>
      <w:r>
        <w:rPr>
          <w:rFonts w:ascii="Arial" w:cs="Arial" w:eastAsia="Arial" w:hAnsi="Arial"/>
          <w:sz w:val="17"/>
          <w:szCs w:val="17"/>
          <w:color w:val="auto"/>
        </w:rPr>
        <w:t>6,616,666 shares (the “Amendment”) and authorized the submission of the Amendment to the stockholders for approval; and</w:t>
      </w:r>
    </w:p>
    <w:p>
      <w:pPr>
        <w:spacing w:after="0" w:line="138"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August 29, 2017, the stockholders approved the Amendment to the Plan at the Company’s annual meeting and the shares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were increased by 6,616,666 shares from 1,383,334 shares to 8,000,000.</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Section 3.a titled “Scope of the Plan” is amended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reference to “1,383,334” is replaced with “8,000,000”, to reflect the approved increase in the shares reserved under the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terms and conditions of the Plan remain in full force and effect.</w:t>
      </w:r>
    </w:p>
    <w:p>
      <w:pPr>
        <w:spacing w:after="0" w:line="221" w:lineRule="exact"/>
        <w:rPr>
          <w:sz w:val="20"/>
          <w:szCs w:val="20"/>
          <w:color w:val="auto"/>
        </w:rPr>
      </w:pPr>
    </w:p>
    <w:p>
      <w:pPr>
        <w:ind w:right="80" w:firstLine="48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its duly authorized officer to sign this Amendment to the TapImmune Inc. 2014 Omnibus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Plan on its behalf.</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Loiacono,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OBSERVER AND DIRECTOR NOMINATION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BOARD OBSERVER AND DIRECTOR NOMINATION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October 17, 2018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between MARKER THERAPEUTICS, INC., a Delaware corporation formerly known as TapImmune Inc., a Nevada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NEW ENTERPRISE ASSOCIATES, INC. (the “</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xml:space="preserve">”). Unless otherwise specified herein, all of the capitalized terms used herein are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as of the Effective Date, the Shareholder has purchased 5,000,000 shares of common stock, par value, $0.001 per share,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a private placement of the Company with a group of institutional investors for an aggregate of 17,500,000 shares of Common Stock; and</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agreed to permit the Shareholder, for so long as the Shareholder Beneficially Owns at least 2,500,000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par value, $0.001 per share, of the Company (the “</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to have the right to designate one person as a board observer or to designate one person for nomination for election to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subject to the terms and conditions set forth in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to this Agreement hereby agree as follows: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Board Observer and Nominee to 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19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from and after the Effective Date and until a Termination Event (as defined below) shall have occurred, the Shareholder shall have the right, effective immediately, to designate one person to be either (i) appointed as a board observer (“</w:t>
      </w:r>
      <w:r>
        <w:rPr>
          <w:rFonts w:ascii="Arial" w:cs="Arial" w:eastAsia="Arial" w:hAnsi="Arial"/>
          <w:sz w:val="18"/>
          <w:szCs w:val="18"/>
          <w:b w:val="1"/>
          <w:bCs w:val="1"/>
          <w:i w:val="1"/>
          <w:iCs w:val="1"/>
          <w:color w:val="auto"/>
        </w:rPr>
        <w:t>Board Observer</w:t>
      </w:r>
      <w:r>
        <w:rPr>
          <w:rFonts w:ascii="Arial" w:cs="Arial" w:eastAsia="Arial" w:hAnsi="Arial"/>
          <w:sz w:val="18"/>
          <w:szCs w:val="18"/>
          <w:color w:val="auto"/>
        </w:rPr>
        <w:t>”), or (ii)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The Shareholder shall exercise these rights, in its sole discretion, from time to time by providing written notice to the Company. Ali Behbahani is hereby designated by the Shareholder to serve as a Board Observer, effective as of the Effective Date.</w:t>
      </w:r>
    </w:p>
    <w:p>
      <w:pPr>
        <w:spacing w:after="0" w:line="188" w:lineRule="exact"/>
        <w:rPr>
          <w:rFonts w:ascii="Arial" w:cs="Arial" w:eastAsia="Arial" w:hAnsi="Arial"/>
          <w:sz w:val="18"/>
          <w:szCs w:val="18"/>
          <w:color w:val="auto"/>
        </w:rPr>
      </w:pPr>
    </w:p>
    <w:p>
      <w:pPr>
        <w:jc w:val="both"/>
        <w:ind w:firstLine="1305"/>
        <w:spacing w:after="0" w:line="289" w:lineRule="auto"/>
        <w:tabs>
          <w:tab w:leader="none" w:pos="19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If the Shareholder has elected to designate one Board Observer, the Board Observer shall have the right to attend and participate in all meetings of the Board in a non-voting capacity, and the Company shall provide such Board Observer copies of all notices, consents, minutes and other materials, financial or otherwise, which the Company provides to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Board Observer does not, upon the written request of the Company, before attending any meetings of the Board, execute and deliver to the Company an agreement to abide by all Company policies applicable to members of the Board and a confidentiality agreement reasonably acceptable to the Company, the Board Observer may be excluded from access to any material or meeting or portion thereof if the Board determines in good faith, upon advice of counsel, that such exclusion is reasonably necessary to protect highly confidential proprietary information of the Company or confidential proprietary information of third parties that the Company is required to hold in confidence, or for other similar reasons. The Shareholder may revoke the designation of any person as the Board Observer at any time upon written notice to the Company after which the Shareholder shall be entitled to designate a replacement Board Observer.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7" w:name="page88"/>
    <w:bookmarkEnd w:id="87"/>
    <w:p>
      <w:pPr>
        <w:ind w:left="-20" w:firstLine="1305"/>
        <w:spacing w:after="0" w:line="277" w:lineRule="auto"/>
        <w:tabs>
          <w:tab w:leader="none" w:pos="19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Board Observer shall serve under the terms of the Board Observer and Indemnification Agreement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with such changes as may be agreed upon by the Company and the Board Observer.</w:t>
      </w:r>
    </w:p>
    <w:p>
      <w:pPr>
        <w:spacing w:after="0" w:line="170" w:lineRule="exact"/>
        <w:rPr>
          <w:rFonts w:ascii="Arial" w:cs="Arial" w:eastAsia="Arial" w:hAnsi="Arial"/>
          <w:sz w:val="18"/>
          <w:szCs w:val="18"/>
          <w:color w:val="auto"/>
        </w:rPr>
      </w:pPr>
    </w:p>
    <w:p>
      <w:pPr>
        <w:jc w:val="both"/>
        <w:ind w:left="-20" w:firstLine="1305"/>
        <w:spacing w:after="0" w:line="289" w:lineRule="auto"/>
        <w:tabs>
          <w:tab w:leader="none" w:pos="19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the sole discretion of the Shareholder, from and after the Effective Date and until a Termination Event shall have occurred, in lieu of designating a Board Observer, the Shareholder shall have the right to designate a Nominee to serve as a member of the Board. If the Shareholder provides written notice to the Company that it is exercising its right to designate a Nominee, the Company shall, as promptly as practicable, take all necessary and desirable actions within its control (including, without limitation, increasing the size of the Board, calling special meetings of the Board and the shareholders of the Company and recommending, supporting and soliciting proxies) to allow the Nominee to serve as a member of the Board. Such actions shall include ensuring that: (i) the Nominee is included in the Board’s slate of nominees to the shareholders of the Company for each election of Directors; and (ii) the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resolution of the shareholders of the Company or the Board with respect to the election of members of the Board.</w:t>
      </w:r>
    </w:p>
    <w:p>
      <w:pPr>
        <w:spacing w:after="0" w:line="166" w:lineRule="exact"/>
        <w:rPr>
          <w:rFonts w:ascii="Arial" w:cs="Arial" w:eastAsia="Arial" w:hAnsi="Arial"/>
          <w:sz w:val="16"/>
          <w:szCs w:val="16"/>
          <w:color w:val="auto"/>
        </w:rPr>
      </w:pPr>
    </w:p>
    <w:p>
      <w:pPr>
        <w:jc w:val="both"/>
        <w:ind w:left="-20" w:firstLine="1305"/>
        <w:spacing w:after="0" w:line="276" w:lineRule="auto"/>
        <w:tabs>
          <w:tab w:leader="none" w:pos="1931"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Shareholder designates a Nominee to serve as a member of the Board, and such Nominee is thereafter appointed or elected to the Board, then the right of the Shareholder to appoint a Board Observer shall automatically terminate so long as the Nominee is serving as a member of the Board. If NEA has designated a person as a Board Observer, and thereafter designates a different person as a Nominee who becomes a member of the Board, then such person designated as Board Observer may continue in such capacity on an “at will” basis, until such time as the Board takes an affirmative action to remove such person as a Board Observer at the Board’s sole discretion.</w:t>
      </w:r>
    </w:p>
    <w:p>
      <w:pPr>
        <w:spacing w:after="0" w:line="172" w:lineRule="exact"/>
        <w:rPr>
          <w:rFonts w:ascii="Arial" w:cs="Arial" w:eastAsia="Arial" w:hAnsi="Arial"/>
          <w:sz w:val="17"/>
          <w:szCs w:val="17"/>
          <w:color w:val="auto"/>
        </w:rPr>
      </w:pPr>
    </w:p>
    <w:p>
      <w:pPr>
        <w:jc w:val="both"/>
        <w:ind w:left="-20" w:firstLine="1305"/>
        <w:spacing w:after="0" w:line="269" w:lineRule="auto"/>
        <w:tabs>
          <w:tab w:leader="none" w:pos="1983"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Company shall not be obligated to cause to be nominated for election to the Board or recommend to the stockholders the election of any Nominee: (i) who fails to submit to the Company on a timely basis such questionnaires as the Company may reasonably require of its directors generally and such other information as the Company may reasonably request in connection with the preparation of its filings under the Securities Laws; (ii) if the Board or the nominating committee (if any) determines in good faith, after consultation with outside legal counsel, that such action would constitute a breach of its fiduciary duties or applicable Law or violate the Company’s Certificate of Incorporation; or (iii) unless such Nominee meets the Board’s reasonable standards for Directors generally and complies with the Board’s policies applicable to all Directors (it being understand that such Nominee shall not be required by the Board to be independent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promptly notify the Shareholder of the occurrence of such event and permit the Shareholder to provide an alternate Nominee sufficiently in advance of any Board action or any meetings of the Company’s shareholders called for the purpose of electing members of the Board, but in no event shall the Company be obligated to postpone, reschedule or delay any scheduled meeting of the Company’s shareholders with respect to such election of members of the Board.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8" w:name="page89"/>
    <w:bookmarkEnd w:id="88"/>
    <w:p>
      <w:pPr>
        <w:jc w:val="both"/>
        <w:ind w:firstLine="1305"/>
        <w:spacing w:after="0" w:line="297" w:lineRule="auto"/>
        <w:tabs>
          <w:tab w:leader="none" w:pos="1983"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 vacancy occurs, or a Nominee fails to be elected, in either case because of the death, disability, disqualification, resignation or removal of a Nominee or for any other reason, the Shareholder shall be entitled to designate such person’s successor, and the Company shall, within ten (10) days of such designation, take all necessary and desirable actions within its control such that such vacancy shall be filled with such successor Nominee, it being understood that any such successor designee shall serve the remainder of the term of the director whom such designee replaces. The Shareholder shall not be obligated to designate a director Nominee pursuant to this Agreement but the failure to do so shall not constitute a waiver of its rights hereunder.</w:t>
      </w:r>
    </w:p>
    <w:p>
      <w:pPr>
        <w:spacing w:after="0" w:line="158" w:lineRule="exact"/>
        <w:rPr>
          <w:rFonts w:ascii="Arial" w:cs="Arial" w:eastAsia="Arial" w:hAnsi="Arial"/>
          <w:sz w:val="16"/>
          <w:szCs w:val="16"/>
          <w:color w:val="auto"/>
        </w:rPr>
      </w:pPr>
    </w:p>
    <w:p>
      <w:pPr>
        <w:jc w:val="both"/>
        <w:ind w:right="20" w:firstLine="1305"/>
        <w:spacing w:after="0" w:line="264" w:lineRule="auto"/>
        <w:tabs>
          <w:tab w:leader="none" w:pos="21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pay the reasonable, documented out-of-pocket expenses incurred by each Board Observer or Nominee in connection with his or her services provided to or on behalf of the Company, including attending meetings (including committee meetings) or events attended on behalf of the Company at the Company’s request.</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9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shall (i) purchase directors’ and officers’ liability insurance in an amount determined by the Board to be reasonable and customary and (ii) for so long as any Board Observer serves in such capacity, or a Nominee nominated pursuant to the terms of this Agreement serves as a member of the Board, maintain such coverage with respect to such members of the Board and/or Board Observer.</w:t>
      </w:r>
    </w:p>
    <w:p>
      <w:pPr>
        <w:spacing w:after="0" w:line="165" w:lineRule="exact"/>
        <w:rPr>
          <w:rFonts w:ascii="Arial" w:cs="Arial" w:eastAsia="Arial" w:hAnsi="Arial"/>
          <w:sz w:val="17"/>
          <w:szCs w:val="17"/>
          <w:color w:val="auto"/>
        </w:rPr>
      </w:pPr>
    </w:p>
    <w:p>
      <w:pPr>
        <w:jc w:val="both"/>
        <w:ind w:firstLine="1305"/>
        <w:spacing w:after="0" w:line="257" w:lineRule="auto"/>
        <w:tabs>
          <w:tab w:leader="none" w:pos="2178"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so long as any Nominee serves as a member of the Board, the Company shall not amend, alter or repeal any right to indemnification or exculpation covering or benefiting any Nominee nominated pursuant to this Agreement as and to the extent consistent with applicable law, including but not limited to any provisions of the Company Charter (whether such right is contained in the Company Charter or another document) (except to the extent such amendment or alteration permits the Company to provide broader indemnification or exculpation rights on a retroactive basis than permitted prior thereto).</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Termination</w:t>
      </w:r>
      <w:r>
        <w:rPr>
          <w:rFonts w:ascii="Arial" w:cs="Arial" w:eastAsia="Arial" w:hAnsi="Arial"/>
          <w:sz w:val="18"/>
          <w:szCs w:val="18"/>
          <w:color w:val="auto"/>
        </w:rPr>
        <w:t>. Notwithstanding anything to the contrary contained herein, upon (i) a Change of Control Transaction, or (ii) the Shareholder (together with its Affiliates and permitted assignees) ceases to Beneficially Own less than 2,500,000 Company Shares (“</w:t>
      </w:r>
      <w:r>
        <w:rPr>
          <w:rFonts w:ascii="Arial" w:cs="Arial" w:eastAsia="Arial" w:hAnsi="Arial"/>
          <w:sz w:val="18"/>
          <w:szCs w:val="18"/>
          <w:b w:val="1"/>
          <w:bCs w:val="1"/>
          <w:i w:val="1"/>
          <w:iCs w:val="1"/>
          <w:color w:val="auto"/>
        </w:rPr>
        <w:t>Termination Event</w:t>
      </w:r>
      <w:r>
        <w:rPr>
          <w:rFonts w:ascii="Arial" w:cs="Arial" w:eastAsia="Arial" w:hAnsi="Arial"/>
          <w:sz w:val="18"/>
          <w:szCs w:val="18"/>
          <w:color w:val="auto"/>
        </w:rPr>
        <w:t xml:space="preserve">”), then this Agreement shall expire and terminate automatically;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1(h)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shall survive the termination of this Agreement.</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has the meaning ascribed to it in Section 13(d) of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that is not a Saturday, Sunday, legal holiday or other day on which commercial banks in New York, New York are authorized or required by applicable law to close.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Transaction</w:t>
      </w:r>
      <w:r>
        <w:rPr>
          <w:rFonts w:ascii="Arial" w:cs="Arial" w:eastAsia="Arial" w:hAnsi="Arial"/>
          <w:sz w:val="18"/>
          <w:szCs w:val="18"/>
          <w:color w:val="auto"/>
        </w:rPr>
        <w:t>” means a merger, consolidation or other similar transaction or series of transactions to which the Company is a party, regardless of whether the Company is the surviving Person in such transaction, pursuant to which the holders of shares of Common Stock immediately prior to such transaction (including for this purpose the Shares issuable on conversion of notes and exercise of options and warrants ) represent less than 50% of the shares of Common Stock outstanding immediately following such transaction.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Charter</w:t>
      </w:r>
      <w:r>
        <w:rPr>
          <w:rFonts w:ascii="Arial" w:cs="Arial" w:eastAsia="Arial" w:hAnsi="Arial"/>
          <w:sz w:val="18"/>
          <w:szCs w:val="18"/>
          <w:color w:val="auto"/>
        </w:rPr>
        <w:t>” means the Company’s Certificate of Incorporation, as in effect at the Effective Date, as the same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any sale, transfer, assignment or other disposition of (whether with or without consideration and whether voluntary or involuntary or by operation of law) of Company Shares.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Assignment; Benefit of Parties; Transfer</w:t>
      </w:r>
      <w:r>
        <w:rPr>
          <w:rFonts w:ascii="Arial" w:cs="Arial" w:eastAsia="Arial" w:hAnsi="Arial"/>
          <w:sz w:val="17"/>
          <w:szCs w:val="17"/>
          <w:color w:val="auto"/>
        </w:rPr>
        <w:t>. This Agreement shall be binding upon and shall inure to the benefit of the parties hereto and their respective successors, legal representatives and assignees for the uses and purposes set forth and referred to herein. Notwithstanding the foregoing, the Company may not assign any of its rights or obligations hereunder without the prior written consent of the Shareholder. Nothing herein contained shall confer or is intended to confer on any third party or entity that is not a party to this Agreement any rights under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firstLine="648"/>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Remedies</w:t>
      </w:r>
      <w:r>
        <w:rPr>
          <w:rFonts w:ascii="Arial" w:cs="Arial" w:eastAsia="Arial" w:hAnsi="Arial"/>
          <w:sz w:val="18"/>
          <w:szCs w:val="18"/>
          <w:color w:val="auto"/>
        </w:rPr>
        <w:t>. The Company and the Shareholder shall be entitled to enforce their rights under this Agreement specifically, to recover damages by reason of any breach of any provision of this Agreement and to exercise all other rights existing in their favor. The parties hereto agree and acknowledge that a breach of this Agreement would cause irreparable harm and money damages may not be an adequate remedy for any such breach and that, in addition to other rights and remedies hereunder, the Company and the Shareholder shall be entitled to specific performance and/or injunctive or other equitable relief (without posting a bond or other security) from any court of law or equity of competent jurisdiction in order to enforce or prevent any violation of the provisions of this Agreement.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shall be in writing and shall be either personally delivered, or mailed first class mail (postage prepaid, return receipt requested) or sent by reputable overnight courier service (charges prepaid) to the Company and the Shareholder at the addresses set forth below. Notices shall be deemed to have been given hereunder when delivered personally, three days after deposit in the U.S. mail and one day after deposit with a reputable overnight courier service.</w:t>
      </w:r>
    </w:p>
    <w:p>
      <w:pPr>
        <w:spacing w:after="0" w:line="187" w:lineRule="exact"/>
        <w:rPr>
          <w:sz w:val="20"/>
          <w:szCs w:val="20"/>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Marker Therapeutics, Inc.</w:t>
      </w:r>
    </w:p>
    <w:p>
      <w:pPr>
        <w:spacing w:after="0" w:line="23" w:lineRule="exact"/>
        <w:rPr>
          <w:rFonts w:ascii="Arial" w:cs="Arial" w:eastAsia="Arial" w:hAnsi="Arial"/>
          <w:sz w:val="18"/>
          <w:szCs w:val="18"/>
          <w:color w:val="auto"/>
        </w:rPr>
      </w:pPr>
    </w:p>
    <w:p>
      <w:pPr>
        <w:ind w:left="1960" w:right="7300"/>
        <w:spacing w:after="0" w:line="255" w:lineRule="auto"/>
        <w:rPr>
          <w:rFonts w:ascii="Arial" w:cs="Arial" w:eastAsia="Arial" w:hAnsi="Arial"/>
          <w:sz w:val="18"/>
          <w:szCs w:val="18"/>
          <w:color w:val="auto"/>
        </w:rPr>
      </w:pPr>
      <w:r>
        <w:rPr>
          <w:rFonts w:ascii="Arial" w:cs="Arial" w:eastAsia="Arial" w:hAnsi="Arial"/>
          <w:sz w:val="18"/>
          <w:szCs w:val="18"/>
          <w:color w:val="auto"/>
        </w:rPr>
        <w:t>5 W. Forsyth Street, Suite 200 Jacksonville FL 32202 Attention: CEO</w:t>
      </w:r>
    </w:p>
    <w:p>
      <w:pPr>
        <w:spacing w:after="0" w:line="19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Seyfarth Shaw LLP</w:t>
      </w:r>
    </w:p>
    <w:p>
      <w:pPr>
        <w:spacing w:after="0" w:line="23" w:lineRule="exact"/>
        <w:rPr>
          <w:rFonts w:ascii="Arial" w:cs="Arial" w:eastAsia="Arial" w:hAnsi="Arial"/>
          <w:sz w:val="18"/>
          <w:szCs w:val="18"/>
          <w:color w:val="auto"/>
        </w:rPr>
      </w:pPr>
    </w:p>
    <w:p>
      <w:pPr>
        <w:ind w:left="1960" w:right="7780"/>
        <w:spacing w:after="0" w:line="302" w:lineRule="auto"/>
        <w:rPr>
          <w:rFonts w:ascii="Arial" w:cs="Arial" w:eastAsia="Arial" w:hAnsi="Arial"/>
          <w:sz w:val="18"/>
          <w:szCs w:val="18"/>
          <w:color w:val="auto"/>
        </w:rPr>
      </w:pPr>
      <w:r>
        <w:rPr>
          <w:rFonts w:ascii="Arial" w:cs="Arial" w:eastAsia="Arial" w:hAnsi="Arial"/>
          <w:sz w:val="16"/>
          <w:szCs w:val="16"/>
          <w:color w:val="auto"/>
        </w:rPr>
        <w:t>700 Milam, Suite 1400 Houston TX 77002 Attention: Paul Pryzant</w:t>
      </w:r>
    </w:p>
    <w:p>
      <w:pPr>
        <w:spacing w:after="0" w:line="155"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to the Shareholder:</w:t>
      </w:r>
    </w:p>
    <w:p>
      <w:pPr>
        <w:spacing w:after="0" w:line="225" w:lineRule="exact"/>
        <w:rPr>
          <w:rFonts w:ascii="Arial" w:cs="Arial" w:eastAsia="Arial" w:hAnsi="Arial"/>
          <w:sz w:val="18"/>
          <w:szCs w:val="18"/>
          <w:color w:val="auto"/>
        </w:rPr>
      </w:pPr>
    </w:p>
    <w:p>
      <w:pPr>
        <w:ind w:left="1960" w:right="7160"/>
        <w:spacing w:after="0" w:line="302" w:lineRule="auto"/>
        <w:rPr>
          <w:rFonts w:ascii="Arial" w:cs="Arial" w:eastAsia="Arial" w:hAnsi="Arial"/>
          <w:sz w:val="18"/>
          <w:szCs w:val="18"/>
          <w:color w:val="auto"/>
        </w:rPr>
      </w:pPr>
      <w:r>
        <w:rPr>
          <w:rFonts w:ascii="Arial" w:cs="Arial" w:eastAsia="Arial" w:hAnsi="Arial"/>
          <w:sz w:val="16"/>
          <w:szCs w:val="16"/>
          <w:color w:val="auto"/>
        </w:rPr>
        <w:t>New Enterprise Associates, Inc. 5425 Wisconsin Ave, Suite 800 Chevy Chase, MD 20815 Attention: Ali Behbahani</w:t>
      </w:r>
    </w:p>
    <w:p>
      <w:pPr>
        <w:spacing w:after="0" w:line="154"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1960" w:right="7160"/>
        <w:spacing w:after="0" w:line="302" w:lineRule="auto"/>
        <w:rPr>
          <w:rFonts w:ascii="Arial" w:cs="Arial" w:eastAsia="Arial" w:hAnsi="Arial"/>
          <w:sz w:val="18"/>
          <w:szCs w:val="18"/>
          <w:color w:val="auto"/>
        </w:rPr>
      </w:pPr>
      <w:r>
        <w:rPr>
          <w:rFonts w:ascii="Arial" w:cs="Arial" w:eastAsia="Arial" w:hAnsi="Arial"/>
          <w:sz w:val="16"/>
          <w:szCs w:val="16"/>
          <w:color w:val="auto"/>
        </w:rPr>
        <w:t>New Enterprise Associates, Inc. 5425 Wisconsin Ave, Suite 800 Chevy Chase, MD 20815 Attention: Chief Legal Officer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Adjustments</w:t>
      </w:r>
      <w:r>
        <w:rPr>
          <w:rFonts w:ascii="Arial" w:cs="Arial" w:eastAsia="Arial" w:hAnsi="Arial"/>
          <w:sz w:val="18"/>
          <w:szCs w:val="18"/>
          <w:color w:val="auto"/>
        </w:rPr>
        <w:t>. If, and as often as, there are any changes in the Common Stock by way of stock split, stock dividend, combination or reclassification, or through merger, consolidation, reorganization, recapitalization or sale, or by any other means, appropriate adjustment shall be made in the provisions of this Agreement, as may be required, so that the rights, privileges, duties and obligations hereunder shall continue with respect to the Company Shares as so changed.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Nothing in this Agreement, express or implied, is intended or shall be construed to confer upon, or give to, any person or entity other than the parties hereto and their respective successors and assigns any remedy or claim under or by reason of this Agreement or any terms, covenants or conditions hereof, and all of the terms, covenants, conditions, promises and agreements contained in this Agreement shall be for the sole and exclusive benefit of the parties hereto and their respective successors and assigns.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hereby agrees that it will hereafter execute and deliver any further document, agreement, instruments of assignment, transfer or conveyance as may be necessary or desirable to effectuate the purposes hereof.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may be delivered by means of facsimile or electronic transmission in portable document format, each of which shall be deemed to be an original and shall be binding upon the party who executed the same, but all of such counterparts shall constitute the same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Governing Law</w:t>
      </w:r>
      <w:r>
        <w:rPr>
          <w:rFonts w:ascii="Arial" w:cs="Arial" w:eastAsia="Arial" w:hAnsi="Arial"/>
          <w:sz w:val="18"/>
          <w:szCs w:val="18"/>
          <w:color w:val="auto"/>
        </w:rPr>
        <w:t>. All issues and questions concerning the construction, validity, interpretation and enforceability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HEREBY IRREVOCABLY WAIVE ANY AND ALL RIGHTS TO TRIAL BY JURY IN ANY LEGAL PROCEEDING ARISING OUT OF OR RELATED TO THIS AGREEMENT. ANY ACTION OR PROCEEDING WHATSOEVER BETWEEN THE PARTIES HERETO RELATING TO THIS AGREEMENT SHALL BE TRIED IN A COURT OF COMPETENT JURISDICTION BY A JUDGE SITTING WITHOUT A JURY.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Complete Agreement; Inconsistent Agreements</w:t>
      </w:r>
      <w:r>
        <w:rPr>
          <w:rFonts w:ascii="Arial" w:cs="Arial" w:eastAsia="Arial" w:hAnsi="Arial"/>
          <w:sz w:val="18"/>
          <w:szCs w:val="18"/>
          <w:color w:val="auto"/>
        </w:rPr>
        <w:t>. This Agreement represents the complete agreement between the parties hereto as to all matters covered hereby and supersedes any prior agreements or understandings between the parties.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both"/>
        <w:ind w:firstLine="648"/>
        <w:spacing w:after="0" w:line="27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Amendment and Waiver</w:t>
      </w:r>
      <w:r>
        <w:rPr>
          <w:rFonts w:ascii="Arial" w:cs="Arial" w:eastAsia="Arial" w:hAnsi="Arial"/>
          <w:sz w:val="17"/>
          <w:szCs w:val="17"/>
          <w:color w:val="auto"/>
        </w:rPr>
        <w:t>. Except as otherwise provided herein, no modification, amendment or waiver of any provision of this Agreement shall be effective against the Company or the Shareholder unless such modification is approved in writing by the Company and the Shareholder.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 Each of the parties hereto covenant and agree that the disinterested Directors of the Board have the right to enforce, waive or take any other action with respect to this Agreement on behalf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a deed on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 xml:space="preserve">Marker Therapeutics, Inc. </w:t>
      </w:r>
      <w:r>
        <w:rPr>
          <w:rFonts w:ascii="Arial" w:cs="Arial" w:eastAsia="Arial" w:hAnsi="Arial"/>
          <w:sz w:val="18"/>
          <w:szCs w:val="18"/>
          <w:color w:val="auto"/>
        </w:rPr>
        <w:t>(f/k/a TapImmune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Peter Hoang</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Peter Hoang,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Board Observer and Director Nomination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b w:val="1"/>
          <w:bCs w:val="1"/>
          <w:u w:val="single" w:color="auto"/>
          <w:color w:val="auto"/>
        </w:rPr>
        <w:t>Shareholder</w:t>
      </w:r>
      <w:r>
        <w:rPr>
          <w:rFonts w:ascii="Arial" w:cs="Arial" w:eastAsia="Arial" w:hAnsi="Arial"/>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New Enterprise Associates 16, L.P.</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 NEA Partners 16,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By: NEA 16 GP,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Louis Citron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Louis Citron,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Board Observer and Director Nomination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OBSERVER AND INDEMNIFICATION AGREEMENT</w:t>
      </w:r>
    </w:p>
    <w:p>
      <w:pPr>
        <w:spacing w:after="0" w:line="229" w:lineRule="exact"/>
        <w:rPr>
          <w:sz w:val="20"/>
          <w:szCs w:val="20"/>
          <w:color w:val="auto"/>
        </w:rPr>
      </w:pPr>
    </w:p>
    <w:p>
      <w:pPr>
        <w:jc w:val="both"/>
        <w:ind w:firstLine="716"/>
        <w:spacing w:after="0" w:line="264" w:lineRule="auto"/>
        <w:rPr>
          <w:sz w:val="20"/>
          <w:szCs w:val="20"/>
          <w:color w:val="auto"/>
        </w:rPr>
      </w:pPr>
      <w:r>
        <w:rPr>
          <w:rFonts w:ascii="Arial" w:cs="Arial" w:eastAsia="Arial" w:hAnsi="Arial"/>
          <w:sz w:val="18"/>
          <w:szCs w:val="18"/>
          <w:color w:val="auto"/>
        </w:rPr>
        <w:t>This Board Observer and Indemnification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October 17,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MARKER THERAPEUTICS, INC., a Delaware corporation formerly known as TapImmune, Inc., a Nevada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ALI BEHBAHANI (“</w:t>
      </w:r>
      <w:r>
        <w:rPr>
          <w:rFonts w:ascii="Arial" w:cs="Arial" w:eastAsia="Arial" w:hAnsi="Arial"/>
          <w:sz w:val="18"/>
          <w:szCs w:val="18"/>
          <w:b w:val="1"/>
          <w:bCs w:val="1"/>
          <w:i w:val="1"/>
          <w:iCs w:val="1"/>
          <w:color w:val="auto"/>
        </w:rPr>
        <w:t>Observer</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Board Observer and Director Nomination Agreement (the “</w:t>
      </w:r>
      <w:r>
        <w:rPr>
          <w:rFonts w:ascii="Arial" w:cs="Arial" w:eastAsia="Arial" w:hAnsi="Arial"/>
          <w:sz w:val="18"/>
          <w:szCs w:val="18"/>
          <w:b w:val="1"/>
          <w:bCs w:val="1"/>
          <w:i w:val="1"/>
          <w:iCs w:val="1"/>
          <w:color w:val="auto"/>
        </w:rPr>
        <w:t>Nomination Agreement</w:t>
      </w:r>
      <w:r>
        <w:rPr>
          <w:rFonts w:ascii="Arial" w:cs="Arial" w:eastAsia="Arial" w:hAnsi="Arial"/>
          <w:sz w:val="18"/>
          <w:szCs w:val="18"/>
          <w:color w:val="auto"/>
        </w:rPr>
        <w:t>”) dated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New Enterprise Associates, Inc. (the “</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the Shareholder has the right to designate a non-voting observer who will be entitled to attend and participate in all meetings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with such further rights and upon such further restrictions as set forth in the Nomination Agreement;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 has appointed Observer as the non-voting observer pursuant to the Nomination Agreement.</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in accordance with the terms of the Nomination Agreement, the Company and Observer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6" w:lineRule="exact"/>
        <w:rPr>
          <w:sz w:val="20"/>
          <w:szCs w:val="20"/>
          <w:color w:val="auto"/>
        </w:rPr>
      </w:pPr>
    </w:p>
    <w:p>
      <w:pPr>
        <w:ind w:left="1340" w:hanging="684"/>
        <w:spacing w:after="0"/>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Board Observer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13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agrees that it will invite Observer to attend, in a non-voting observer capacity, all meetings of the Board for the purposes of permitting Observer to have current information with respect to the affairs of the Company and the actions taken by the Board and Observer to provide input and advice with respect thereto (the “</w:t>
      </w:r>
      <w:r>
        <w:rPr>
          <w:rFonts w:ascii="Arial" w:cs="Arial" w:eastAsia="Arial" w:hAnsi="Arial"/>
          <w:sz w:val="16"/>
          <w:szCs w:val="16"/>
          <w:b w:val="1"/>
          <w:bCs w:val="1"/>
          <w:i w:val="1"/>
          <w:iCs w:val="1"/>
          <w:color w:val="auto"/>
        </w:rPr>
        <w:t>Approved Purposes</w:t>
      </w:r>
      <w:r>
        <w:rPr>
          <w:rFonts w:ascii="Arial" w:cs="Arial" w:eastAsia="Arial" w:hAnsi="Arial"/>
          <w:sz w:val="16"/>
          <w:szCs w:val="16"/>
          <w:color w:val="auto"/>
        </w:rPr>
        <w:t>”). Observer shall have the right to be heard at any such meeting, but in no event shall Observer: (i) be deemed to be a member of the Board; (ii) have the right to vote on any matter under consideration by the Board or otherwise have any power to cause the Company to take, or not to take, any action; or (iii) except as expressly set forth in this Agreement, have or be deemed to have, or otherwise be subject to, any duties (fiduciary or otherwise) to the Company or its stockholders or any duties (fiduciary or otherwise) otherwise applicable to the directors of the Company. As a non-voting observer, Observer will also be provided (concurrently with delivery to the directors of the Company and in the same manner delivery is made to them) copies of all notices, minutes, consents, and all other materials or information (financial or otherwise) that are provided to the directors with respect to a meeting or any written consent in lieu of meeting (except to the extent Observer has been excluded therefrom pursuant to clause (c) below).</w:t>
      </w:r>
    </w:p>
    <w:p>
      <w:pPr>
        <w:spacing w:after="0" w:line="166" w:lineRule="exact"/>
        <w:rPr>
          <w:rFonts w:ascii="Arial" w:cs="Arial" w:eastAsia="Arial" w:hAnsi="Arial"/>
          <w:sz w:val="16"/>
          <w:szCs w:val="16"/>
          <w:color w:val="auto"/>
        </w:rPr>
      </w:pPr>
    </w:p>
    <w:p>
      <w:pPr>
        <w:jc w:val="both"/>
        <w:ind w:firstLine="656"/>
        <w:spacing w:after="0" w:line="264" w:lineRule="auto"/>
        <w:tabs>
          <w:tab w:leader="none" w:pos="13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a meeting of the Board is conducted via telephone or other electronic medium (e.g., videoconference), Observer may attend such meeting via the same medium;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it shall be a material breach of this Agreement by Observer to provide any other person access to such meeting without the Company’s express prior written consent (which consent may be by e-mail).</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4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Company may exclude Observer from access to any material or meeting or portion thereof if: (i) the Board concludes in good faith, upon advice of the Company’s counsel, that such exclusion is reasonably necessary to preserve the attorney-client privilege between the Company and such counsel;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exclusion shall apply only to such portion of the material or such portion of the meeting which would be required to preserve such privilege and not to any other portion thereof; or (ii) such portion of a meeting is an executive session limited solely to independent director members of the Board, independent auditors and/or legal counsel, as the Board may designate, and Observer (assuming Observer were a member of the Board) would not meet the then-applicable standards for independence adopted by the NASDAQ Capital Market, or such other exchange on which the Company’s securities are then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both"/>
        <w:ind w:firstLine="656"/>
        <w:spacing w:after="0" w:line="279" w:lineRule="auto"/>
        <w:tabs>
          <w:tab w:leader="none" w:pos="14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Company shall reimburse Observer for all reasonable out-of-pocket expenses incurred by Observer in connection with attendance at Board meetings. All reimbursements payable by the Company pursuant to this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shall be paid to Observer in accordance with the Company’s policies and practices with respect to director expense reimbursement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reimbursement shall be paid to Observer no later than comparable compensation or reimbursement is paid to the members of the Board.</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rights described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terminate upon: (i) the occurrence of a Termination Event as defined in the Nomination Agreement; (ii) any material violation of the terms of this Agreement by Observer which (A) remains uncured within ten business days after receipt of notice thereof, or (B) if such violation is not subject to cure, directly causes harm to the Company in the Board’s sole and absolute discretion; or (iii) the death or disability of Observer.</w:t>
      </w:r>
    </w:p>
    <w:p>
      <w:pPr>
        <w:spacing w:after="0" w:line="187" w:lineRule="exact"/>
        <w:rPr>
          <w:sz w:val="20"/>
          <w:szCs w:val="20"/>
          <w:color w:val="auto"/>
        </w:rPr>
      </w:pPr>
    </w:p>
    <w:p>
      <w:pPr>
        <w:ind w:left="1340" w:hanging="684"/>
        <w:spacing w:after="0"/>
        <w:tabs>
          <w:tab w:leader="none" w:pos="13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Confidential Treatment of Company 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right="20" w:firstLine="656"/>
        <w:spacing w:after="0" w:line="264" w:lineRule="auto"/>
        <w:tabs>
          <w:tab w:leader="none" w:pos="13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consideration of the Company’s disclosure to Observer of information which is not publicly available concerning the Company for the Approved Purposes, Observer agrees that this Agreement will apply to all information, in any form whatsoever, disclosed or made available to Observer concerning the Company, its affiliates and/or the Approved Purposes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569"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as otherwise provided herein, Observer agrees: (i) to hold Confidential Information in strict confidence; (ii) not to disclose Confidential Information to any third parties; and (iii) not to use any Confidential Information for any purpose except for the Approved Purposes. Observer may disclose the Confidential Information to the Shareholder and its responsible agents, advisors, affiliates and representatives with a bona fide need to know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but only to the extent necessary for the Approved Purposes. Observer agrees to instruct all such Representatives not to disclose such Confidential Information to third parties without the prior written permission of the Company. Observer will, at all times, remain liable under the terms of this Agreement for any unauthorized disclosure or use by any of its Representatives of Confidential Information provided to such Representatives by Observer.</w:t>
      </w:r>
    </w:p>
    <w:p>
      <w:pPr>
        <w:spacing w:after="0" w:line="165" w:lineRule="exact"/>
        <w:rPr>
          <w:sz w:val="20"/>
          <w:szCs w:val="20"/>
          <w:color w:val="auto"/>
        </w:rPr>
      </w:pPr>
    </w:p>
    <w:p>
      <w:pPr>
        <w:ind w:left="1500" w:hanging="844"/>
        <w:spacing w:after="0"/>
        <w:tabs>
          <w:tab w:leader="none" w:pos="150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Exempted Disclosure</w:t>
      </w:r>
      <w:r>
        <w:rPr>
          <w:rFonts w:ascii="Arial" w:cs="Arial" w:eastAsia="Arial" w:hAnsi="Arial"/>
          <w:sz w:val="17"/>
          <w:szCs w:val="17"/>
          <w:color w:val="auto"/>
        </w:rPr>
        <w:t>. The foregoing restriction on the use and nondisclosure of Confidential Information will not include information</w:t>
      </w:r>
    </w:p>
    <w:p>
      <w:pPr>
        <w:spacing w:after="0" w:line="34" w:lineRule="exact"/>
        <w:rPr>
          <w:rFonts w:ascii="Arial" w:cs="Arial" w:eastAsia="Arial" w:hAnsi="Arial"/>
          <w:sz w:val="17"/>
          <w:szCs w:val="17"/>
          <w:color w:val="auto"/>
        </w:rPr>
      </w:pPr>
    </w:p>
    <w:p>
      <w:pPr>
        <w:jc w:val="both"/>
        <w:spacing w:after="0" w:line="252" w:lineRule="auto"/>
        <w:rPr>
          <w:rFonts w:ascii="Arial" w:cs="Arial" w:eastAsia="Arial" w:hAnsi="Arial"/>
          <w:sz w:val="17"/>
          <w:szCs w:val="17"/>
          <w:color w:val="auto"/>
        </w:rPr>
      </w:pPr>
      <w:r>
        <w:rPr>
          <w:rFonts w:ascii="Arial" w:cs="Arial" w:eastAsia="Arial" w:hAnsi="Arial"/>
          <w:sz w:val="18"/>
          <w:szCs w:val="18"/>
          <w:color w:val="auto"/>
        </w:rPr>
        <w:t xml:space="preserve">which: (i) is, or hereafter becomes, through no act or failure to act on the part of Observer, generally known or available to the public; (ii) was acquired by Observer before receiving such information from the Company, without restriction as to use or disclosure; (iii) is hereafter furnished to Observer by a third party, without, to Observer’s knowledge, restriction as to use or disclosure; (iv) such information was independently developed by Observer; or (v) is required or requested to be disclosed pursuant to judicial, regulatory or administrative process or court order,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permitted by law, rule or regulation and reasonably practicable under the circumstances, Observer gives the Company prompt notice of such required disclosure so that the Company may challenge the same.</w:t>
      </w:r>
    </w:p>
    <w:p>
      <w:pPr>
        <w:spacing w:after="0" w:line="194" w:lineRule="exact"/>
        <w:rPr>
          <w:rFonts w:ascii="Arial" w:cs="Arial" w:eastAsia="Arial" w:hAnsi="Arial"/>
          <w:sz w:val="17"/>
          <w:szCs w:val="17"/>
          <w:color w:val="auto"/>
        </w:rPr>
      </w:pPr>
    </w:p>
    <w:p>
      <w:pPr>
        <w:jc w:val="both"/>
        <w:ind w:firstLine="656"/>
        <w:spacing w:after="0" w:line="255" w:lineRule="auto"/>
        <w:tabs>
          <w:tab w:leader="none" w:pos="147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xml:space="preserve">. Following the termination of the rights of Observer described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upon request of the Company, Observer will promptly: (i) return to the Company all physical materials containing or consisting of Confidential Information and all hard copies thereof; and (ii) destroy all electronically stored Confidential Information in Observer’s possession or control. Observer may retain in his confidential files one copy of any item of Confidential Information in order to comply with any legal, compliance or regulatory requirements. Any Confidential Information that is not returned or destroyed, including, without limitation, any oral Confidential Information, and all notes, analyses, compilations, studies or other documents prepared by or for the benefit of Observer from such information, will remain subject to the confidentiality obligations set forth in this Agreement indefinitely.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jc w:val="both"/>
        <w:ind w:left="-20" w:firstLine="656"/>
        <w:spacing w:after="0" w:line="286" w:lineRule="auto"/>
        <w:tabs>
          <w:tab w:leader="none" w:pos="134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Disclaimer</w:t>
      </w:r>
      <w:r>
        <w:rPr>
          <w:rFonts w:ascii="Arial" w:cs="Arial" w:eastAsia="Arial" w:hAnsi="Arial"/>
          <w:sz w:val="17"/>
          <w:szCs w:val="17"/>
          <w:color w:val="auto"/>
        </w:rPr>
        <w:t>. All Confidential Information is provided to Observer “AS IS” and the Company does not make any representation or warranty as to the accuracy or completeness of the Confidential Information or any component thereof. The Company will have no liability to Observer resulting from the reliance on the Confidential Information by Observer or any third party to whom such Confidential Information is disclosed.</w:t>
      </w:r>
    </w:p>
    <w:p>
      <w:pPr>
        <w:spacing w:after="0" w:line="165" w:lineRule="exact"/>
        <w:rPr>
          <w:rFonts w:ascii="Arial" w:cs="Arial" w:eastAsia="Arial" w:hAnsi="Arial"/>
          <w:sz w:val="17"/>
          <w:szCs w:val="17"/>
          <w:color w:val="auto"/>
        </w:rPr>
      </w:pPr>
    </w:p>
    <w:p>
      <w:pPr>
        <w:jc w:val="both"/>
        <w:ind w:left="-20" w:firstLine="656"/>
        <w:spacing w:after="0" w:line="302" w:lineRule="auto"/>
        <w:tabs>
          <w:tab w:leader="none" w:pos="137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Company Ownership of Confidential Information</w:t>
      </w:r>
      <w:r>
        <w:rPr>
          <w:rFonts w:ascii="Arial" w:cs="Arial" w:eastAsia="Arial" w:hAnsi="Arial"/>
          <w:sz w:val="16"/>
          <w:szCs w:val="16"/>
          <w:color w:val="auto"/>
        </w:rPr>
        <w:t>. Observer acknowledges that all of the Confidential Information is owned solely by the Company (or its licensors) and that the unauthorized disclosure or use of such Confidential Information would cause irreparable harm and significant injury, the degree of which may be difficult to ascertain. Therefore, in the event of any breach of this Agreement, the Company is entitled to seek all forms of equitable relief (including an injunction and order for specific performance), in addition to all other remedies available at law or in equity.</w:t>
      </w:r>
    </w:p>
    <w:p>
      <w:pPr>
        <w:spacing w:after="0" w:line="154" w:lineRule="exact"/>
        <w:rPr>
          <w:rFonts w:ascii="Arial" w:cs="Arial" w:eastAsia="Arial" w:hAnsi="Arial"/>
          <w:sz w:val="16"/>
          <w:szCs w:val="16"/>
          <w:color w:val="auto"/>
        </w:rPr>
      </w:pPr>
    </w:p>
    <w:p>
      <w:pPr>
        <w:jc w:val="both"/>
        <w:ind w:left="-20" w:firstLine="656"/>
        <w:spacing w:after="0" w:line="257" w:lineRule="auto"/>
        <w:tabs>
          <w:tab w:leader="none" w:pos="131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Observer and Representative Compliance with Securities Laws</w:t>
      </w:r>
      <w:r>
        <w:rPr>
          <w:rFonts w:ascii="Arial" w:cs="Arial" w:eastAsia="Arial" w:hAnsi="Arial"/>
          <w:sz w:val="18"/>
          <w:szCs w:val="18"/>
          <w:color w:val="auto"/>
        </w:rPr>
        <w:t>. Observer agrees that the Confidential Information is given in confidence in accordance with the terms of this Agreement, and Observer will not take any action relating to the securities of the Company which would constitute insider trading, market manipulation, or any other violation of applicable securities law. Observer agrees to instruct all of his Representatives to whom he discloses Confidential Information that they may not take any action relating to the securities of the Company which would constitute insider trading, market manipulation, or any other violation of applicable securities law.</w:t>
      </w:r>
    </w:p>
    <w:p>
      <w:pPr>
        <w:spacing w:after="0" w:line="188" w:lineRule="exact"/>
        <w:rPr>
          <w:rFonts w:ascii="Arial" w:cs="Arial" w:eastAsia="Arial" w:hAnsi="Arial"/>
          <w:sz w:val="18"/>
          <w:szCs w:val="18"/>
          <w:color w:val="auto"/>
        </w:rPr>
      </w:pPr>
    </w:p>
    <w:p>
      <w:pPr>
        <w:jc w:val="both"/>
        <w:ind w:left="-20" w:firstLine="656"/>
        <w:spacing w:after="0" w:line="254" w:lineRule="auto"/>
        <w:tabs>
          <w:tab w:leader="none" w:pos="158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The Company will indemnify and hold harmless Observer from and against any losses, claims, damages, liabilities and expenses to which Observer may become subject, insofar as such losses, claims, damages, liabilities or expenses (or actions in respect thereof) arise out of, relate to, or are based upon Observer’s designation or attendance as a non-voting observer at meetings of the Board, Observer’s receipt of materials or information under this Agreement, or Observer’s exercise of his rights under this Agreement. The Company will pay or reimburse Observer for such losses, claims, damages, liabilities and expenses as they are incurred, including, without limitation, for amounts incurred in connection with investigating or defending any such loss, claim, damage, liability, expense or action. In furtherance of the rights set forth in this Section 8, the Company agrees that it will enter into an Indemnification Agreement with Observer, which shall be on the form of the Indemnification Agreement provided to each of the members of the Board.</w:t>
      </w:r>
    </w:p>
    <w:p>
      <w:pPr>
        <w:spacing w:after="0" w:line="192" w:lineRule="exact"/>
        <w:rPr>
          <w:rFonts w:ascii="Arial" w:cs="Arial" w:eastAsia="Arial" w:hAnsi="Arial"/>
          <w:sz w:val="18"/>
          <w:szCs w:val="18"/>
          <w:color w:val="auto"/>
        </w:rPr>
      </w:pPr>
    </w:p>
    <w:p>
      <w:pPr>
        <w:jc w:val="both"/>
        <w:ind w:left="-20" w:firstLine="656"/>
        <w:spacing w:after="0" w:line="255" w:lineRule="auto"/>
        <w:tabs>
          <w:tab w:leader="none" w:pos="131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For the duration of Observer’s appointment as Observer of the Company, and thereafter for the duration of the applicable statute of limitations, the Company shall cause to be maintained in effect a policy of liability insurance coverage for Observer against liability that may be a Company shall provide Observer or his counsel with a copy of all directors’ liability insurance applications, binders, policies, declarations, endorsements, and other related materials. Notwithstanding the foregoing, the Company may, but shall not be required to, create a trust fund, grant a security interest, or use other means, including, without limitation, a letter of credit, to ensure the payment of such amounts as may be necessary to satisfy its obligations to indemnify and advance expenses pursuant to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8" w:name="page99"/>
    <w:bookmarkEnd w:id="98"/>
    <w:p>
      <w:pPr>
        <w:jc w:val="both"/>
        <w:ind w:left="-20" w:firstLine="656"/>
        <w:spacing w:after="0" w:line="259" w:lineRule="auto"/>
        <w:tabs>
          <w:tab w:leader="none" w:pos="137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issues and questions concerning the construction, validity, interpretation and enforceability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42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provided for in this Agreement shall be in writing and shall be either personally delivered, or mailed first class mail (postage prepaid, return receipt requested) or sent by reputable overnight courier service (charges prepaid) to the Company and the Observer at the addresses set forth below. Notices shall be deemed to have been given hereunder when delivered personally, three days after deposit in the U.S. mail and one day after deposit with a reputable overnight courier service.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W. Forsyth Street, 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CEO</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Seyfarth Shaw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700 Milam, Suite 1400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Paul Pryzant</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the Observer:</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Ali Behbahani</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Enterprise Associates,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5425 Wisconsin Ave, Suite 800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Chevy Chase, MD 20815</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Enterprise Associates,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5425 Wisconsin Ave, Suite 800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Chevy Chase, MD 20815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jc w:val="both"/>
        <w:ind w:left="-20" w:firstLine="656"/>
        <w:spacing w:after="0" w:line="264" w:lineRule="auto"/>
        <w:tabs>
          <w:tab w:leader="none" w:pos="138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Nomination Agreement, constitutes the complete and exclusive statement regarding the subject matter of this Agreement and supersedes all prior agreements, understandings and communications, oral or written, between the parties regarding the subject matter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9" w:name="page100"/>
    <w:bookmarkEnd w:id="99"/>
    <w:p>
      <w:pPr>
        <w:jc w:val="both"/>
        <w:ind w:firstLine="656"/>
        <w:spacing w:after="0" w:line="264" w:lineRule="auto"/>
        <w:tabs>
          <w:tab w:leader="none" w:pos="17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shall terminate and be of no further force or effect pursuant to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hereof. Notwithstanding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this Section 13 shall survive any termination or expiration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hereto executed this Agreement as of the date first above written.</w:t>
      </w: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 xml:space="preserve">Marker Therapeutics, Inc. </w:t>
      </w:r>
      <w:r>
        <w:rPr>
          <w:rFonts w:ascii="Arial" w:cs="Arial" w:eastAsia="Arial" w:hAnsi="Arial"/>
          <w:sz w:val="16"/>
          <w:szCs w:val="16"/>
          <w:color w:val="auto"/>
        </w:rPr>
        <w:t>(f/k/a TapImmune Inc.)</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Peter Hoang,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8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Observer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Signature Page to Board Observer and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21230" cy="454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221230" cy="45466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206375</wp:posOffset>
            </wp:positionV>
            <wp:extent cx="1792605" cy="403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7926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AND MARKER THERAPEUTICS ANNOUNCE SUCCESSFUL CLOSING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PREVIOUSLY ANNOUNCED MERGER AND FINANCING</w:t>
      </w:r>
    </w:p>
    <w:p>
      <w:pPr>
        <w:spacing w:after="0" w:line="21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TapImmune Inc. changes name to Marker Therapeutics,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To Commence Trading on NASDAQ Capital Market on Thursday, October 18, 2018 under Ticker Symbol “MRKR”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Completes $70 million in concurrent private placement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Company to Ring NASDAQ Stock Market Closing Bell</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Jacksonville, FL, October 17, 2018 —TapImmune Inc. (NASDAQ: TPIV), today announced the closing of the previously announced merger with privately-held Marker Therapeutics, Inc. In connection with the merger, TapImmune Inc. changed its name to Marker Therapeutics, Inc., and reincorporated from Nevada into Delaware. The combined company will focus on the continued development and commercialization of T cell therapies. Beginning Thursday, October 18, 2018, the Company’s stock will begin trading under the new ticker symbol “MRKR” on the Nasdaq Capital Market and will have a new CUSIP number, 57055L 107.</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closing of this merger marks a significant milestone, since the combined company is well-positioned to become a leader in cancer immunotherapy, with potentially transformative therapies,” said Peter L. Hoang, CEO of Marker Therapeutics, Inc. “The combined company will have exponentially superior capabilities and resources than either company had alone. With the transaction completed, we can now push our clinical trials forward more efficiently with the full resources available to the combined company. We are confident that our therapies can fundamentally improve therapeutic outcomes for patients with life-threatening diseases, and drive life-changing results for patients suffering from a variety of terrible cancers.”</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Mr. Hoang continued, “In connection with the merger, we welcome to our Board of Directors, John Wilson, Dr. Juan Vera and David Eansor, whose participation and future contributions will enhance the future prospects of the combined company.”</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merger provides Marker’s unique and highly promising T cell therapies with an excellent combination of financial support, management capacity, and scientific expertise that is expected to expedite a fundamental change in the lives of cancer patients,” said John Wilson, CEO of the former Marker Therapeutics, Inc., which changed its name to Marker Cell Therapy, Inc. in connection with the merger. “Our belief that this merger provides the best path forward has been reinforced by events surrounding the transaction, including the significant capital contribution made by highly discerning healthcare investors, led by New Enterprise Associates, the exclusive license with Baylor College of Medicine that will allow us to leverage the vast capabilities of their Center for Cell and Gene Therapy going forward, and by the willingness of Dr. James Allison (2018 Nobel Prize of Medicine recipient) and Dr. Padmanee Sharma (2018 Coley Award in Tumor Immunology recipient) to join our internationally acclaimed founders (Drs. Malcolm Brenner, Cliona Rooney, and Helen Heslop) on Marker’s Scientific Advisory Board.”</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the merger, 13,914,255 shares of common stock of the Company, and warrants to purchase 5,046,003 shares of common stock at an exercise price of $2.99 per share with a five-year term, were issued to the prior stockholders of the former Marker Therapeutics, Inc., which will become a subsidiary of the combined company and renamed Marker Cell Therapy, Inc.</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Concurrent with the merger, the Company closed on the previously announced private placement financing (the “Financing”). The aggregate offering size, before deducting the placement agent fees and other offering expenses, was $70 million. The Company issued 17,500,000 shares of its common stock and issued warrants to purchase 13,125,000 shares of common stock at an exercise price of $5.00 per share that will be exercisable for a period of five years. The closing of the merger and the Financing were subject to the approval of TapImmune’s stockholders as required by NASDAQ Stock Market Rules. TapImmune’s stockholders approved the issuance of the merger and Financing shares and warrants at TapImmune’s annual meeting which occurred on October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2" w:name="page103"/>
    <w:bookmarkEnd w:id="102"/>
    <w:p>
      <w:pPr>
        <w:ind w:right="60"/>
        <w:spacing w:after="0" w:line="277" w:lineRule="auto"/>
        <w:rPr>
          <w:sz w:val="20"/>
          <w:szCs w:val="20"/>
          <w:color w:val="auto"/>
        </w:rPr>
      </w:pPr>
      <w:r>
        <w:rPr>
          <w:rFonts w:ascii="Arial" w:cs="Arial" w:eastAsia="Arial" w:hAnsi="Arial"/>
          <w:sz w:val="18"/>
          <w:szCs w:val="18"/>
          <w:color w:val="auto"/>
        </w:rPr>
        <w:t>The Financing proceeds will be used to advance the combined company’s novel T cell therapies into multiple Phase 2 clinical studies, build out infrastructure to support clinical and manufacturing capabilities, and other corporate and general purposes.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Piper Jaffray &amp; Co. served as sole lead placement agent for the private placement, and Nomura Securities International, Inc. served as co-placement agent and exclusive financial advisor in conjunction with the merger.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securities issued in the merger and sold in the Financing (together the “Securities”) have not been registered under the Securities Act of 1933, as amended, or state securities laws and may not be offered or sold in the United States absent registration with the Securities and Exchange Commission or an applicable exemption from such registration requirements. The Company has agreed to file a registration statement with the Securities and Exchange Commission covering the resale of the Securities, including the shares of common stock issuable upon exercise of the warrants. If any of the Securities are unable to be included on the initial registration statement, the Company has agreed to file subsequent registration statements until all the Securities have been registered.</w:t>
      </w:r>
    </w:p>
    <w:p>
      <w:pPr>
        <w:spacing w:after="0" w:line="19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a result of the closing of the merger and the Financing, the former Marker stockholders, after taking into account the issuance of shares in the Financing occurring concurrently with the merger, now own, on a fully-diluted basis (assuming the exercise of all outstanding warrants and options), approximately 27.5%, and TapImmune’s current stockholders now own approximately 27.5%, of the Company’s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Frederick Wasserman, who was appointed Chairman of Marker’s Board upon closing of the merger said, “The completion of the merger and financing provide a strong foundation for Marker’s future growth initiatives. We are now better positioned to develop new therapies for patients and create value for our shareholders.” Mr. Wasserman continued and noted, “We look forward to working with our three new directors who are joining our Board. We also wish to recognize our former board members who left the Board in connection with the merger (Glynn Wilson, Sherry Grisewood, Mark Reddish and Joshua Silverman) for their many contributions in helping the Company reach this milestone event.”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will be relocating its corporate headquarters to Houston, Texas to facilitate its collaboration with the research team at the Baylor College of Medicine. In conjunction with its move, the Company plans to open a facility in Houston to conduct its operations and oversee its clinical trials.</w:t>
      </w:r>
    </w:p>
    <w:p>
      <w:pPr>
        <w:spacing w:after="0" w:line="147"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President &amp; Chief Executive Officer Peter L. Hoang, accompanied by the senior management team and Board of Directors, will ring the Nasdaq Closing Bell to mark the end of trading for today, October 17</w:t>
      </w:r>
      <w:r>
        <w:rPr>
          <w:rFonts w:ascii="Arial" w:cs="Arial" w:eastAsia="Arial" w:hAnsi="Arial"/>
          <w:sz w:val="30"/>
          <w:szCs w:val="30"/>
          <w:color w:val="auto"/>
          <w:vertAlign w:val="superscript"/>
        </w:rPr>
        <w:t>th</w:t>
      </w:r>
      <w:r>
        <w:rPr>
          <w:rFonts w:ascii="Arial" w:cs="Arial" w:eastAsia="Arial" w:hAnsi="Arial"/>
          <w:sz w:val="18"/>
          <w:szCs w:val="18"/>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ceremony, which will take place between 3:45 p.m. and 4:15 p.m. Eastern Time, will stream live online at </w:t>
      </w:r>
      <w:r>
        <w:rPr>
          <w:rFonts w:ascii="Arial" w:cs="Arial" w:eastAsia="Arial" w:hAnsi="Arial"/>
          <w:sz w:val="17"/>
          <w:szCs w:val="17"/>
          <w:u w:val="single" w:color="auto"/>
          <w:color w:val="auto"/>
        </w:rPr>
        <w:t>https://new.livestream.com/nasdaq/live</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About Marker Therapeutics, Inc. (formerly 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212121"/>
        </w:rPr>
        <w:t>We are a clinical-stage immuno-oncology company specializing in the development of next-generation T cell-based immunotherapies for the treatment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12121"/>
        </w:rPr>
        <w:t>hematological malignancies and solid tumor indications. Marker’s cell therapy technology is based on the selective expansion of non-engineered, tumor-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121"/>
        </w:rPr>
        <w:t>specific T cells that recognize tumor associated antigens (i.e. tumor targets) and kill tumor cells expressing those targets. Once infused into patients,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121"/>
        </w:rPr>
        <w:t>population of T cells attacks multiple tumor targets and acts to activate the patient’s immune system to produce broad spectrum anti-tumor activity. Because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121"/>
        </w:rPr>
        <w:t>Marker does not genetically engineer its T cells, when compared to current engineered CAR-T and TCR-based approaches, its products (i) are significantly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12121"/>
        </w:rPr>
        <w:t>less expensive and easier to manufacture, (ii) appear to be markedly less toxic, and (iii) are associated with meaningful clinical benefit. As a result,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12121"/>
        </w:rPr>
        <w:t>Marker believes its portfolio of T cell therapies has a compelling therapeutic product profile, as compared to current gene-modified CAR-T and TCR-based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12121"/>
        </w:rPr>
        <w:t>therapies.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12121"/>
        </w:rPr>
        <w:t>Marker is also advancing a number of innovative peptide- and gene-based immuno-therapeutics for the treatment of cancer and metastatic disease, including our Folate Receptor Alpha program (TPIV200) for breast and ovarian cancers and our HER2/neu+ peptide antigen program (TPIV100/110) in Phase II clinical trials. In parallel, we are developing a proprietary DNA expression technology named PolyStart™ to improve the ability of the cellular immune system to recognize and destroy diseased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any inability to recognize the anticipated benefits of the merger and the financing as well as the risks set forth in the Company’s most recent Form 10-K, 10-Q and other SEC filings which are available through EDGAR at www.sec.gov. The Company assumes no obligation to update the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Tiberend Strategic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Drumm, Ph.D. (Investors)</w:t>
      </w:r>
    </w:p>
    <w:p>
      <w:pPr>
        <w:spacing w:after="0" w:line="9" w:lineRule="exact"/>
        <w:rPr>
          <w:sz w:val="20"/>
          <w:szCs w:val="20"/>
          <w:color w:val="auto"/>
        </w:rPr>
      </w:pPr>
    </w:p>
    <w:p>
      <w:pPr>
        <w:ind w:right="9700" w:firstLine="8"/>
        <w:spacing w:after="0" w:line="323" w:lineRule="auto"/>
        <w:tabs>
          <w:tab w:leader="none" w:pos="4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375-2664 jdrumm@tiberend.com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David Schemelia (Media)</w:t>
      </w:r>
    </w:p>
    <w:p>
      <w:pPr>
        <w:spacing w:after="0" w:line="23" w:lineRule="exact"/>
        <w:rPr>
          <w:sz w:val="20"/>
          <w:szCs w:val="20"/>
          <w:color w:val="auto"/>
        </w:rPr>
      </w:pPr>
    </w:p>
    <w:p>
      <w:pPr>
        <w:ind w:right="9460" w:firstLine="8"/>
        <w:spacing w:after="0" w:line="323" w:lineRule="auto"/>
        <w:tabs>
          <w:tab w:leader="none" w:pos="4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375-2686 dschemelia@tiberend.com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8940" w:firstLine="8"/>
        <w:spacing w:after="0" w:line="323" w:lineRule="auto"/>
        <w:tabs>
          <w:tab w:leader="none" w:pos="435" w:val="left"/>
        </w:tabs>
        <w:numPr>
          <w:ilvl w:val="0"/>
          <w:numId w:val="85"/>
        </w:numPr>
        <w:rPr>
          <w:rFonts w:ascii="Arial" w:cs="Arial" w:eastAsia="Arial" w:hAnsi="Arial"/>
          <w:sz w:val="16"/>
          <w:szCs w:val="16"/>
          <w:color w:val="auto"/>
        </w:rPr>
      </w:pPr>
      <w:r>
        <w:rPr>
          <w:rFonts w:ascii="Arial" w:cs="Arial" w:eastAsia="Arial" w:hAnsi="Arial"/>
          <w:sz w:val="16"/>
          <w:szCs w:val="16"/>
          <w:color w:val="auto"/>
        </w:rPr>
        <w:t>862-6490 ext. 102 asantos@markertherapeutics.com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5"/>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8"/>
    </w:lvl>
  </w:abstractNum>
  <w:abstractNum w:abstractNumId="4">
    <w:nsid w:val="57E4CCAF"/>
    <w:multiLevelType w:val="hybridMultilevel"/>
    <w:lvl w:ilvl="0">
      <w:lvlJc w:val="left"/>
      <w:lvlText w:val="(%1)"/>
      <w:numFmt w:val="decimal"/>
      <w:start w:val="9"/>
    </w:lvl>
  </w:abstractNum>
  <w:abstractNum w:abstractNumId="5">
    <w:nsid w:val="7A6D8D3C"/>
    <w:multiLevelType w:val="hybridMultilevel"/>
    <w:lvl w:ilvl="0">
      <w:lvlJc w:val="left"/>
      <w:lvlText w:val="%1."/>
      <w:numFmt w:val="decimal"/>
      <w:start w:val="1"/>
    </w:lvl>
    <w:lvl w:ilvl="1">
      <w:lvlJc w:val="left"/>
      <w:lvlText w:val="%2:"/>
      <w:numFmt w:val="decimal"/>
      <w:start w:val="3"/>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1)"/>
      <w:numFmt w:val="decimal"/>
      <w:start w:val="775"/>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2"/>
    </w:lvl>
    <w:lvl w:ilvl="1">
      <w:lvlJc w:val="left"/>
      <w:lvlText w:val="☒"/>
      <w:numFmt w:val="bullet"/>
      <w:start w:val="1"/>
    </w:lvl>
  </w:abstractNum>
  <w:abstractNum w:abstractNumId="10">
    <w:nsid w:val="7644A45C"/>
    <w:multiLevelType w:val="hybridMultilevel"/>
    <w:lvl w:ilvl="0">
      <w:lvlJc w:val="left"/>
      <w:lvlText w:val="*"/>
      <w:numFmt w:val="bullet"/>
      <w:start w:val="1"/>
    </w:lvl>
    <w:lvl w:ilvl="1">
      <w:lvlJc w:val="left"/>
      <w:lvlText w:val="☐"/>
      <w:numFmt w:val="bullet"/>
      <w:start w:val="1"/>
    </w:lvl>
  </w:abstractNum>
  <w:abstractNum w:abstractNumId="11">
    <w:nsid w:val="32FFF902"/>
    <w:multiLevelType w:val="hybridMultilevel"/>
    <w:lvl w:ilvl="0">
      <w:lvlJc w:val="left"/>
      <w:lvlText w:val="(%1)"/>
      <w:numFmt w:val="decimal"/>
      <w:start w:val="775"/>
    </w:lvl>
  </w:abstractNum>
  <w:abstractNum w:abstractNumId="12">
    <w:nsid w:val="684A481A"/>
    <w:multiLevelType w:val="hybridMultilevel"/>
    <w:lvl w:ilvl="0">
      <w:lvlJc w:val="left"/>
      <w:lvlText w:val="%1."/>
      <w:numFmt w:val="decimal"/>
      <w:start w:val="4"/>
    </w:lvl>
  </w:abstractNum>
  <w:abstractNum w:abstractNumId="13">
    <w:nsid w:val="579478FE"/>
    <w:multiLevelType w:val="hybridMultilevel"/>
    <w:lvl w:ilvl="0">
      <w:lvlJc w:val="left"/>
      <w:lvlText w:val="%1."/>
      <w:numFmt w:val="decimal"/>
      <w:start w:val="5"/>
    </w:lvl>
  </w:abstractNum>
  <w:abstractNum w:abstractNumId="14">
    <w:nsid w:val="749ABB43"/>
    <w:multiLevelType w:val="hybridMultilevel"/>
    <w:lvl w:ilvl="0">
      <w:lvlJc w:val="left"/>
      <w:lvlText w:val="%1."/>
      <w:numFmt w:val="decimal"/>
      <w:start w:val="6"/>
    </w:lvl>
    <w:lvl w:ilvl="1">
      <w:lvlJc w:val="left"/>
      <w:lvlText w:val="%2."/>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3"/>
    </w:lvl>
    <w:lvl w:ilvl="1">
      <w:lvlJc w:val="left"/>
      <w:lvlText w:val="%2."/>
      <w:numFmt w:val="lowerLetter"/>
      <w:start w:val="1"/>
    </w:lvl>
  </w:abstractNum>
  <w:abstractNum w:abstractNumId="18">
    <w:nsid w:val="75C6C33A"/>
    <w:multiLevelType w:val="hybridMultilevel"/>
    <w:lvl w:ilvl="0">
      <w:lvlJc w:val="left"/>
      <w:lvlText w:val="%1."/>
      <w:numFmt w:val="lowerLetter"/>
      <w:start w:val="3"/>
    </w:lvl>
  </w:abstractNum>
  <w:abstractNum w:abstractNumId="19">
    <w:nsid w:val="12E685FB"/>
    <w:multiLevelType w:val="hybridMultilevel"/>
    <w:lvl w:ilvl="0">
      <w:lvlJc w:val="left"/>
      <w:lvlText w:val="%1."/>
      <w:numFmt w:val="decimal"/>
      <w:start w:val="7"/>
    </w:lvl>
  </w:abstractNum>
  <w:abstractNum w:abstractNumId="20">
    <w:nsid w:val="70C6A529"/>
    <w:multiLevelType w:val="hybridMultilevel"/>
    <w:lvl w:ilvl="0">
      <w:lvlJc w:val="left"/>
      <w:lvlText w:val="%1."/>
      <w:numFmt w:val="decimal"/>
      <w:start w:val="16"/>
    </w:lvl>
  </w:abstractNum>
  <w:abstractNum w:abstractNumId="21">
    <w:nsid w:val="520EEDD1"/>
    <w:multiLevelType w:val="hybridMultilevel"/>
    <w:lvl w:ilvl="0">
      <w:lvlJc w:val="left"/>
      <w:lvlText w:val="%1."/>
      <w:numFmt w:val="decimal"/>
      <w:start w:val="17"/>
    </w:lvl>
  </w:abstractNum>
  <w:abstractNum w:abstractNumId="22">
    <w:nsid w:val="374A3FE6"/>
    <w:multiLevelType w:val="hybridMultilevel"/>
    <w:lvl w:ilvl="0">
      <w:lvlJc w:val="left"/>
      <w:lvlText w:val="(%1)"/>
      <w:numFmt w:val="decimal"/>
      <w:start w:val="775"/>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1."/>
      <w:numFmt w:val="decimal"/>
      <w:start w:val="2"/>
    </w:lvl>
    <w:lvl w:ilvl="1">
      <w:lvlJc w:val="left"/>
      <w:lvlText w:val="☒"/>
      <w:numFmt w:val="bullet"/>
      <w:start w:val="1"/>
    </w:lvl>
  </w:abstractNum>
  <w:abstractNum w:abstractNumId="25">
    <w:nsid w:val="649BB77C"/>
    <w:multiLevelType w:val="hybridMultilevel"/>
    <w:lvl w:ilvl="0">
      <w:lvlJc w:val="left"/>
      <w:lvlText w:val="*"/>
      <w:numFmt w:val="bullet"/>
      <w:start w:val="1"/>
    </w:lvl>
    <w:lvl w:ilvl="1">
      <w:lvlJc w:val="left"/>
      <w:lvlText w:val="☐"/>
      <w:numFmt w:val="bullet"/>
      <w:start w:val="1"/>
    </w:lvl>
  </w:abstractNum>
  <w:abstractNum w:abstractNumId="26">
    <w:nsid w:val="275AC794"/>
    <w:multiLevelType w:val="hybridMultilevel"/>
    <w:lvl w:ilvl="0">
      <w:lvlJc w:val="left"/>
      <w:lvlText w:val="(%1)"/>
      <w:numFmt w:val="decimal"/>
      <w:start w:val="775"/>
    </w:lvl>
  </w:abstractNum>
  <w:abstractNum w:abstractNumId="27">
    <w:nsid w:val="39386575"/>
    <w:multiLevelType w:val="hybridMultilevel"/>
    <w:lvl w:ilvl="0">
      <w:lvlJc w:val="left"/>
      <w:lvlText w:val="%1."/>
      <w:numFmt w:val="decimal"/>
      <w:start w:val="4"/>
    </w:lvl>
  </w:abstractNum>
  <w:abstractNum w:abstractNumId="28">
    <w:nsid w:val="1CF10FD8"/>
    <w:multiLevelType w:val="hybridMultilevel"/>
    <w:lvl w:ilvl="0">
      <w:lvlJc w:val="left"/>
      <w:lvlText w:val="%1."/>
      <w:numFmt w:val="decimal"/>
      <w:start w:val="5"/>
    </w:lvl>
  </w:abstractNum>
  <w:abstractNum w:abstractNumId="29">
    <w:nsid w:val="180115BE"/>
    <w:multiLevelType w:val="hybridMultilevel"/>
    <w:lvl w:ilvl="0">
      <w:lvlJc w:val="left"/>
      <w:lvlText w:val="%1."/>
      <w:numFmt w:val="decimal"/>
      <w:start w:val="6"/>
    </w:lvl>
    <w:lvl w:ilvl="1">
      <w:lvlJc w:val="left"/>
      <w:lvlText w:val="%2."/>
      <w:numFmt w:val="decimal"/>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upperLetter"/>
      <w:start w:val="1"/>
    </w:lvl>
    <w:lvl w:ilvl="1">
      <w:lvlJc w:val="left"/>
      <w:lvlText w:val="%2."/>
      <w:numFmt w:val="decimal"/>
      <w:start w:val="1"/>
    </w:lvl>
  </w:abstractNum>
  <w:abstractNum w:abstractNumId="32">
    <w:nsid w:val="354FE9F9"/>
    <w:multiLevelType w:val="hybridMultilevel"/>
    <w:lvl w:ilvl="0">
      <w:lvlJc w:val="left"/>
      <w:lvlText w:val="%1"/>
      <w:numFmt w:val="upperLetter"/>
      <w:start w:val="1"/>
    </w:lvl>
    <w:lvl w:ilvl="1">
      <w:lvlJc w:val="left"/>
      <w:lvlText w:val="%2."/>
      <w:numFmt w:val="decimal"/>
      <w:start w:val="2"/>
    </w:lvl>
  </w:abstractNum>
  <w:abstractNum w:abstractNumId="33">
    <w:nsid w:val="15B5AF5C"/>
    <w:multiLevelType w:val="hybridMultilevel"/>
    <w:lvl w:ilvl="0">
      <w:lvlJc w:val="left"/>
      <w:lvlText w:val="(%1)"/>
      <w:numFmt w:val="decimal"/>
      <w:start w:val="3"/>
    </w:lvl>
  </w:abstractNum>
  <w:abstractNum w:abstractNumId="34">
    <w:nsid w:val="741226BB"/>
    <w:multiLevelType w:val="hybridMultilevel"/>
    <w:lvl w:ilvl="0">
      <w:lvlJc w:val="left"/>
      <w:lvlText w:val="(%1)"/>
      <w:numFmt w:val="lowerRoman"/>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3"/>
    </w:lvl>
  </w:abstractNum>
  <w:abstractNum w:abstractNumId="40">
    <w:nsid w:val="77AE35EB"/>
    <w:multiLevelType w:val="hybridMultilevel"/>
    <w:lvl w:ilvl="0">
      <w:lvlJc w:val="left"/>
      <w:lvlText w:val="(%1)"/>
      <w:numFmt w:val="upperLetter"/>
      <w:start w:val="1"/>
    </w:lvl>
  </w:abstractNum>
  <w:abstractNum w:abstractNumId="41">
    <w:nsid w:val="579BE4F1"/>
    <w:multiLevelType w:val="hybridMultilevel"/>
    <w:lvl w:ilvl="0">
      <w:lvlJc w:val="left"/>
      <w:lvlText w:val="(%1)"/>
      <w:numFmt w:val="upperLetter"/>
      <w:start w:val="4"/>
    </w:lvl>
  </w:abstractNum>
  <w:abstractNum w:abstractNumId="42">
    <w:nsid w:val="310C50B3"/>
    <w:multiLevelType w:val="hybridMultilevel"/>
    <w:lvl w:ilvl="0">
      <w:lvlJc w:val="left"/>
      <w:lvlText w:val="(%1)"/>
      <w:numFmt w:val="lowerLetter"/>
      <w:start w:val="4"/>
    </w:lvl>
  </w:abstractNum>
  <w:abstractNum w:abstractNumId="43">
    <w:nsid w:val="5FF87E05"/>
    <w:multiLevelType w:val="hybridMultilevel"/>
    <w:lvl w:ilvl="0">
      <w:lvlJc w:val="left"/>
      <w:lvlText w:val="(%1)"/>
      <w:numFmt w:val="lowerRoman"/>
      <w:start w:val="1"/>
    </w:lvl>
  </w:abstractNum>
  <w:abstractNum w:abstractNumId="44">
    <w:nsid w:val="2F305DEF"/>
    <w:multiLevelType w:val="hybridMultilevel"/>
    <w:lvl w:ilvl="0">
      <w:lvlJc w:val="left"/>
      <w:lvlText w:val="(%1)"/>
      <w:numFmt w:val="lowerRoman"/>
      <w:start w:val="1"/>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decimal"/>
      <w:start w:val="3"/>
    </w:lvl>
  </w:abstractNum>
  <w:abstractNum w:abstractNumId="47">
    <w:nsid w:val="4AD084E9"/>
    <w:multiLevelType w:val="hybridMultilevel"/>
    <w:lvl w:ilvl="0">
      <w:lvlJc w:val="left"/>
      <w:lvlText w:val="%1."/>
      <w:numFmt w:val="upperLetter"/>
      <w:start w:val="1"/>
    </w:lvl>
    <w:lvl w:ilvl="1">
      <w:lvlJc w:val="left"/>
      <w:lvlText w:val="%2."/>
      <w:numFmt w:val="decimal"/>
      <w:start w:val="1"/>
    </w:lvl>
  </w:abstractNum>
  <w:abstractNum w:abstractNumId="48">
    <w:nsid w:val="1F48EAA1"/>
    <w:multiLevelType w:val="hybridMultilevel"/>
    <w:lvl w:ilvl="0">
      <w:lvlJc w:val="left"/>
      <w:lvlText w:val="%1"/>
      <w:numFmt w:val="upperLetter"/>
      <w:start w:val="1"/>
    </w:lvl>
    <w:lvl w:ilvl="1">
      <w:lvlJc w:val="left"/>
      <w:lvlText w:val="%2."/>
      <w:numFmt w:val="decimal"/>
      <w:start w:val="2"/>
    </w:lvl>
  </w:abstractNum>
  <w:abstractNum w:abstractNumId="49">
    <w:nsid w:val="1381823A"/>
    <w:multiLevelType w:val="hybridMultilevel"/>
    <w:lvl w:ilvl="0">
      <w:lvlJc w:val="left"/>
      <w:lvlText w:val="(%1)"/>
      <w:numFmt w:val="decimal"/>
      <w:start w:val="3"/>
    </w:lvl>
  </w:abstractNum>
  <w:abstractNum w:abstractNumId="50">
    <w:nsid w:val="5DB70AE5"/>
    <w:multiLevelType w:val="hybridMultilevel"/>
    <w:lvl w:ilvl="0">
      <w:lvlJc w:val="left"/>
      <w:lvlText w:val="%1."/>
      <w:numFmt w:val="upperLetter"/>
      <w:start w:val="1"/>
    </w:lvl>
    <w:lvl w:ilvl="1">
      <w:lvlJc w:val="left"/>
      <w:lvlText w:val="%2."/>
      <w:numFmt w:val="decimal"/>
      <w:start w:val="1"/>
    </w:lvl>
  </w:abstractNum>
  <w:abstractNum w:abstractNumId="51">
    <w:nsid w:val="100F8FCA"/>
    <w:multiLevelType w:val="hybridMultilevel"/>
    <w:lvl w:ilvl="0">
      <w:lvlJc w:val="left"/>
      <w:lvlText w:val="%1"/>
      <w:numFmt w:val="upperLetter"/>
      <w:start w:val="1"/>
    </w:lvl>
    <w:lvl w:ilvl="1">
      <w:lvlJc w:val="left"/>
      <w:lvlText w:val="%2."/>
      <w:numFmt w:val="decimal"/>
      <w:start w:val="2"/>
    </w:lvl>
  </w:abstractNum>
  <w:abstractNum w:abstractNumId="52">
    <w:nsid w:val="6590700B"/>
    <w:multiLevelType w:val="hybridMultilevel"/>
    <w:lvl w:ilvl="0">
      <w:lvlJc w:val="left"/>
      <w:lvlText w:val="(%1)"/>
      <w:numFmt w:val="decimal"/>
      <w:start w:val="3"/>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2"/>
    </w:lvl>
  </w:abstractNum>
  <w:abstractNum w:abstractNumId="56">
    <w:nsid w:val="799D0247"/>
    <w:multiLevelType w:val="hybridMultilevel"/>
    <w:lvl w:ilvl="0">
      <w:lvlJc w:val="left"/>
      <w:lvlText w:val="%1."/>
      <w:numFmt w:val="decimal"/>
      <w:start w:val="7"/>
    </w:lvl>
  </w:abstractNum>
  <w:abstractNum w:abstractNumId="57">
    <w:nsid w:val="6B94764"/>
    <w:multiLevelType w:val="hybridMultilevel"/>
    <w:lvl w:ilvl="0">
      <w:lvlJc w:val="left"/>
      <w:lvlText w:val="(%1)"/>
      <w:numFmt w:val="lowerLetter"/>
      <w:start w:val="1"/>
    </w:lvl>
    <w:lvl w:ilvl="1">
      <w:lvlJc w:val="left"/>
      <w:lvlText w:val="(%2)"/>
      <w:numFmt w:val="decimal"/>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1)"/>
      <w:numFmt w:val="upperLetter"/>
      <w:start w:val="1"/>
    </w:lvl>
  </w:abstractNum>
  <w:abstractNum w:abstractNumId="62">
    <w:nsid w:val="5DC79EA8"/>
    <w:multiLevelType w:val="hybridMultilevel"/>
    <w:lvl w:ilvl="0">
      <w:lvlJc w:val="left"/>
      <w:lvlText w:val="(%1)"/>
      <w:numFmt w:val="upperLetter"/>
      <w:start w:val="4"/>
    </w:lvl>
  </w:abstractNum>
  <w:abstractNum w:abstractNumId="63">
    <w:nsid w:val="540A471C"/>
    <w:multiLevelType w:val="hybridMultilevel"/>
    <w:lvl w:ilvl="0">
      <w:lvlJc w:val="left"/>
      <w:lvlText w:val="(%1)"/>
      <w:numFmt w:val="lowerLetter"/>
      <w:start w:val="4"/>
    </w:lvl>
  </w:abstractNum>
  <w:abstractNum w:abstractNumId="64">
    <w:nsid w:val="7BD3EE7B"/>
    <w:multiLevelType w:val="hybridMultilevel"/>
    <w:lvl w:ilvl="0">
      <w:lvlJc w:val="left"/>
      <w:lvlText w:val="(%1)"/>
      <w:numFmt w:val="lowerRoman"/>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decimal"/>
      <w:start w:val="3"/>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3"/>
    </w:lvl>
  </w:abstractNum>
  <w:abstractNum w:abstractNumId="69">
    <w:nsid w:val="42963E5A"/>
    <w:multiLevelType w:val="hybridMultilevel"/>
    <w:lvl w:ilvl="0">
      <w:lvlJc w:val="left"/>
      <w:lvlText w:val="(%1)"/>
      <w:numFmt w:val="lowerLetter"/>
      <w:start w:val="7"/>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4"/>
    </w:lvl>
  </w:abstractNum>
  <w:abstractNum w:abstractNumId="74">
    <w:nsid w:val="68EB2F63"/>
    <w:multiLevelType w:val="hybridMultilevel"/>
    <w:lvl w:ilvl="0">
      <w:lvlJc w:val="left"/>
      <w:lvlText w:val="%1."/>
      <w:numFmt w:val="decimal"/>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decimal"/>
      <w:start w:val="3"/>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decimal"/>
      <w:start w:val="10"/>
    </w:lvl>
  </w:abstractNum>
  <w:abstractNum w:abstractNumId="79">
    <w:nsid w:val="7FFFCA11"/>
    <w:multiLevelType w:val="hybridMultilevel"/>
    <w:lvl w:ilvl="0">
      <w:lvlJc w:val="left"/>
      <w:lvlText w:val="%1."/>
      <w:numFmt w:val="decimal"/>
      <w:start w:val="12"/>
    </w:lvl>
  </w:abstractNum>
  <w:abstractNum w:abstractNumId="80">
    <w:nsid w:val="1A27709E"/>
    <w:multiLevelType w:val="hybridMultilevel"/>
    <w:lvl w:ilvl="0">
      <w:lvlJc w:val="left"/>
      <w:lvlText w:val="%1."/>
      <w:numFmt w:val="decimal"/>
      <w:start w:val="13"/>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212"/>
    </w:lvl>
  </w:abstractNum>
  <w:abstractNum w:abstractNumId="83">
    <w:nsid w:val="7FB7E0AA"/>
    <w:multiLevelType w:val="hybridMultilevel"/>
    <w:lvl w:ilvl="0">
      <w:lvlJc w:val="left"/>
      <w:lvlText w:val="(%1)"/>
      <w:numFmt w:val="decimal"/>
      <w:start w:val="212"/>
    </w:lvl>
  </w:abstractNum>
  <w:abstractNum w:abstractNumId="84">
    <w:nsid w:val="6EB5BD4"/>
    <w:multiLevelType w:val="hybridMultilevel"/>
    <w:lvl w:ilvl="0">
      <w:lvlJc w:val="left"/>
      <w:lvlText w:val="(%1)"/>
      <w:numFmt w:val="decimal"/>
      <w:start w:val="9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png"/><Relationship Id="rId34" Type="http://schemas.openxmlformats.org/officeDocument/2006/relationships/image" Target="media/image24.jpe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jpeg"/><Relationship Id="rId129" Type="http://schemas.openxmlformats.org/officeDocument/2006/relationships/image" Target="media/image119.jpe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7" Type="http://schemas.openxmlformats.org/officeDocument/2006/relationships/hyperlink" Target="http://www.sec.gov/Archives/edgar/data/1094038/000114420418049481/tv502603-defm14a.htm" TargetMode="External"/><Relationship Id="rId18" Type="http://schemas.openxmlformats.org/officeDocument/2006/relationships/hyperlink" Target="http://www.sec.gov/Archives/edgar/data/1094038/000114420418016745/tv489217_ex4-1.htm" TargetMode="External"/><Relationship Id="rId19" Type="http://schemas.openxmlformats.org/officeDocument/2006/relationships/hyperlink" Target="http://www.sec.gov/Archives/edgar/data/1094038/000114420418033374/tv49618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2020-01-11T22:22:42Z</dcterms:created>
  <dcterms:modified xsi:type="dcterms:W3CDTF">2020-01-11T22:22:42Z</dcterms:modified>
</cp:coreProperties>
</file>