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1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Quarterly Report Under Section 13 or 15(d) of the Securities Exchange Act of 1934 for the quarterly period ended</w:t>
      </w:r>
    </w:p>
    <w:p>
      <w:pPr>
        <w:spacing w:after="0" w:line="2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September 30, 2017</w:t>
      </w:r>
    </w:p>
    <w:p>
      <w:pPr>
        <w:spacing w:after="0" w:line="21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w:t>
      </w:r>
    </w:p>
    <w:p>
      <w:pPr>
        <w:spacing w:after="0" w:line="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_____ to 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154940</wp:posOffset>
            </wp:positionV>
            <wp:extent cx="1414780"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45-4497941</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5 West Forsyth Street, Suite 200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32202</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(check one):</w:t>
      </w:r>
    </w:p>
    <w:p>
      <w:pPr>
        <w:sectPr>
          <w:pgSz w:w="11900" w:h="16838" w:orient="portrait"/>
          <w:cols w:equalWidth="0" w:num="1">
            <w:col w:w="11420"/>
          </w:cols>
          <w:pgMar w:left="240" w:top="783"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(Do not check</w:t>
      </w:r>
    </w:p>
    <w:p>
      <w:pPr>
        <w:spacing w:after="0" w:line="3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if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1" w:lineRule="exact"/>
        <w:rPr>
          <w:sz w:val="24"/>
          <w:szCs w:val="24"/>
          <w:color w:val="auto"/>
        </w:rPr>
      </w:pPr>
    </w:p>
    <w:p>
      <w:pPr>
        <w:ind w:left="80"/>
        <w:spacing w:after="0"/>
        <w:rPr>
          <w:sz w:val="20"/>
          <w:szCs w:val="20"/>
          <w:color w:val="auto"/>
        </w:rPr>
      </w:pPr>
      <w:r>
        <w:rPr>
          <w:rFonts w:ascii="Arial" w:cs="Arial" w:eastAsia="Arial" w:hAnsi="Arial"/>
          <w:sz w:val="16"/>
          <w:szCs w:val="16"/>
          <w:color w:val="auto"/>
        </w:rPr>
        <w:t>Emerging growth company</w:t>
      </w:r>
    </w:p>
    <w:p>
      <w:pPr>
        <w:spacing w:after="0" w:line="224" w:lineRule="exact"/>
        <w:rPr>
          <w:sz w:val="24"/>
          <w:szCs w:val="24"/>
          <w:color w:val="auto"/>
        </w:rPr>
      </w:pPr>
    </w:p>
    <w:p>
      <w:pPr>
        <w:sectPr>
          <w:pgSz w:w="11900" w:h="16838" w:orient="portrait"/>
          <w:cols w:equalWidth="0" w:num="3">
            <w:col w:w="6940" w:space="720"/>
            <w:col w:w="160" w:space="20"/>
            <w:col w:w="3580"/>
          </w:cols>
          <w:pgMar w:left="240" w:top="783" w:right="239" w:bottom="1440" w:gutter="0" w:footer="0" w:header="0"/>
          <w:type w:val="continuous"/>
        </w:sectPr>
      </w:pPr>
    </w:p>
    <w:p>
      <w:pPr>
        <w:spacing w:after="0" w:line="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 2017, the Company had 10,539,057 shares of common stock issued and outstanding.</w:t>
      </w:r>
    </w:p>
    <w:p>
      <w:pPr>
        <w:spacing w:after="0" w:line="23"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4"/>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and December 31, 2016</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for the three and nine months ended September 30, 2017 and 2016</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nine months ended September 30,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2017 and 2016</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8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700" w:type="dxa"/>
            <w:vAlign w:val="bottom"/>
            <w:tcBorders>
              <w:top w:val="single" w:sz="8" w:color="CCEEFF"/>
            </w:tcBorders>
            <w:gridSpan w:val="9"/>
          </w:tcPr>
          <w:p>
            <w:pPr>
              <w:ind w:left="240"/>
              <w:spacing w:after="0"/>
              <w:rPr>
                <w:sz w:val="20"/>
                <w:szCs w:val="20"/>
                <w:color w:val="auto"/>
              </w:rPr>
            </w:pPr>
            <w:r>
              <w:rPr>
                <w:rFonts w:ascii="Arial" w:cs="Arial" w:eastAsia="Arial" w:hAnsi="Arial"/>
                <w:sz w:val="18"/>
                <w:szCs w:val="18"/>
                <w:b w:val="1"/>
                <w:bCs w:val="1"/>
                <w:color w:val="auto"/>
              </w:rPr>
              <w:t>NOTE REGARDING REVERSE STOCK SPLIT</w:t>
            </w:r>
          </w:p>
        </w:tc>
        <w:tc>
          <w:tcPr>
            <w:tcW w:w="96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September 13, 2016, we filed a Certificate of Change pursuant to NRS 78.209 with the Secretary of State of the State of Nevada to effect a reverse split of our common stock at a ratio of one for twelve, effective on September 16, 2016. All historical share and per share amounts reflected in this report have been adjusted to reflect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98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80" w:type="dxa"/>
            <w:vAlign w:val="bottom"/>
          </w:tcPr>
          <w:p>
            <w:pPr>
              <w:jc w:val="center"/>
              <w:ind w:left="2210"/>
              <w:spacing w:after="0"/>
              <w:rPr>
                <w:sz w:val="20"/>
                <w:szCs w:val="20"/>
                <w:color w:val="auto"/>
              </w:rPr>
            </w:pPr>
            <w:r>
              <w:rPr>
                <w:rFonts w:ascii="Arial" w:cs="Arial" w:eastAsia="Arial" w:hAnsi="Arial"/>
                <w:sz w:val="18"/>
                <w:szCs w:val="18"/>
                <w:b w:val="1"/>
                <w:bCs w:val="1"/>
                <w:color w:val="auto"/>
              </w:rPr>
              <w:t>TAPIMMUNE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8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80" w:type="dxa"/>
            <w:vAlign w:val="bottom"/>
          </w:tcPr>
          <w:p>
            <w:pPr>
              <w:jc w:val="center"/>
              <w:ind w:left="219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85"/>
              </w:rPr>
              <w:t>Current assets:</w:t>
            </w:r>
          </w:p>
        </w:tc>
        <w:tc>
          <w:tcPr>
            <w:tcW w:w="6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69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7,607,735</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7,851,243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Prepaid expenses and deposits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96,530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70,149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7,704,265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69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7,704,265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7,921,392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1,757,062</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Research agreement obligations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Promissory note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1,768,062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1,768,062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1,736,805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 $0.001 par value, 5 million shares authorized at September 30, 2017 and December 31, 2016,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6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Series A, $0.001 par value, 1.25 million shares designated, 0 shares issued and outstanding as of September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30, 2017 and December 31, 2016, respectively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Series B, $0.001 par value, 1.5 million shares designated, 0 shares issued and outstanding as of September</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30, 2017 and December 31, 2016, respectively</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Common stock, $0.001 par value, 41.7 million shares authorized, 10.5 million and 8.4 million shares issued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and outstanding as of September 30, 2017 and December 31, 2016, respectively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10,539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160,662,286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151,991,974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(154,736,622)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(145,815,808)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5,936,203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6,184,587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7,704,265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7,921,392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1,623,302</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1,109,332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3,815,119</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3,343,248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2,549,272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5,167,582</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3,557,701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4,172,574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2,721,637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8,982,701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6,900,949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(4,172,574)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(2,721,637)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(8,982,701)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(6,900,949)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5,925,000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Debt extinguishment gain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183,064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on debt settlement agreements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(65,325)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(135,640)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(3,985,510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(2,102,962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(8,298,772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(878,561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loss per share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10,219,138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7,281,000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9,081,678</w:t>
            </w: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6,370,000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10,219,138</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7,281,000</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9,081,678</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6,935,000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48"/>
        </w:trPr>
        <w:tc>
          <w:tcPr>
            <w:tcW w:w="4120" w:type="dxa"/>
            <w:vAlign w:val="bottom"/>
          </w:tcPr>
          <w:p>
            <w:pPr>
              <w:spacing w:after="0"/>
              <w:rPr>
                <w:sz w:val="21"/>
                <w:szCs w:val="21"/>
                <w:color w:val="auto"/>
              </w:rPr>
            </w:pPr>
          </w:p>
        </w:tc>
        <w:tc>
          <w:tcPr>
            <w:tcW w:w="29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Common Stock</w:t>
            </w: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 Paid-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4120" w:type="dxa"/>
            <w:vAlign w:val="bottom"/>
          </w:tcPr>
          <w:p>
            <w:pPr>
              <w:spacing w:after="0"/>
              <w:rPr>
                <w:sz w:val="19"/>
                <w:szCs w:val="19"/>
                <w:color w:val="auto"/>
              </w:rPr>
            </w:pPr>
          </w:p>
        </w:tc>
        <w:tc>
          <w:tcPr>
            <w:tcW w:w="15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Par value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 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Equity</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8,421,185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151,991,974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(145,815,808)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6,184,587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rPr>
              <w:t>Common stock and warrants issued in private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placement</w:t>
            </w:r>
          </w:p>
        </w:tc>
        <w:tc>
          <w:tcPr>
            <w:tcW w:w="1280" w:type="dxa"/>
            <w:vAlign w:val="bottom"/>
          </w:tcPr>
          <w:p>
            <w:pPr>
              <w:jc w:val="right"/>
              <w:spacing w:after="0"/>
              <w:rPr>
                <w:sz w:val="20"/>
                <w:szCs w:val="20"/>
                <w:color w:val="auto"/>
              </w:rPr>
            </w:pPr>
            <w:r>
              <w:rPr>
                <w:rFonts w:ascii="Arial" w:cs="Arial" w:eastAsia="Arial" w:hAnsi="Arial"/>
                <w:sz w:val="18"/>
                <w:szCs w:val="18"/>
                <w:color w:val="auto"/>
              </w:rPr>
              <w:t>1,503,567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6,188,499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6,190,003</w:t>
            </w:r>
          </w:p>
        </w:tc>
        <w:tc>
          <w:tcPr>
            <w:tcW w:w="80" w:type="dxa"/>
            <w:vAlign w:val="bottom"/>
          </w:tcPr>
          <w:p>
            <w:pPr>
              <w:spacing w:after="0"/>
              <w:rPr>
                <w:sz w:val="20"/>
                <w:szCs w:val="20"/>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Fees and legal costs relating to private placement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(781,660)</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167,926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666,498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666,666</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costs relating to exercise of warrants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(47,043)</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Fair value of repriced warrants as inducement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622,042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(622,042)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2,332,371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2,332,915</w:t>
            </w:r>
          </w:p>
        </w:tc>
        <w:tc>
          <w:tcPr>
            <w:tcW w:w="80" w:type="dxa"/>
            <w:vAlign w:val="bottom"/>
            <w:shd w:val="clear" w:color="auto" w:fill="CCEEFF"/>
          </w:tcPr>
          <w:p>
            <w:pPr>
              <w:spacing w:after="0"/>
              <w:rPr>
                <w:sz w:val="18"/>
                <w:szCs w:val="18"/>
                <w:color w:val="auto"/>
              </w:rPr>
            </w:pP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w w:val="97"/>
              </w:rPr>
              <w:t>Repurchase of common stock to pay for employee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withholding taxes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(97,639)</w:t>
            </w:r>
          </w:p>
        </w:tc>
        <w:tc>
          <w:tcPr>
            <w:tcW w:w="1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(310,395)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(310,493)</w:t>
            </w: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(8,298,772)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(8,298,772)</w:t>
            </w: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Balance, September 30, 2017</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10,539,057</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160,662,286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(154,736,622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5,936,203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(8,298,772)</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(878,561)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Changes in fair value of warrant liabilities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(5,925,000)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in debt settlement agreements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2,332,915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1,309,109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extinguishment gain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(492,365)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b w:val="1"/>
                <w:bCs w:val="1"/>
                <w:color w:val="auto"/>
              </w:rPr>
              <w:t>Changes in operating assets and liabilities: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deposits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532,122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710,720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(5,960,981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(4,756,266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Proceeds from issuance of common stock and warrants in private placement, net of offering costs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5,408,343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2,331,126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Proceeds from exercise of stock warrants, net of offering costs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619,623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5,483,349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promissory note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Repayment of promissory note - related party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 to pay for employee withholding taxes</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(310,493)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5,717,473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7,766,475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3,010,209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7,851,243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6,576,564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7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7,607,735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9,586,773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Fair value of repriced warrants as inducement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622,042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3"/>
              </w:rPr>
              <w:t>Reclassification of accrued liability upon issuance of common shares relating to Dr. Glynn Wilson’s compensation</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191,000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Fair value of issuance of series F and F-1 warrants as inducement in August 2016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5,352,000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issued as inducement on August 10, 2016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4,500,000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Reclassification of fair value of derivative liabilities to equity on amendment of warrant agreements</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15,465,000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5,074,000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or “we”),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2017 or for any future interim period. The condensed consolidated balance sheet at September 30, 2017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2016, and notes thereto included in the Company’s annual report on Form 10-K filed on March 14,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and collaborations. From inception, the Company has been funded by a combination of equity and debt financings and warrant exercises.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2017, the Company had cash of $7.6 million.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Our financial statements do not include any adjustments to the recoverability and classification of recorded asset amounts and classification of liabilities that might be necessary should we be unable to continue as a going concern.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March 14,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r>
        <w:rPr>
          <w:rFonts w:ascii="Arial" w:cs="Arial" w:eastAsia="Arial" w:hAnsi="Arial"/>
          <w:sz w:val="18"/>
          <w:szCs w:val="18"/>
          <w:b w:val="1"/>
          <w:bCs w:val="1"/>
          <w:color w:val="auto"/>
        </w:rPr>
        <w: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for Certain Financial Instruments with Down Round Features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July 13, 2017, the FASB has issued a two-part Accounting Standards Update (“ASU”), No. 2017-11,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public business entities for fiscal years, and interim periods within those fiscal years, beginning after December 15, 2018 and the interim periods within that annual period. Early adoption is permitted. The Company is evaluating the impact of adopting this standard on the consolidated financial statements and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It is effective prospectively for the annual period beginning after December 15, 2017 and interim periods within that annual period. Early adoption is permitted. The Company is currently evaluating the impact of adopting this standard on the consolidated financial statements and disclosures, but does not expect it to have a significant impact.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 to basic loss per common share except that it reflects the potential dilution that could occur if dilutive securities or other obligations to issue common stock were exercised or converted into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The following table sets forth the computation of net loss per share: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(3,985,510)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(2,102,962)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(8,298,772)</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(878,561)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Less: non-cash income from change in fair value of common stock warrants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2,856,000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 diluted</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(3,985,510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(2,102,962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(8,298,772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(3,734,561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10,219,138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7,281,000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9,081,678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6,370,000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Dilutive effect of warrants,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10,219,138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9,081,678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6,935,000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7</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5515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equity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Potentially dilutive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RESEARCH AGREEMENT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Crucell Holland B. V. (“Crucell”) – Research License and Option Agreement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r>
      <w:tr>
        <w:trPr>
          <w:trHeight w:val="195"/>
        </w:trPr>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455,000</w:t>
            </w:r>
          </w:p>
        </w:tc>
        <w:tc>
          <w:tcPr>
            <w:tcW w:w="220" w:type="dxa"/>
            <w:vAlign w:val="bottom"/>
          </w:tcPr>
          <w:p>
            <w:pPr>
              <w:spacing w:after="0"/>
              <w:rPr>
                <w:sz w:val="16"/>
                <w:szCs w:val="16"/>
                <w:color w:val="auto"/>
              </w:rPr>
            </w:pP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432,000</w:t>
            </w:r>
          </w:p>
        </w:tc>
        <w:tc>
          <w:tcPr>
            <w:tcW w:w="20" w:type="dxa"/>
            <w:vAlign w:val="bottom"/>
          </w:tcPr>
          <w:p>
            <w:pPr>
              <w:spacing w:after="0"/>
              <w:rPr>
                <w:sz w:val="16"/>
                <w:szCs w:val="16"/>
                <w:color w:val="auto"/>
              </w:rPr>
            </w:pPr>
          </w:p>
        </w:tc>
      </w:tr>
      <w:tr>
        <w:trPr>
          <w:trHeight w:val="230"/>
        </w:trPr>
        <w:tc>
          <w:tcPr>
            <w:tcW w:w="1420" w:type="dxa"/>
            <w:vAlign w:val="bottom"/>
          </w:tcPr>
          <w:p>
            <w:pPr>
              <w:jc w:val="right"/>
              <w:spacing w:after="0"/>
              <w:rPr>
                <w:sz w:val="20"/>
                <w:szCs w:val="20"/>
                <w:color w:val="auto"/>
              </w:rPr>
            </w:pPr>
            <w:r>
              <w:rPr>
                <w:rFonts w:ascii="Arial" w:cs="Arial" w:eastAsia="Arial" w:hAnsi="Arial"/>
                <w:sz w:val="18"/>
                <w:szCs w:val="18"/>
                <w:color w:val="auto"/>
              </w:rPr>
              <w:t>6,517,500</w:t>
            </w:r>
          </w:p>
        </w:tc>
        <w:tc>
          <w:tcPr>
            <w:tcW w:w="2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5,054,000</w:t>
            </w:r>
          </w:p>
        </w:tc>
      </w:tr>
      <w:tr>
        <w:trPr>
          <w:trHeight w:val="230"/>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6,000</w:t>
            </w:r>
          </w:p>
        </w:tc>
      </w:tr>
      <w:tr>
        <w:trPr>
          <w:trHeight w:val="223"/>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6,976,000</w:t>
            </w:r>
          </w:p>
        </w:tc>
        <w:tc>
          <w:tcPr>
            <w:tcW w:w="220" w:type="dxa"/>
            <w:vAlign w:val="bottom"/>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5,492,000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13" w:lineRule="exact"/>
        <w:rPr>
          <w:sz w:val="20"/>
          <w:szCs w:val="20"/>
          <w:color w:val="auto"/>
        </w:rPr>
      </w:pPr>
    </w:p>
    <w:p>
      <w:pPr>
        <w:sectPr>
          <w:pgSz w:w="11900" w:h="16838" w:orient="portrait"/>
          <w:cols w:equalWidth="0" w:num="2">
            <w:col w:w="7080" w:space="720"/>
            <w:col w:w="3620"/>
          </w:cols>
          <w:pgMar w:left="240" w:top="908" w:right="239" w:bottom="1440" w:gutter="0" w:footer="0" w:header="0"/>
          <w:type w:val="continuous"/>
        </w:sectPr>
      </w:pP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Holland B.V. for use of an adenovirus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Company had accrued $0.5 million under the amended agreement.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further third-party Netherlands legal review and analysis of the agreement undertaken during the year, it was concluded that based upon Dutch law, the statute of limitations has run out on the obligation, and a legal opinion received by the Company confirms the amounts are not currently owed. As such, as of September 30, 2017, the Company was no longer obligated to make the payments under the agreement and therefore, the Company recorded a debt extinguishment gain of $0.5 million and reduced the liability amount owed to $0 during the nine-month period ended September 30,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 LIABILITY AND FAIR VALUE MEASUREMENTS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at September 30, 2017 and December 31, 2016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90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Exercise price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Volatility (annual)</w:t>
            </w:r>
          </w:p>
        </w:tc>
        <w:tc>
          <w:tcPr>
            <w:tcW w:w="4700" w:type="dxa"/>
            <w:vAlign w:val="bottom"/>
          </w:tcPr>
          <w:p>
            <w:pPr>
              <w:jc w:val="right"/>
              <w:ind w:right="570"/>
              <w:spacing w:after="0"/>
              <w:rPr>
                <w:sz w:val="20"/>
                <w:szCs w:val="20"/>
                <w:color w:val="auto"/>
              </w:rPr>
            </w:pPr>
            <w:r>
              <w:rPr>
                <w:rFonts w:ascii="Arial" w:cs="Arial" w:eastAsia="Arial" w:hAnsi="Arial"/>
                <w:sz w:val="18"/>
                <w:szCs w:val="18"/>
                <w:color w:val="auto"/>
              </w:rPr>
              <w:t>63%</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47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470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15"/>
          </w:tcPr>
          <w:p>
            <w:pPr>
              <w:jc w:val="right"/>
              <w:ind w:right="180"/>
              <w:spacing w:after="0"/>
              <w:rPr>
                <w:sz w:val="20"/>
                <w:szCs w:val="20"/>
                <w:color w:val="auto"/>
              </w:rPr>
            </w:pPr>
            <w:r>
              <w:rPr>
                <w:rFonts w:ascii="Arial" w:cs="Arial" w:eastAsia="Arial" w:hAnsi="Arial"/>
                <w:sz w:val="18"/>
                <w:szCs w:val="18"/>
                <w:b w:val="1"/>
                <w:bCs w:val="1"/>
                <w:color w:val="auto"/>
              </w:rPr>
              <w:t>Fair value measured at September 30, 2017</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00" w:type="dxa"/>
            <w:vAlign w:val="bottom"/>
            <w:gridSpan w:val="5"/>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Quoted prices in active</w:t>
            </w:r>
          </w:p>
        </w:tc>
        <w:tc>
          <w:tcPr>
            <w:tcW w:w="80" w:type="dxa"/>
            <w:vAlign w:val="bottom"/>
          </w:tcPr>
          <w:p>
            <w:pPr>
              <w:spacing w:after="0"/>
              <w:rPr>
                <w:sz w:val="16"/>
                <w:szCs w:val="16"/>
                <w:color w:val="auto"/>
              </w:rPr>
            </w:pPr>
          </w:p>
        </w:tc>
        <w:tc>
          <w:tcPr>
            <w:tcW w:w="1480" w:type="dxa"/>
            <w:vAlign w:val="bottom"/>
            <w:gridSpan w:val="5"/>
          </w:tcPr>
          <w:p>
            <w:pPr>
              <w:jc w:val="center"/>
              <w:ind w:right="140"/>
              <w:spacing w:after="0" w:line="191" w:lineRule="exact"/>
              <w:rPr>
                <w:sz w:val="20"/>
                <w:szCs w:val="20"/>
                <w:color w:val="auto"/>
              </w:rPr>
            </w:pPr>
            <w:r>
              <w:rPr>
                <w:rFonts w:ascii="Arial" w:cs="Arial" w:eastAsia="Arial" w:hAnsi="Arial"/>
                <w:sz w:val="18"/>
                <w:szCs w:val="18"/>
                <w:b w:val="1"/>
                <w:bCs w:val="1"/>
                <w:color w:val="auto"/>
                <w:w w:val="91"/>
              </w:rPr>
              <w:t>Significant other</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markets</w:t>
            </w:r>
          </w:p>
        </w:tc>
        <w:tc>
          <w:tcPr>
            <w:tcW w:w="15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8"/>
              </w:rPr>
              <w:t>observable inputs</w:t>
            </w:r>
          </w:p>
        </w:tc>
        <w:tc>
          <w:tcPr>
            <w:tcW w:w="17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unobservable inputs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Fair value at</w:t>
            </w:r>
          </w:p>
        </w:tc>
      </w:tr>
      <w:tr>
        <w:trPr>
          <w:trHeight w:val="234"/>
        </w:trPr>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(Level 3)</w:t>
            </w:r>
          </w:p>
        </w:tc>
        <w:tc>
          <w:tcPr>
            <w:tcW w:w="16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2"/>
              </w:rPr>
              <w:t>September 30, 2017</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46"/>
        </w:trPr>
        <w:tc>
          <w:tcPr>
            <w:tcW w:w="2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4"/>
          </w:tcPr>
          <w:p>
            <w:pPr>
              <w:jc w:val="right"/>
              <w:ind w:right="160"/>
              <w:spacing w:after="0"/>
              <w:rPr>
                <w:sz w:val="20"/>
                <w:szCs w:val="20"/>
                <w:color w:val="auto"/>
              </w:rPr>
            </w:pPr>
            <w:r>
              <w:rPr>
                <w:rFonts w:ascii="Arial" w:cs="Arial" w:eastAsia="Arial" w:hAnsi="Arial"/>
                <w:sz w:val="18"/>
                <w:szCs w:val="18"/>
                <w:b w:val="1"/>
                <w:bCs w:val="1"/>
                <w:color w:val="auto"/>
                <w:w w:val="91"/>
              </w:rPr>
              <w:t>Fair value measured at December 31, 2016</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4"/>
          </w:tcPr>
          <w:p>
            <w:pPr>
              <w:jc w:val="center"/>
              <w:ind w:right="8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4"/>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Significant other</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markets</w:t>
            </w:r>
          </w:p>
        </w:tc>
        <w:tc>
          <w:tcPr>
            <w:tcW w:w="80" w:type="dxa"/>
            <w:vAlign w:val="bottom"/>
          </w:tcPr>
          <w:p>
            <w:pPr>
              <w:spacing w:after="0"/>
              <w:rPr>
                <w:sz w:val="19"/>
                <w:szCs w:val="19"/>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6"/>
              </w:rPr>
              <w:t>observable inputs</w:t>
            </w:r>
          </w:p>
        </w:tc>
        <w:tc>
          <w:tcPr>
            <w:tcW w:w="80" w:type="dxa"/>
            <w:vAlign w:val="bottom"/>
          </w:tcPr>
          <w:p>
            <w:pPr>
              <w:spacing w:after="0"/>
              <w:rPr>
                <w:sz w:val="19"/>
                <w:szCs w:val="19"/>
                <w:color w:val="auto"/>
              </w:rPr>
            </w:pPr>
          </w:p>
        </w:tc>
        <w:tc>
          <w:tcPr>
            <w:tcW w:w="17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unobservable inputs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Fair value at</w:t>
            </w:r>
          </w:p>
        </w:tc>
      </w:tr>
      <w:tr>
        <w:trPr>
          <w:trHeight w:val="234"/>
        </w:trPr>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(Level 3)</w:t>
            </w:r>
          </w:p>
        </w:tc>
        <w:tc>
          <w:tcPr>
            <w:tcW w:w="80" w:type="dxa"/>
            <w:vAlign w:val="bottom"/>
          </w:tcPr>
          <w:p>
            <w:pPr>
              <w:spacing w:after="0"/>
              <w:rPr>
                <w:sz w:val="20"/>
                <w:szCs w:val="20"/>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December 31, 2016</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72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225" w:lineRule="exact"/>
        <w:rPr>
          <w:rFonts w:ascii="Arial" w:cs="Arial" w:eastAsia="Arial" w:hAnsi="Arial"/>
          <w:sz w:val="18"/>
          <w:szCs w:val="18"/>
          <w:color w:val="auto"/>
        </w:rPr>
      </w:pPr>
    </w:p>
    <w:p>
      <w:pPr>
        <w:ind w:right="300" w:firstLine="332"/>
        <w:spacing w:after="0" w:line="501"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 There were no transfers between Level 1, 2 or 3 during the nine months ended September 30, 2017.</w:t>
      </w:r>
    </w:p>
    <w:p>
      <w:pPr>
        <w:spacing w:after="0"/>
        <w:rPr>
          <w:rFonts w:ascii="Arial" w:cs="Arial" w:eastAsia="Arial" w:hAnsi="Arial"/>
          <w:sz w:val="18"/>
          <w:szCs w:val="18"/>
          <w:color w:val="auto"/>
        </w:rPr>
      </w:pPr>
      <w:r>
        <w:rPr>
          <w:rFonts w:ascii="Arial" w:cs="Arial" w:eastAsia="Arial" w:hAnsi="Arial"/>
          <w:sz w:val="18"/>
          <w:szCs w:val="18"/>
          <w:color w:val="auto"/>
        </w:rPr>
        <w:t>The following table presents changes in Level 3 liabilities measured at fair value for the nine months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(8,500)</w:t>
            </w: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2017</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PROMISSORY NOTE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September 30, 2017 and December 31, 2016, the Company had an outstanding promissory note in the amount of $5,000. The promissory note outstanding and due at September 30, 2017 bears 10% annual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26, 2017, the Company completed private placement of units with certain accredited investors. In the private placement transaction, the Company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The Company issued and sold an aggregate of 1,503,567 million units for aggregate gross proceeds of $6.2 million. The Company incurred $0.8 million in agency fees and legal costs. In connection with the offering, the Company reduced the exercise price for the warrants to purchase an aggregate of 653,187 shares of common stock issued to investors in the private placement that closed in August 2016 from $6.00 per share to $3.97 per share.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150,357 shares of Company common stock for $3.97 per share.</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a Registration Rights Agreement to be entered into at the closing of the private placement offering, promptly, but no later than 90 calendar days after the closing of the offering, the Company is required to file a registration statement with the Securities and Exchange Commission registering for resale</w:t>
      </w:r>
    </w:p>
    <w:p>
      <w:pPr>
        <w:jc w:val="both"/>
        <w:ind w:firstLine="8"/>
        <w:spacing w:after="0" w:line="254" w:lineRule="auto"/>
        <w:tabs>
          <w:tab w:leader="none" w:pos="2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common stock issued in the offering; (b) the shares of common stock issuable upon the exercise of the private placement warrants; and (c) the shares of common stock issuable upon the exercise of the warrants issued to Katalyst Securities LLC, which acted as placement agent for the offering. The Company is required to use its commercially reasonable efforts to ensure that the Registration Statement is declared effective within 90 calendar days after filing with the Securities and Exchange Commission, on or before December 23, 2017.</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U.S. GAAP,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$57,000 per month for each month it fails or is estimated to fail to meet the above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June 26, 2017 private placement closing, and on September 30, 2017, the Company concluded that it is not probable that it will be required to remit any payments to the investors for failing to obtain an effective registration statement or failing to maintain its effectiveness.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90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190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Warrant Shares</w:t>
            </w:r>
          </w:p>
        </w:tc>
        <w:tc>
          <w:tcPr>
            <w:tcW w:w="24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Pre-reduced</w:t>
            </w:r>
          </w:p>
        </w:tc>
        <w:tc>
          <w:tcPr>
            <w:tcW w:w="22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Post-reduced</w:t>
            </w:r>
          </w:p>
        </w:tc>
      </w:tr>
      <w:tr>
        <w:trPr>
          <w:trHeight w:val="234"/>
        </w:trPr>
        <w:tc>
          <w:tcPr>
            <w:tcW w:w="1760" w:type="dxa"/>
            <w:vAlign w:val="bottom"/>
          </w:tcPr>
          <w:p>
            <w:pPr>
              <w:ind w:left="820"/>
              <w:spacing w:after="0"/>
              <w:rPr>
                <w:sz w:val="20"/>
                <w:szCs w:val="20"/>
                <w:color w:val="auto"/>
              </w:rPr>
            </w:pPr>
            <w:r>
              <w:rPr>
                <w:rFonts w:ascii="Arial" w:cs="Arial" w:eastAsia="Arial" w:hAnsi="Arial"/>
                <w:sz w:val="18"/>
                <w:szCs w:val="18"/>
                <w:b w:val="1"/>
                <w:bCs w:val="1"/>
                <w:color w:val="auto"/>
              </w:rPr>
              <w:t>Series</w:t>
            </w:r>
          </w:p>
        </w:tc>
        <w:tc>
          <w:tcPr>
            <w:tcW w:w="19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Repriced</w:t>
            </w:r>
          </w:p>
        </w:tc>
        <w:tc>
          <w:tcPr>
            <w:tcW w:w="24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Price</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Series D</w:t>
            </w:r>
          </w:p>
        </w:tc>
        <w:tc>
          <w:tcPr>
            <w:tcW w:w="1900" w:type="dxa"/>
            <w:vAlign w:val="bottom"/>
          </w:tcPr>
          <w:p>
            <w:pPr>
              <w:jc w:val="right"/>
              <w:spacing w:after="0"/>
              <w:rPr>
                <w:sz w:val="20"/>
                <w:szCs w:val="20"/>
                <w:color w:val="auto"/>
              </w:rPr>
            </w:pPr>
            <w:r>
              <w:rPr>
                <w:rFonts w:ascii="Arial" w:cs="Arial" w:eastAsia="Arial" w:hAnsi="Arial"/>
                <w:sz w:val="18"/>
                <w:szCs w:val="18"/>
                <w:color w:val="auto"/>
              </w:rPr>
              <w:t>312,500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warrants was treated as deemed dividend on the statement of stockholders’ equity of $0.6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Before</w:t>
            </w:r>
          </w:p>
        </w:tc>
        <w:tc>
          <w:tcPr>
            <w:tcW w:w="24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After</w:t>
            </w:r>
          </w:p>
        </w:tc>
      </w:tr>
      <w:tr>
        <w:trPr>
          <w:trHeight w:val="234"/>
        </w:trPr>
        <w:tc>
          <w:tcPr>
            <w:tcW w:w="3060" w:type="dxa"/>
            <w:vAlign w:val="bottom"/>
          </w:tcPr>
          <w:p>
            <w:pPr>
              <w:spacing w:after="0"/>
              <w:rPr>
                <w:sz w:val="20"/>
                <w:szCs w:val="20"/>
                <w:color w:val="auto"/>
              </w:rPr>
            </w:pPr>
          </w:p>
        </w:tc>
        <w:tc>
          <w:tcPr>
            <w:tcW w:w="24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Modification</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Modification</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4.04</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34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3.34</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Risk-free rate</w:t>
            </w:r>
          </w:p>
        </w:tc>
        <w:tc>
          <w:tcPr>
            <w:tcW w:w="1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Management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9, 2017, the Company issued 12,761 shares of stock in relation to the discretionary 2016 bonus awarded to Dr. Glynn Wilson. The fair value of the common stock of $55,000 was recognized as stock-based compensation in general and administrative expenses. The issuance was based on the closing price or our common stock of $4.31 per share, on the day immediately preceding the date the 2016 bonus award was approved by the Board of Directors.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2017, the Company issued 5,220 shares of stock in relation to the discretionary 2016 bonus awarded to our former Chief Operating Officer. The fair value of the common stock of $22,500 was recognized as stock-based compensation in general and administrative expenses. The issuance was based on the closing price or our common stock of $4.31 per share, on the day immediately preceding the date the 2016 bonus award was approved by the Board of Directors.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22, 2017, the Company entered into an employment agreement with Peter Hoang, the Company’s Chief Executive Officer. As part of the agreement, the Company granted Mr. Hoang 250,000 shares of unregistered, fully vested restricted common stock. The Company recorded $0.8 million of stock-based compensation based on the fair value of the common stock at September 22, 2017. 70,289 shares of common stock, with a fair value of $0.2 million, were withheld (at the closing price of the Company's common stock on the NASDAQ Capital Market on September 22, 2017) to satisfy certain payroll liabilities, as applicable to the award.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22, 2017, the Company entered into an amended employment agreement with Dr. Glynn Wilson, the Company’s continuing Chairman to serve as the Company’s Strategic Advisor. As part of the agreement, the Company granted Dr. Wilson 100,000 shares of unregistered, fully vested restricted common stock. The Company recorded $0.3 million of stock-based compensation based on the fair value of the common stock at September 22, 2017. 27,350 shares of common stock, with a fair value of $0.1 million, were withheld (at the closing price of the Company's common stock on the NASDAQ Capital Market on September 22, 2017) to satisfy certain payroll liabilities, as applicable to the award.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2017, the Company issued 0.1 million shares of common stock as part of consulting agreements. The fair value of the common stock of $0.4 million was recognized as stock-based compensation in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$1.7 million and $0.8 million of stock-based compensation expense for the three months ended September 30, 2017 and 2016, respectively. The Company recorded $2.3 million and $1.3 million of stock-based compensation expense for the nine months ended September 30, 2017 and 2016, respectively. Stock-based compensation expense is included in general and administrative expense on the condensed consolidated statements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2017, the total stock-based compensation cost related to unvested awards not yet recognized was $0.5 million. The expected weighted average period compensation costs to be recognized was 0.62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option grants will impact the compensation expense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GRANT INCOME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2017 and September 30, 2016, the Company received $0.2 million of a grant awarded to Mayo Foundation from the U.S. Department of Defense for the Phase II Clinical Trial of TPIV200. The grant compensated the Company for clinical supplies manufactured and provided by the Company for the clinical study.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12: 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22, 2017, the Company appointed Peter Hoang as the Company’s President and Chief Executive Officer. In connection with Mr. Hoang’s appointment, he entered into an employment agreement with the Company. The employment agreement provides that Mr. Hoang’s base salary will be $362,500 per year and he is eligible for an annual performance bonus of up to 50% of his base salary. In addition, on the first anniversary of the employment agreement, Mr. Hoang will be eligible to receive a grant of stock options to purchase the number of shares of common stock equal to one percent of the then-outstanding common stock of the Company. The term of the employment agreement is for three years and will be automatically extended for an additional 12 months unless terminated by Mr. Hoang or the Company.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22, 2017, the Company entered into an amended employment agreement with Dr. Glynn Wilson, the Company’s Strategic Advisor. The amended employment agreement provides that Dr. Wilson’s base salary will be $205,000 per year and he is eligible for an annual performance bonus of up to 50% of his base salary. In addition, upon the first anniversary of the execution of amendment employment agreement, Dr. Wilson will be eligible to receive an additional grant of restricted common stock equal to $300,000. The term of the employment agreement is through December 31, 2018.</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and nine months ended September 30, 2017 included in this quarterly report, as well as our Annual Report on Form 10-K for the year ended December 31, 2016 filed on March 14,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immuno-oncology company specializing in the development of innovative peptide and gene-based immunotherapeutics and vaccines for the treatment of cancer and metastatic disease. We are actively advancing our clinical programs by expanding our Folate Receptor Alpha program (TPIV200) for breast and ovarian cancers and our HER2/neu peptide antigen program (TPIV110) in Phase II clinical trials. In parallel, we are developing a proprietary DNA expression technology named PolyStart™ to improve the ability of the cellular immune system to recognize and destroy diseased cells. We plan to complete the pre-clinical development of our PolyStart™ vaccine and move it into the clinic as an integral component of a prime-boost vaccine methodology.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leader in the development of novel immunotherapies for cancer, with multiple Phase 2 and Phase 1b/2 clinical studies currently ongoing for the treatment of ovarian and breast cancer. Our peptide- or nucleic acid-based immunotherapeutic products comprise multiple naturally processed epitopes (NPEs) designed to comprehensively stimulate a patient's killer T-cells and helper T-cells, and to restore or further augment antigen presentation by using proprietary nucleic acid-based expression systems. This unique approach can produce off-the-shelf T-cell vaccine candidates that elicit a broad-based T-cell response and can be given without respect to HLA type. Our technologies may be used as stand-alone medications or in combination with other treatment modalities.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including ipilimumab and nivolumab (Yervoy® and Opdivo®, respectively, Bristol Myers Squibb), pembrolizumab (Keytruda®, Merck &amp; Co.), avelumab (Bavencio®, EMD Serono), durvalumab (Imfinzi™, AstraZeneca), and atezolizumab (Tecentriq®, Genentech), together with the development and approval of CAR T-cell therapies sponsored by Novartis, Juno Therapeutics, and Kite Pharma, has provided much momentum in this sector. In addition, new evidence points to the increasing use of combination immunotherapies for the treatment of cancer. This has provided greater justification and opportunities for the successful development of T-cell vaccines in combination with other approaches.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23, 2017, the U.S. Food and Drug Administration (“FDA”) approved expanded use of Keytruda for immunotherapy. The FDA granted accelerated approval to a treatment for patients whose cancers have a specific genetic feature (biomarker). This is the first time the FDA has approved a cancer treatment based on a common biomarker rather than the location in the body where the tumor originated.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Phase I data using our two products in clinical programs in breast and ovarian cancers.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We continue to focus primarily on our Phase II triple-negative breast cancer trials using TPIV200 (which has achieved Fast Track and Orphan Drug Status), and are planning for the next Phase II HER2/neu breast cancer trial.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PolyStart™ constructs to facilitate collaborative efforts in our current clinical indications. We will also evaluate those indications where others have already indicated interest in combination therapies.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our company to capitalize on the acceptance of immunotherapy as a leading therapeutic strategy in cancer and infectious diseases.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continuously working on improving our product formulation and supply. TPIV200 and TPIV110 are both off-the-shelf, lyophilized products that only require reconstitution and mixing with GM-CSF at the clinical site before injection. We believe our off-the-shelf product may provide a significant competitive advantage over autologous products that require preparation for each patient. We also believe the investments we have made in the formulation work for both very stable products will result in commercially viable products consistent with typically high pharmaceutical profit margins.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Phase I data produced for both TPIV200 and TPIV100 in collaboration with the Mayo Clinic are the driving force behind the high-value collaborations we have established and maintained with organizations such as Mayo Clinic, AstraZeneca, Memorial Sloan Kettering, and the U.S. Department of Defense. As we move forward into advanced Phase II studies, some of which incorporate collaborations with prestigious third-party organizations, we believe they will represent further independent validation of the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Strategies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the PolyStart™ expression vector (owned by TapImmune and filed in 2014: this IP covers the use with TAP). We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doing the studies on the path to successful product development takes time, we believe we have put together a team that can deliver the highest quality data in the least amount of time.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immune checkpoint inhibitors and adoptive T-cell therapy, as well as multiple other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antigen-based immunotherapeutics and the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could also enhance the efficacy of other immunotherapy approaches such as CAR-T and checkpoint inhibitors.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Cancers – Mayo Clinic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is expressed in over 80% of triple-negative breast cancers and in over 90% of ovarian cancers, for which the only treatment options are surgery, radiation therapy, and chemotherapy, leaving a very important and urgent clinical need for a new therapeutic option. Time to recurrence is relatively short for these types of cancer and survival prognosis is extremely poor after recurrence. In the United States alone, there are approximately 30,000 ovarian cancer patients and 40,000 triple-negative breast cancer patients newly diagnosed every year.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22-patient Phase I clinical trial using TPIV200 was completed in 2015. The vaccine is well tolerated and safe and 20 out of 21 evaluable patients showed positive immune responses, which provided a strong rationale for progressing to Phase II trials. Good Manufacturing Practice (“GMP”) for Phase II trials resulted in a commercially viable formulation. On July 27, 2015, we exercised our option agreement with Mayo Clinic with the signing of a worldwide exclusive license agreement to commercialize the proprietary Folate Receptor Alpha Vaccine technology for all cancer indications. As part of this Agreement, the investigational new drug application (“IND”) for Folate Receptor Alpha (“TPIV200”) was transferred from Mayo Clinic to us for amendment to support our Phase II Clinical trials on our lead product.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(“DOD”). This grant, commencing September 15, 2015, covers the costs for a 280-patient Phase II clinical trial of Folate Receptor Alpha vaccine in patients with triple-negative breast cancer. We are working closely with Mayo Clinic on this clinical trial by providing clinical and manufacturing expertise as well as providing GMP vaccines to supply the study. The vaccine formulation is suitable for multiple Phase II clinical programs in triple-negative breast and ovarian cancers in combination with other immunotherapeutics.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TPIV200 with GM-CSF adjuvant for maintenance therapy in subjects with platinum-sensitive advanced ovarian cancer who achieved stable disease or partial response following completion of standard of care chemotherapy, as a Fast Track Development Program. A Phase II study in this indication was initiated at the end of 2016.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completing a Company-sponsored triple-negative breast cancer study at twelve clinical sites nation-wide. The study will enroll a total of 80 patients. It is open-label and designed to look at dosing regimens, immune responses, and efficacy.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ovarian cancer study sponsored by Memorial Sloan Kettering Cancer Center in New York City in collaboration with AstraZeneca Pharmaceuticals was initiated in 2016. This study is currently enrolling platinum-resistant ovarian cancer patients and is designed to look at the effects of combination therapy with AstraZeneca’s checkpoint inhibitor durvalumab, which was recently licensed as IMFINZI™ for bladder cancer. The study will enroll up to 40 patients and is open label. We have no business relationship with AstraZeneca and we are paying for half of the clinical study, plus providing TPIV200 for the study.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a Company-sponsored Phase II study in platinum-sensitive ovarian cancer patients was recently initiated. This study is designed to evaluate TPIV200 with GM-CSF in a randomized, placebo-controlled fashion during the first maintenance period after primary surgery and chemotherapy. Patients at this stage of their treatment have the highest potential for an immunotherapeutic effect and no other approved treatment options. The study will enroll up to 120 patients over the next year and a half, with an interim analysis planned in the first quarter of 2019.</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u w:val="single" w:color="auto"/>
          <w:color w:val="auto"/>
        </w:rPr>
        <w:t>TPIV 100/110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Phase I study using TPIV100 (the four-peptide product) was completed in 2015. Final safety analysis on all the patients treated is complete and the product was shown to be safe. In addition, 19 out of 20 evaluable patients showed robust T-cell immune responses to the antigens in the vaccine composition, providing a solid case for advancement to Phase II in 2017. An additional secondary endpoint incorporated into this Phase I Trial was a two-year follow on recording time to disease recurrence in the participating breast cancer patients. This data is being submitted for publication in a peer-reviewed journal.</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producing TPIV110 (the five-peptide product). Management believes that the combination of Class I and Class II HER2/neu antigens, gives us the leading HER2/neu vaccine platform. We plan to amend the IND to incorporate the fifth peptide in the Phase I(b)/II study. Discussions with the FDA have resulted in a pre-clinical development project that should allow us to file the amended IND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 We anticipate additional patent filings in connection with our research and development in this area. We plan to develop PolyStart™ primarily as a ‘boost strategy’ to be used synergistically with our peptide-based vaccines for breast and ovarian cancers.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Clinical Program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866130" cy="383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613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“Clinical Program Pipeline Status Updates” section below for latest updates on above clinical pipeline chart).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exciting clinical developments, our peptide vaccine technology may be coupled with our recently developed in-house PolyStart™ nucleic acid-based technology, which is designed to make vaccines significantly more effective by producing four times the required peptides for the immune systems to recognize and act 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Recent Developments and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GMP Manufacturing Scale Up and Second Clinical Lot of TPIV200; to Supply Additional Phase II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successfully completed a multi-gram production scale-up as well as GMP manufacturing of a second clinical lot of TPIV200. The vaccine supply will be used in the company’s ongoing Phase II study in platinum-sensitive ovarian cancer, as well as the planned 280-patient Phase II study sponsored by the Mayo Clinic and funded by the U.S. Department of Defense for treating triple-negative breast cancer. We also made various improvements to the vaccine manufacturing process, resulting in, what we believe to be, a superior formulation of the vaccine that is more amenable to large-scale manufacturing and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 Pipeline Status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TPIV200 Trial in Triple-Negative Breast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enrolled over 90% of the patients in a Phase II trial of our Folate Receptor Alpha cancer vaccine, TPIV200, in the treatment of triple-negative breast cancer, one of the most difficult cancers to treat, representing a clear unmet medical need. The open-label, 80-patient clinical trial is designed to evaluate dosing regimens, adjuvants, efficacy, and immune responses in women with triple-negative breast cancer. Key data from the trial is expected to be included in a future Biologics License Application submission to the FDA for marketing clearance. This trial is sponsored and conducted by TapImmune.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independent Data Safety Monitoring Board (DSMB) reviews the safety every quarter in this ongoing Phase 2 study enrolling women with stage I-III triple-negative breast cancer who have completed initial surgery and chemo/radiation therapy. The randomized four-arm study is evaluating two doses of TPIV200 (a high dose and a low dose), each of which will be tested both with and without immune priming with cyclophosphamide prior to vaccination. Safety reviews are conducted quarterly and have showed no safety issues; the study has continued to enroll patients at multiple clinical sites. The study is expected to complete enrollment by year end 2017, with top-line data expected in early 2018. Details regarding this trial can be found at www.clinicaltrials.gov under identifier numbers NCT02593227 and FRV-002.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TPIV200 Trial in Platinum-Sensitive Ovarian Cancer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opened six clinical sites (with another eight sites anticipated to open during the remainder of 2017 and early 2018) and have enrolled the first six patients in a Phase II trial of TPIV200 for a 120-patient study on ovarian cancer patients who are responsive to platinum. We have received the FDA’s Fast Track designation to develop TPIV200 as a maintenance therapy in combination with platinum, in platinum-responsive ovarian cancer patients, including women with Stage III and IV ovarian cancer who are in remission following their first round of successful platinum-based chemotherapy. This multi-center, double-blind efficacy study is sponsored and conducted by TapImmune. We expect to complete enrollment mid-2019. An interim analysis is planned based upon 50% patient enrollment, which we anticipate completing in the first half of 2019. Details regarding this trial can be found at www.clinicaltrials.gov under identifier numbers NCT02978222 and FRV-004.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Mayo Clinic-U.S. DOD Trial of TPIV200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begun enrolling patients in this Phase II study of TPIV200 in the treatment of triple-negative breast cancer, conducted by the Mayo Clinic and sponsored by the U.S. DOD. The 280-patient study is led by Dr. Keith Knutson of the Mayo Clinic in Jacksonville, Florida. Dr. Knutson is the inventor of the technology and a member of the Scientific Advisory Board at TapImmune. While we are supplying doses of TPIV200 for the trial and being reimbursed for the costs associated with manufacturing, the remaining costs associated with conducting this study will be funded by a $13.3 million grant made by the DOD to the Mayo Clinic.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TPIV200 in Platinum-Resistant Ovarian Cancer</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Phase II study of TPIV200 in ovarian cancer patients who are not responsive to platinum, a commonly used chemotherapy for ovarian cancer, sponsored by Memorial Sloan Kettering Cancer Center (“MSKCC”), and in collaboration with AstraZeneca and TapImmune, has begun enrollment for a 40-patient study. The open-label study is designed to evaluate a combination therapy which includes our TPIV200 T-cell vaccine and AstraZeneca’s checkpoint inhibitor, durvalumab. Because they are unresponsive to platinum, these patients have no real remaining options. If the combination therapy proves effective, we believe it would address a critical unmet need. TPIV200 has received Orphan Drug designation for use in the treatment of ovarian cancer. We successfully completed enrollment of the first safety cohort. This may enable MSKCC to increase the number of patients that can be enrolled and will subsequently increase the study’s enrollment rate. Currently more than 50% of patients have been enrolled. An interim analysis is planned in the fourth quarter of 2017. Details regarding this trial can be found at www.clinicaltrials.gov under identifier numbers NCT02764333 and 16-011.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Open IND with FDA for TPIV110 in 2017: Phase II Protocol Now in Preparation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enhanced the formulation of our second cancer vaccine product, TPIV110 (the five-peptide product), following very strong safety and immune responses from a Phase I Mayo Clinic study using TPIV100 (the four-peptide product). TPIV110 targets HER2/neu, which makes it applicable to breast, ovarian, and colorectal cancers. The enhanced TPIV product adds a fifth antigen which should produce an even more robust immune response activating both CD4+ and CD8+ T-cells. We have participated in a pre-Investigational New Drug (“pre-IND”) meeting with the FDA and will file the amended IND containing the fifth peptide later this year. The protocol for a Phase II trial of TPIV110 in the treatment of HER2/neu positive breast cancer patients is currently under review by our Clinical Advisory Board and collaborators.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Clinic to Vaccinate Women With Ductal Carcinoma In Situ (DCIS) Using TapImmune TPIV100 HER2-targeted T-Cell Vaccine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14, 2017, we announced that our partners at the Mayo Clinic received a grant from the U.S. Department of Defense to conduct a Phase II study of our HER2-targeted vaccine candidate in an early form of breast cancer called DCIS. This is the second TapImmune vaccine to be tested in a fully funded Phase II study sponsored by the Mayo Clinic. Our collaborators at Mayo Clinic announced a $3.8 million grant which we believe would fully fund this Phase</w:t>
      </w:r>
    </w:p>
    <w:p>
      <w:pPr>
        <w:jc w:val="both"/>
        <w:ind w:firstLine="8"/>
        <w:spacing w:after="0" w:line="255" w:lineRule="auto"/>
        <w:tabs>
          <w:tab w:leader="none" w:pos="1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trial. If the study is successful, our vaccine may eventually augment or even replace standard surgery and chemotherapy, and potentially could become part of a routine immunization schedule for preventing breast cancer in healthy women. The study is expected to enroll 40-45 women with DCIS and begin to commence such enrollment during the remainder of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 of 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22, 2017, we announced that Peter Hoang was appointed as our President and Chief Executive Officer and entered into an employment agreement with us. Concurrent with such appointment, we amended the employment agreement of Dr. Wilson for Dr. Wilson to relinquish the office of Chief Executive Officer and serve as Strategic Advisor and to remain as Chairman of our Board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22, 2017, we announced that Dr. Glynn Wilson was appointed as our Strategic Advisor and we entered into an amended employment agreement with him.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$4.0 million or ($0.39) basic and diluted per share during the three months ended September 30, 2017 compared to a net loss of $2.1 million or (0.29) basic and diluted per share during the three months ended September 30, 2016. The change period over period was due to the following changes in operating expenses and other income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three months ended September 30, 2017 were $4.2 million compared to $2.7 million in the prior period. Significant changes in operating expenses are outlined as follows:</w:t>
      </w:r>
    </w:p>
    <w:p>
      <w:pPr>
        <w:spacing w:after="0" w:line="170"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Research and development expenses during the three months ended September 30, 2017 were $1.6 million compared to $1.1 million during the prior year period. The three months ended September 30, 2017 had increased expenses from prior period relating to our clinical trials.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increased to $2.5 million during the three months ended September 30, 2017 from $1.6 million during the prior year period. The increased expenses period over period were attributable to the following:</w:t>
      </w:r>
    </w:p>
    <w:p>
      <w:pPr>
        <w:spacing w:after="0" w:line="17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relating to stock grants pursuant to Peter Hoang’s and Glynn Wilson’s employment agreements,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audit and other professional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relations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relating to our shareholder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fair value of warrant liabilities for the three months ended September 30, 2017 was $4,000 as compared to $0.7 million for the three months ended September 30, 2016. On August 10, 2016, we amended the Series A and A-1, Series C and C-1, Series D and D-1 and Series E and E-1 warrants agreements issued by us in January and March 2015 to remove the clause that caused the warrants to be classified as warrant liabilities, and the variance period over period is due to that reason.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warrant liabilities decreased by $4,000 for the three months ended September 30, 2017 and is reflected by a corresponding gain in the condensed consolidated statement of operations. This compares to a decrease in the fair value of derivative liabilities for the three months ended September 30, 2016 of $0.7 million. We revalue the derivative liabilities at each balance sheet date to fair value. The fair value is determined using Black-Scholes valuation model using various assumptions. The two most significant changes in the assumptions were the difference in the strike price and the number of warrants with derivative liabilities. The change in fair value for the three months ended September 30, 2016 was primarily due to the difference in strike price at June 30, 2016 and September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2017, we received $0.2 million of a grant awarded to Mayo Foundation from the U.S. Department of Defense for the Phase II Clinical Trial of TPIV200. The grant compensated us for our out-of-pocket costs associated with clinical supplies which were manufactured and provided by us for the clinical study.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Shares issued in debt settlement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September 30, 2016, we incurred $0.1 million loss in connection with shares issued to satisfy an outstanding debt agreement from previous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$8.3 million or ($0.91) basic and diluted per share during the nine months ended September 30, 2017 compared to a net loss of $0.9 million or ($0.14) basic and ($0.54) diluted per share during the nine months ended September 30, 2016. The change period over period was due to the following changes in operating expenses and other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nine months ended September 30, 2017 were $9.0 million compared to $6.9 million in the prior period. Significant changes in operating expenses are outlined as follows:</w:t>
      </w:r>
    </w:p>
    <w:p>
      <w:pPr>
        <w:spacing w:after="0" w:line="170" w:lineRule="exact"/>
        <w:rPr>
          <w:sz w:val="20"/>
          <w:szCs w:val="20"/>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Research and development expenses during the nine months ended September 30, 2017 were $3.8 million compared to $3.3 million during the prior year period. The nine months ended September 30, 2017 had increases from prior period for planned expenses relating to our clinical trials.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expenses increased to $5.2 million during the nine months ended September 30, 2017 from $3.6 million during the prior year period. The increased expenses period over period were attributable to the following:</w:t>
      </w:r>
    </w:p>
    <w:p>
      <w:pPr>
        <w:spacing w:after="0" w:line="170"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relating to stock grants pursuant to Peter Hoang’s and Glynn Wilson’s employment agreements,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audit and other professional fees,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 relations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relating to our shareholder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fair value of warrant liabilities for the nine months ended September 30, 2017 was $8,500 as compared to $5.9 million for the nine months ended September 30, 2016. On August 10, 2016, we amended the Series A and A-1, Series C and C-1, Series D and D-1 and Series E and E-1 warrants agreements issued by us in January and March 2015 to remove the clause that caused the warrants to be classified as warrant liabilities, and the variance period over period is due to that reason.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warrant liabilities decreased by $8,500 for the nine months ended September 30, 2017 and is reflected by a corresponding loss in the condensed consolidated statement of operations. This compares to a decrease in the fair value of derivative liabilities for the nine months ended September 30, 2016 of $5.9 million. We revalue the derivative liabilities at each balance sheet date to fair value. The fair value is determined using Black-Scholes valuation model using various assumptions. The two most significant changes in the assumptions were the difference in the strike price and the number of warrants with derivative liabilities. The change in fair value for the nine months ended September 30, 2016 was primarily due to the difference in strike price at December 31, 2015 and September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extinguishment gain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2003 and further amended in 2008, we acquired a research license and option agreement from Crucell Holland B.V. for use of an adenovirus technology. We have not made use of the technology in our current work and have not asked for nor received any work product from Crucell. Crucell was acquired by Johnson and Johnson in 2010. As of December 31, 2016, we had accrued $0.5 million as amounts owed under the amended agreement.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further third-party Netherlands legal review and analysis of the agreement undertaken during the nine months ended September 30, 2017, it was concluded that the statute of limitations has run out on the obligation, and a legal opinion received by us confirms the amounts are not currently owed. As such, as of September 30, 2017, we were no longer obligated to make the payments under the agreement. Therefore, we recorded a debt extinguishment gain of $0.5 million during the nine months ended September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2017 and September 30, 2016, we received $0.2 million of a grant awarded to Mayo Foundation from the U.S. Department of Defense for the Phase II Clinical Trial of TPIV200. The grant compensated us for our out-of-pocket costs associated with clinical supplies which were manufactured and provided by us for the clinical study.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Shares issued in debt settlement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September 30, 2016 we incurred $0.1 million loss in connection with shares issued to satisfy outstanding debt agreements from previous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not generated any revenues since inception. We have financed our operations primarily through public and private offerings of our stock and debt including warrants and the exercises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340" w:type="dxa"/>
            <w:vAlign w:val="bottom"/>
            <w:gridSpan w:val="4"/>
          </w:tcPr>
          <w:p>
            <w:pPr>
              <w:ind w:left="4720"/>
              <w:spacing w:after="0"/>
              <w:rPr>
                <w:sz w:val="20"/>
                <w:szCs w:val="20"/>
                <w:color w:val="auto"/>
              </w:rPr>
            </w:pPr>
            <w:r>
              <w:rPr>
                <w:rFonts w:ascii="Arial" w:cs="Arial" w:eastAsia="Arial" w:hAnsi="Arial"/>
                <w:sz w:val="18"/>
                <w:szCs w:val="18"/>
                <w:b w:val="1"/>
                <w:bCs w:val="1"/>
                <w:color w:val="auto"/>
                <w:w w:val="95"/>
              </w:rPr>
              <w:t>September 30, 2017</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2016</w:t>
            </w:r>
          </w:p>
        </w:tc>
      </w:tr>
      <w:tr>
        <w:trPr>
          <w:trHeight w:val="210"/>
        </w:trPr>
        <w:tc>
          <w:tcPr>
            <w:tcW w:w="34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16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7,608,000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7,851,000</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5160" w:type="dxa"/>
            <w:vAlign w:val="bottom"/>
            <w:gridSpan w:val="2"/>
          </w:tcPr>
          <w:p>
            <w:pPr>
              <w:ind w:left="47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5,936,000</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6,185,000</w:t>
            </w:r>
          </w:p>
        </w:tc>
      </w:tr>
      <w:tr>
        <w:trPr>
          <w:trHeight w:val="642"/>
        </w:trPr>
        <w:tc>
          <w:tcPr>
            <w:tcW w:w="34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right"/>
              <w:ind w:right="2210"/>
              <w:spacing w:after="0"/>
              <w:rPr>
                <w:sz w:val="20"/>
                <w:szCs w:val="20"/>
                <w:color w:val="auto"/>
              </w:rPr>
            </w:pPr>
            <w:r>
              <w:rPr>
                <w:rFonts w:ascii="Arial" w:cs="Arial" w:eastAsia="Arial" w:hAnsi="Arial"/>
                <w:sz w:val="18"/>
                <w:szCs w:val="18"/>
                <w:color w:val="auto"/>
              </w:rPr>
              <w:t>20</w:t>
            </w:r>
          </w:p>
        </w:tc>
        <w:tc>
          <w:tcPr>
            <w:tcW w:w="4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2017 and 2016:</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Nine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3"/>
              </w:rPr>
              <w:t>months Ended September 30,</w:t>
            </w:r>
          </w:p>
        </w:tc>
      </w:tr>
      <w:tr>
        <w:trPr>
          <w:trHeight w:val="223"/>
        </w:trPr>
        <w:tc>
          <w:tcPr>
            <w:tcW w:w="43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4340" w:type="dxa"/>
            <w:vAlign w:val="bottom"/>
            <w:shd w:val="clear" w:color="auto" w:fill="CCEEFF"/>
          </w:tcPr>
          <w:p>
            <w:pPr>
              <w:jc w:val="center"/>
              <w:ind w:right="1990"/>
              <w:spacing w:after="0"/>
              <w:rPr>
                <w:sz w:val="20"/>
                <w:szCs w:val="20"/>
                <w:color w:val="auto"/>
              </w:rPr>
            </w:pPr>
            <w:r>
              <w:rPr>
                <w:rFonts w:ascii="Arial" w:cs="Arial" w:eastAsia="Arial" w:hAnsi="Arial"/>
                <w:sz w:val="18"/>
                <w:szCs w:val="18"/>
                <w:color w:val="auto"/>
                <w:w w:val="90"/>
              </w:rPr>
              <w:t>Net cash provided by (used in):</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40" w:type="dxa"/>
            <w:vAlign w:val="bottom"/>
          </w:tcPr>
          <w:p>
            <w:pPr>
              <w:jc w:val="center"/>
              <w:ind w:right="1970"/>
              <w:spacing w:after="0"/>
              <w:rPr>
                <w:sz w:val="20"/>
                <w:szCs w:val="20"/>
                <w:color w:val="auto"/>
              </w:rPr>
            </w:pPr>
            <w:r>
              <w:rPr>
                <w:rFonts w:ascii="Arial" w:cs="Arial" w:eastAsia="Arial" w:hAnsi="Arial"/>
                <w:sz w:val="18"/>
                <w:szCs w:val="18"/>
                <w:color w:val="auto"/>
                <w:w w:val="91"/>
              </w:rPr>
              <w:t>Operating activities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(5,961,000)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(4,756,000)</w:t>
            </w:r>
          </w:p>
        </w:tc>
      </w:tr>
      <w:tr>
        <w:trPr>
          <w:trHeight w:val="230"/>
        </w:trPr>
        <w:tc>
          <w:tcPr>
            <w:tcW w:w="4340" w:type="dxa"/>
            <w:vAlign w:val="bottom"/>
            <w:shd w:val="clear" w:color="auto" w:fill="CCEEFF"/>
          </w:tcPr>
          <w:p>
            <w:pPr>
              <w:jc w:val="center"/>
              <w:ind w:right="1970"/>
              <w:spacing w:after="0"/>
              <w:rPr>
                <w:sz w:val="20"/>
                <w:szCs w:val="20"/>
                <w:color w:val="auto"/>
              </w:rPr>
            </w:pPr>
            <w:r>
              <w:rPr>
                <w:rFonts w:ascii="Arial" w:cs="Arial" w:eastAsia="Arial" w:hAnsi="Arial"/>
                <w:sz w:val="18"/>
                <w:szCs w:val="18"/>
                <w:color w:val="auto"/>
                <w:w w:val="92"/>
              </w:rPr>
              <w:t>Financing activities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5,717,000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7,766,000</w:t>
            </w:r>
          </w:p>
        </w:tc>
      </w:tr>
      <w:tr>
        <w:trPr>
          <w:trHeight w:val="196"/>
        </w:trPr>
        <w:tc>
          <w:tcPr>
            <w:tcW w:w="4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3,010,000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26, 2017, we completed private placements of units with certain accredited investors. In the private placement transaction, we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We issued and sold an aggregate of 1,503,567 million units for aggregate gross proceeds of $6.2 million. We incurred $0.8 million in agency fees and legal costs. In connection with the offering, we reduced the exercise price for the warrants to purchase an aggregate of 653,187 shares of common stock issued to investors in the private placement that closed in August 2016 from $6.00 per share to $3.97 per share.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issued five-year warrants to the placement agent in the offering providing for the purchase of up to 150,357 shares of our common stock for $3.97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to be entered into at the closing of the private placement offering, promptly, but no later than 90 calendar days after the closing of the offering, we are required to file a registration statement with the Securities and Exchange Commission registering for resale (a) the common stock issued in the offering; (b) the shares of common stock issuable upon the exercise of the private placement warrants; and (c) the shares of common stock issuable upon the exercise of the warrants issued to Katalyst Securities LLC, which acted as placement agent for the offering. We are required to use its commercially reasonable efforts to ensure that the Registration Statement is declared effective within 90 calendar days after filing with the Securities and Exchange Commission, on or before December 23, 2017.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we fail to meet the above criteria, we are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U.S. GAAP, a contingent obligation to make future payments must be recorded if the transfer of consideration under a registration payment arrangement is probable and can be reasonably estimated. We have determined that should it be required to pay liquidated damages to the investors of the private placements, the aggregate contingent liability it would be required to record would be approximately $57,000 per month for each month it fails or is estimated to fail to meet the above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June 26, 2017 private placement closing, on June 30, 2017 and on September 30, 2017, we concluded that it is not probable that it will be required to remit any payments to the investors for failing to obtain an effective registration statement or failing to maintain its effectiveness.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90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190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Warrant Shares</w:t>
            </w:r>
          </w:p>
        </w:tc>
        <w:tc>
          <w:tcPr>
            <w:tcW w:w="2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Pre-reduced</w:t>
            </w:r>
          </w:p>
        </w:tc>
        <w:tc>
          <w:tcPr>
            <w:tcW w:w="22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Post-reduced</w:t>
            </w:r>
          </w:p>
        </w:tc>
      </w:tr>
      <w:tr>
        <w:trPr>
          <w:trHeight w:val="234"/>
        </w:trPr>
        <w:tc>
          <w:tcPr>
            <w:tcW w:w="1760" w:type="dxa"/>
            <w:vAlign w:val="bottom"/>
          </w:tcPr>
          <w:p>
            <w:pPr>
              <w:ind w:left="820"/>
              <w:spacing w:after="0"/>
              <w:rPr>
                <w:sz w:val="20"/>
                <w:szCs w:val="20"/>
                <w:color w:val="auto"/>
              </w:rPr>
            </w:pPr>
            <w:r>
              <w:rPr>
                <w:rFonts w:ascii="Arial" w:cs="Arial" w:eastAsia="Arial" w:hAnsi="Arial"/>
                <w:sz w:val="18"/>
                <w:szCs w:val="18"/>
                <w:b w:val="1"/>
                <w:bCs w:val="1"/>
                <w:color w:val="auto"/>
              </w:rPr>
              <w:t>Series</w:t>
            </w:r>
          </w:p>
        </w:tc>
        <w:tc>
          <w:tcPr>
            <w:tcW w:w="19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Repriced</w:t>
            </w:r>
          </w:p>
        </w:tc>
        <w:tc>
          <w:tcPr>
            <w:tcW w:w="22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Price</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Series D</w:t>
            </w:r>
          </w:p>
        </w:tc>
        <w:tc>
          <w:tcPr>
            <w:tcW w:w="1900" w:type="dxa"/>
            <w:vAlign w:val="bottom"/>
          </w:tcPr>
          <w:p>
            <w:pPr>
              <w:jc w:val="right"/>
              <w:spacing w:after="0"/>
              <w:rPr>
                <w:sz w:val="20"/>
                <w:szCs w:val="20"/>
                <w:color w:val="auto"/>
              </w:rPr>
            </w:pPr>
            <w:r>
              <w:rPr>
                <w:rFonts w:ascii="Arial" w:cs="Arial" w:eastAsia="Arial" w:hAnsi="Arial"/>
                <w:sz w:val="18"/>
                <w:szCs w:val="18"/>
                <w:color w:val="auto"/>
              </w:rPr>
              <w:t>312,500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warrants was treated as deemed dividend on the statement of stockholders’ equity of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Agent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an agency agreement, dated May 12, 2017, by and between Katalyst Securities LLC and us, Katalyst agreed to act as our placement agent in connection with the June 26, 2017 private placement offering.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agreement, we agreed to pay to Katalyst: (i) an aggregate cash fee for placement agent and financial advisory services equal to 10% of the gross proceeds of the Offering; (ii) a non-accountable expense allowance in the amount of Seventy Thousand Dollars ($70,000); and (iii) five-year warrants to purchase a number of shares of our common stock equal to 10% of the number of shares sold in the offering. The Katalyst Warrants have the same terms as the private placement warrants issued in the offering. Based on the 1,503,567 shares of common stock sold in the private placement, we issued five-year warrants to Katalyst providing for the purchase of up to 150,357 shares of Company common stock for $3.97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Previous Funding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previous funding has come from financings that we conducted in January and March of 2015, from the exercises of stock warrants. In our August 2016 private placement, we completed private placements of units with certain accredited investors. The units consisted of (i) one share of our common stock, par value $0.001 per share and (ii) one five-year warrant to purchase one share of our common stock for $6.00. We issued and sold an aggregate of 653,187 units at a purchase price per unit of $4.80 for an aggregate of $3.1 million. We incurred $0.8 million in agency fees and legal costs. In addition, we issued five-year warrants to the placement agent in the offering providing for the purchase of up to 65,327 shares of our common stock for $4.80 per share. In connection with the August 2016 private placement, holders of an aggregate of 583,333 outstanding Series C Warrants and 416,667 Series C-1 Warrants, each providing for the purchase of one share of our common stock for $6.00 per share, exercised their warrants for an aggregate exercise price of $6.0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September 30, 2017, we had working capital of $6.0 million, compared to working capital of $6.2 million as of December 31, 2016. We expect our expenses to continue at a similar pace during the remainder of 2017 and into 2018 primarily to continue funding our in-process Phase II clinical trials. Two of our clinical studies are expected to be funded by a total of $17.1 million of grants made by the DOD to the Mayo Clinic. Our collaborators at Mayo Clinic announced a $3.8 million grant which we expect would fully fund a Phase II clinical trial in DCIS that we had planned for our HER2/neu vaccine.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capital requirements for 2017 and through and beyond 2018 will depend on numerous factors, including the success of our research and development, the resources we devote to develop and support our technologies and our success in pursuing strategic licensing and funded product development collaborations with external partners as well as other strategic initiatives we may determine to pursue. Subject to our ability to raise additional capital, we expect to incur substantial expenditures to further develop our technologies including continued increases in costs related to research, nonclinical testing and clinical studies and trials, as well as costs associated with our capital raising efforts and being a public company.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We believe our existing cash will fund our operations into the third quarter of fiscal 2018. We will require substantial additional capital to conduct research and development, to fund nonclinical testing and Phase II clinical trials of our licensed, patented technologies, and to begin cultivating collaborative relationships for the Phase II and future Phase III clinical testing. Our plans could include seeking both equity and debt financing, alliances or other partnership agreements with entities interested in our technologies, or other business transactions that could generate sufficient resources to ensure continuation of our operations and research and development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holders of our common stock and could contain covenants that could restrict our operations. We also will require additional capital beyond our currently forecasted amounts.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181" w:lineRule="exact"/>
        <w:rPr>
          <w:sz w:val="20"/>
          <w:szCs w:val="20"/>
          <w:color w:val="auto"/>
        </w:rPr>
      </w:pPr>
    </w:p>
    <w:p>
      <w:pPr>
        <w:ind w:left="880" w:hanging="31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880" w:hanging="318"/>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 including the research and development expenditures we expect to make in connection with our license agreements with Mayo Foundation;</w:t>
      </w:r>
    </w:p>
    <w:p>
      <w:pPr>
        <w:spacing w:after="0" w:line="146" w:lineRule="exact"/>
        <w:rPr>
          <w:rFonts w:ascii="Arial" w:cs="Arial" w:eastAsia="Arial" w:hAnsi="Arial"/>
          <w:sz w:val="17"/>
          <w:szCs w:val="17"/>
          <w:color w:val="auto"/>
        </w:rPr>
      </w:pPr>
    </w:p>
    <w:p>
      <w:pPr>
        <w:ind w:left="880" w:hanging="31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transactions we may undertake;</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and collaborations, licensing or other arrangements and the financial terms of such agreements;</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achieve our milestones under our licensing arrangements and the payment obligations we may have under such agreements;</w:t>
      </w:r>
    </w:p>
    <w:p>
      <w:pPr>
        <w:spacing w:after="0" w:line="236" w:lineRule="exact"/>
        <w:rPr>
          <w:rFonts w:ascii="Arial" w:cs="Arial" w:eastAsia="Arial" w:hAnsi="Arial"/>
          <w:sz w:val="17"/>
          <w:szCs w:val="17"/>
          <w:color w:val="auto"/>
        </w:rPr>
      </w:pPr>
    </w:p>
    <w:p>
      <w:pPr>
        <w:ind w:left="880" w:hanging="318"/>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conditions outside of our control may detract from our ability to raise additional capital needed to execute our plan of operations, including overall market conditions in the international and local economies. Any of these factors could have a material impact upon our ability to raise financing and, as a result, upon our short-term or long-term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report prepared by our independent registered public accounting firm relating to our consolidated financial statements for the year ended December 31, 2016 included an explanatory paragraph expressing substantial doubt about our ability to continue as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2017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aware of any material legal proceedings and there are no pending material procedures that would affect the property of the Company. Management is not aware of any legal proceedings contemplated by any government authority or any other party involving the Company. As of the date of this Quarterly Report, no director, officer or affiliate is (i) a party adverse to us in any legal proceeding, or (ii) has an adverse interest to us in any legal proceeding.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risk factors, see Item 1.A.-“Risk Factors” in our Annual Report on Form 10-K for the year ended December 31, 2016 filed on March 14, 2017.</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60" w:hanging="352"/>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issued the following unrestricted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August 15, 2017, we issued 15,000 shares of common stock to Omnicor Media pursuant to a vendor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29, 2017, we issued 13,115 shares of common stock to each of our non-employee directors: Sherry Grisewood, Frederick Wasserman, Mark Reddish, David Laskow-Pooley and Joshua Silverman pursuant to our Board compensation plan.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22, 2017, we issued 250,000 shares of common stock to Peter L. Hoang pursuant to an employment agreement. 70,289 shares of common stock were withheld to satisfy certain payroll liabilities applicable to the award.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22, 2017, we issued 100,000 shares of common stock to Glynn Wilson pursuant to an employment agreement. 27,350 shares of common stock were withheld to satisfy certain payroll liabilities applicable to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September 25, 2017, we issued 15,000 shares of common stock to Omnicor Media pursuant to a vendor agreement.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Exhibit</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11"/>
          </w:tcPr>
          <w:p>
            <w:pPr>
              <w:jc w:val="center"/>
              <w:ind w:right="420"/>
              <w:spacing w:after="0"/>
              <w:rPr>
                <w:sz w:val="20"/>
                <w:szCs w:val="20"/>
                <w:color w:val="auto"/>
              </w:rPr>
            </w:pPr>
            <w:r>
              <w:rPr>
                <w:rFonts w:ascii="Arial" w:cs="Arial" w:eastAsia="Arial" w:hAnsi="Arial"/>
                <w:sz w:val="18"/>
                <w:szCs w:val="18"/>
                <w:b w:val="1"/>
                <w:bCs w:val="1"/>
                <w:color w:val="auto"/>
                <w:w w:val="90"/>
              </w:rPr>
              <w:t>Incorporated by Reference</w:t>
            </w:r>
          </w:p>
        </w:tc>
        <w:tc>
          <w:tcPr>
            <w:tcW w:w="220" w:type="dxa"/>
            <w:vAlign w:val="bottom"/>
          </w:tcPr>
          <w:p>
            <w:pPr>
              <w:spacing w:after="0"/>
              <w:rPr>
                <w:sz w:val="20"/>
                <w:szCs w:val="20"/>
                <w:color w:val="auto"/>
              </w:rPr>
            </w:pPr>
          </w:p>
        </w:tc>
        <w:tc>
          <w:tcPr>
            <w:tcW w:w="80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5"/>
              </w:rPr>
              <w:t>Filing</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8"/>
        </w:trPr>
        <w:tc>
          <w:tcPr>
            <w:tcW w:w="1280" w:type="dxa"/>
            <w:vAlign w:val="bottom"/>
            <w:gridSpan w:val="6"/>
            <w:vMerge w:val="continue"/>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gridSpan w:val="6"/>
          </w:tcPr>
          <w:p>
            <w:pPr>
              <w:spacing w:after="0"/>
              <w:rPr>
                <w:sz w:val="20"/>
                <w:szCs w:val="20"/>
                <w:color w:val="auto"/>
              </w:rPr>
            </w:pPr>
            <w:r>
              <w:rPr>
                <w:rFonts w:ascii="Arial" w:cs="Arial" w:eastAsia="Arial" w:hAnsi="Arial"/>
                <w:sz w:val="18"/>
                <w:szCs w:val="18"/>
                <w:b w:val="1"/>
                <w:bCs w:val="1"/>
                <w:color w:val="auto"/>
              </w:rPr>
              <w:t>number</w:t>
            </w:r>
          </w:p>
        </w:tc>
        <w:tc>
          <w:tcPr>
            <w:tcW w:w="620" w:type="dxa"/>
            <w:vAlign w:val="bottom"/>
          </w:tcPr>
          <w:p>
            <w:pPr>
              <w:spacing w:after="0"/>
              <w:rPr>
                <w:sz w:val="20"/>
                <w:szCs w:val="20"/>
                <w:color w:val="auto"/>
              </w:rPr>
            </w:pPr>
          </w:p>
        </w:tc>
        <w:tc>
          <w:tcPr>
            <w:tcW w:w="4520" w:type="dxa"/>
            <w:vAlign w:val="bottom"/>
            <w:gridSpan w:val="10"/>
          </w:tcPr>
          <w:p>
            <w:pPr>
              <w:ind w:left="1120"/>
              <w:spacing w:after="0"/>
              <w:rPr>
                <w:sz w:val="20"/>
                <w:szCs w:val="20"/>
                <w:color w:val="auto"/>
              </w:rPr>
            </w:pPr>
            <w:r>
              <w:rPr>
                <w:rFonts w:ascii="Arial" w:cs="Arial" w:eastAsia="Arial" w:hAnsi="Arial"/>
                <w:sz w:val="18"/>
                <w:szCs w:val="18"/>
                <w:b w:val="1"/>
                <w:bCs w:val="1"/>
                <w:color w:val="auto"/>
              </w:rPr>
              <w:t>Exhibit description</w:t>
            </w:r>
          </w:p>
        </w:tc>
        <w:tc>
          <w:tcPr>
            <w:tcW w:w="1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7"/>
              </w:rPr>
              <w:t>Form</w:t>
            </w:r>
          </w:p>
        </w:tc>
        <w:tc>
          <w:tcPr>
            <w:tcW w:w="80" w:type="dxa"/>
            <w:vAlign w:val="bottom"/>
          </w:tcPr>
          <w:p>
            <w:pPr>
              <w:spacing w:after="0"/>
              <w:rPr>
                <w:sz w:val="20"/>
                <w:szCs w:val="20"/>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File no.</w:t>
            </w:r>
          </w:p>
        </w:tc>
        <w:tc>
          <w:tcPr>
            <w:tcW w:w="102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date</w:t>
            </w:r>
          </w:p>
        </w:tc>
        <w:tc>
          <w:tcPr>
            <w:tcW w:w="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tcBorders>
          </w:tcPr>
          <w:p>
            <w:pPr>
              <w:spacing w:after="0" w:line="170" w:lineRule="exact"/>
              <w:rPr>
                <w:rFonts w:ascii="Arial" w:cs="Arial" w:eastAsia="Arial" w:hAnsi="Arial"/>
                <w:sz w:val="18"/>
                <w:szCs w:val="18"/>
                <w:color w:val="0000EE"/>
                <w:w w:val="79"/>
              </w:rPr>
            </w:pPr>
            <w:hyperlink r:id="rId5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0" w:type="dxa"/>
            <w:vAlign w:val="bottom"/>
            <w:tcBorders>
              <w:top w:val="single" w:sz="8" w:color="auto"/>
            </w:tcBorders>
            <w:gridSpan w:val="6"/>
          </w:tcPr>
          <w:p>
            <w:pPr>
              <w:spacing w:after="0" w:line="170"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Amendment to Amended and Restated Bylaws of TapImmune Inc.</w:t>
              </w:r>
            </w:hyperlink>
          </w:p>
        </w:tc>
        <w:tc>
          <w:tcPr>
            <w:tcW w:w="240" w:type="dxa"/>
            <w:vAlign w:val="bottom"/>
            <w:tcBorders>
              <w:top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gridSpan w:val="3"/>
          </w:tcPr>
          <w:p>
            <w:pPr>
              <w:jc w:val="center"/>
              <w:spacing w:after="0" w:line="170" w:lineRule="exact"/>
              <w:rPr>
                <w:rFonts w:ascii="Arial" w:cs="Arial" w:eastAsia="Arial" w:hAnsi="Arial"/>
                <w:sz w:val="18"/>
                <w:szCs w:val="18"/>
                <w:b w:val="1"/>
                <w:bCs w:val="1"/>
                <w:color w:val="0000EE"/>
                <w:w w:val="96"/>
              </w:rPr>
            </w:pPr>
            <w:hyperlink r:id="rId53">
              <w:r>
                <w:rPr>
                  <w:rFonts w:ascii="Arial" w:cs="Arial" w:eastAsia="Arial" w:hAnsi="Arial"/>
                  <w:sz w:val="18"/>
                  <w:szCs w:val="18"/>
                  <w:b w:val="1"/>
                  <w:bCs w:val="1"/>
                  <w:color w:val="0000EE"/>
                  <w:w w:val="96"/>
                </w:rPr>
                <w:t>8-K</w:t>
              </w:r>
            </w:hyperlink>
          </w:p>
        </w:tc>
        <w:tc>
          <w:tcPr>
            <w:tcW w:w="120" w:type="dxa"/>
            <w:vAlign w:val="bottom"/>
          </w:tcPr>
          <w:p>
            <w:pPr>
              <w:spacing w:after="0"/>
              <w:rPr>
                <w:sz w:val="14"/>
                <w:szCs w:val="14"/>
                <w:color w:val="auto"/>
              </w:rPr>
            </w:pPr>
          </w:p>
        </w:tc>
        <w:tc>
          <w:tcPr>
            <w:tcW w:w="860" w:type="dxa"/>
            <w:vAlign w:val="bottom"/>
            <w:tcBorders>
              <w:top w:val="single" w:sz="8" w:color="auto"/>
            </w:tcBorders>
            <w:gridSpan w:val="2"/>
          </w:tcPr>
          <w:p>
            <w:pPr>
              <w:jc w:val="center"/>
              <w:spacing w:after="0" w:line="170" w:lineRule="exact"/>
              <w:rPr>
                <w:rFonts w:ascii="Arial" w:cs="Arial" w:eastAsia="Arial" w:hAnsi="Arial"/>
                <w:sz w:val="18"/>
                <w:szCs w:val="18"/>
                <w:b w:val="1"/>
                <w:bCs w:val="1"/>
                <w:color w:val="0000EE"/>
                <w:w w:val="90"/>
              </w:rPr>
            </w:pPr>
            <w:hyperlink r:id="rId53">
              <w:r>
                <w:rPr>
                  <w:rFonts w:ascii="Arial" w:cs="Arial" w:eastAsia="Arial" w:hAnsi="Arial"/>
                  <w:sz w:val="18"/>
                  <w:szCs w:val="18"/>
                  <w:b w:val="1"/>
                  <w:bCs w:val="1"/>
                  <w:color w:val="0000EE"/>
                  <w:w w:val="90"/>
                </w:rPr>
                <w:t>001-37939</w:t>
              </w:r>
            </w:hyperlink>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gridSpan w:val="2"/>
          </w:tcPr>
          <w:p>
            <w:pPr>
              <w:jc w:val="center"/>
              <w:ind w:left="250"/>
              <w:spacing w:after="0" w:line="170" w:lineRule="exact"/>
              <w:rPr>
                <w:rFonts w:ascii="Arial" w:cs="Arial" w:eastAsia="Arial" w:hAnsi="Arial"/>
                <w:sz w:val="18"/>
                <w:szCs w:val="18"/>
                <w:b w:val="1"/>
                <w:bCs w:val="1"/>
                <w:color w:val="0000EE"/>
                <w:w w:val="95"/>
              </w:rPr>
            </w:pPr>
            <w:hyperlink r:id="rId53">
              <w:r>
                <w:rPr>
                  <w:rFonts w:ascii="Arial" w:cs="Arial" w:eastAsia="Arial" w:hAnsi="Arial"/>
                  <w:sz w:val="18"/>
                  <w:szCs w:val="18"/>
                  <w:b w:val="1"/>
                  <w:bCs w:val="1"/>
                  <w:color w:val="0000EE"/>
                  <w:w w:val="95"/>
                </w:rPr>
                <w:t>3.</w:t>
              </w:r>
              <w:r>
                <w:rPr>
                  <w:rFonts w:ascii="Arial" w:cs="Arial" w:eastAsia="Arial" w:hAnsi="Arial"/>
                  <w:sz w:val="18"/>
                  <w:szCs w:val="18"/>
                  <w:b w:val="1"/>
                  <w:bCs w:val="1"/>
                  <w:u w:val="single" w:color="auto"/>
                  <w:color w:val="0000EE"/>
                  <w:w w:val="95"/>
                </w:rPr>
                <w:t>1</w:t>
              </w:r>
            </w:hyperlink>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jc w:val="center"/>
              <w:ind w:left="50"/>
              <w:spacing w:after="0" w:line="170" w:lineRule="exact"/>
              <w:rPr>
                <w:rFonts w:ascii="Arial" w:cs="Arial" w:eastAsia="Arial" w:hAnsi="Arial"/>
                <w:sz w:val="18"/>
                <w:szCs w:val="18"/>
                <w:b w:val="1"/>
                <w:bCs w:val="1"/>
                <w:color w:val="0000EE"/>
                <w:w w:val="89"/>
              </w:rPr>
            </w:pPr>
            <w:hyperlink r:id="rId53">
              <w:r>
                <w:rPr>
                  <w:rFonts w:ascii="Arial" w:cs="Arial" w:eastAsia="Arial" w:hAnsi="Arial"/>
                  <w:sz w:val="18"/>
                  <w:szCs w:val="18"/>
                  <w:b w:val="1"/>
                  <w:bCs w:val="1"/>
                  <w:color w:val="0000EE"/>
                  <w:w w:val="89"/>
                </w:rPr>
                <w:t>7/11/17</w:t>
              </w:r>
            </w:hyperlink>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2014 Omnibus Stock Ownership Plan, as amended through August</w:t>
              </w:r>
            </w:hyperlink>
          </w:p>
        </w:tc>
        <w:tc>
          <w:tcPr>
            <w:tcW w:w="1040" w:type="dxa"/>
            <w:vAlign w:val="bottom"/>
            <w:gridSpan w:val="4"/>
          </w:tcPr>
          <w:p>
            <w:pPr>
              <w:jc w:val="center"/>
              <w:ind w:right="120"/>
              <w:spacing w:after="0" w:line="196" w:lineRule="exact"/>
              <w:rPr>
                <w:rFonts w:ascii="Arial" w:cs="Arial" w:eastAsia="Arial" w:hAnsi="Arial"/>
                <w:sz w:val="18"/>
                <w:szCs w:val="18"/>
                <w:b w:val="1"/>
                <w:bCs w:val="1"/>
                <w:color w:val="0000EE"/>
                <w:w w:val="96"/>
              </w:rPr>
            </w:pPr>
            <w:hyperlink r:id="rId54">
              <w:r>
                <w:rPr>
                  <w:rFonts w:ascii="Arial" w:cs="Arial" w:eastAsia="Arial" w:hAnsi="Arial"/>
                  <w:sz w:val="18"/>
                  <w:szCs w:val="18"/>
                  <w:b w:val="1"/>
                  <w:bCs w:val="1"/>
                  <w:color w:val="0000EE"/>
                  <w:w w:val="96"/>
                </w:rPr>
                <w:t>8-K</w:t>
              </w:r>
            </w:hyperlink>
          </w:p>
        </w:tc>
        <w:tc>
          <w:tcPr>
            <w:tcW w:w="860" w:type="dxa"/>
            <w:vAlign w:val="bottom"/>
            <w:gridSpan w:val="2"/>
          </w:tcPr>
          <w:p>
            <w:pPr>
              <w:jc w:val="center"/>
              <w:spacing w:after="0" w:line="196" w:lineRule="exact"/>
              <w:rPr>
                <w:rFonts w:ascii="Arial" w:cs="Arial" w:eastAsia="Arial" w:hAnsi="Arial"/>
                <w:sz w:val="18"/>
                <w:szCs w:val="18"/>
                <w:b w:val="1"/>
                <w:bCs w:val="1"/>
                <w:color w:val="0000EE"/>
                <w:w w:val="90"/>
              </w:rPr>
            </w:pPr>
            <w:hyperlink r:id="rId54">
              <w:r>
                <w:rPr>
                  <w:rFonts w:ascii="Arial" w:cs="Arial" w:eastAsia="Arial" w:hAnsi="Arial"/>
                  <w:sz w:val="18"/>
                  <w:szCs w:val="18"/>
                  <w:b w:val="1"/>
                  <w:bCs w:val="1"/>
                  <w:color w:val="0000EE"/>
                  <w:w w:val="90"/>
                </w:rPr>
                <w:t>001-37939</w:t>
              </w:r>
            </w:hyperlink>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spacing w:after="0" w:line="196" w:lineRule="exact"/>
              <w:rPr>
                <w:rFonts w:ascii="Arial" w:cs="Arial" w:eastAsia="Arial" w:hAnsi="Arial"/>
                <w:sz w:val="18"/>
                <w:szCs w:val="18"/>
                <w:b w:val="1"/>
                <w:bCs w:val="1"/>
                <w:color w:val="0000EE"/>
                <w:w w:val="91"/>
              </w:rPr>
            </w:pPr>
            <w:hyperlink r:id="rId54">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1</w:t>
              </w:r>
            </w:hyperlink>
          </w:p>
        </w:tc>
        <w:tc>
          <w:tcPr>
            <w:tcW w:w="100" w:type="dxa"/>
            <w:vAlign w:val="bottom"/>
          </w:tcPr>
          <w:p>
            <w:pPr>
              <w:spacing w:after="0"/>
              <w:rPr>
                <w:sz w:val="17"/>
                <w:szCs w:val="17"/>
                <w:color w:val="auto"/>
              </w:rPr>
            </w:pPr>
          </w:p>
        </w:tc>
        <w:tc>
          <w:tcPr>
            <w:tcW w:w="680" w:type="dxa"/>
            <w:vAlign w:val="bottom"/>
            <w:gridSpan w:val="2"/>
          </w:tcPr>
          <w:p>
            <w:pPr>
              <w:jc w:val="center"/>
              <w:ind w:left="130"/>
              <w:spacing w:after="0" w:line="196" w:lineRule="exact"/>
              <w:rPr>
                <w:rFonts w:ascii="Arial" w:cs="Arial" w:eastAsia="Arial" w:hAnsi="Arial"/>
                <w:sz w:val="18"/>
                <w:szCs w:val="18"/>
                <w:b w:val="1"/>
                <w:bCs w:val="1"/>
                <w:color w:val="0000EE"/>
                <w:w w:val="91"/>
              </w:rPr>
            </w:pPr>
            <w:hyperlink r:id="rId54">
              <w:r>
                <w:rPr>
                  <w:rFonts w:ascii="Arial" w:cs="Arial" w:eastAsia="Arial" w:hAnsi="Arial"/>
                  <w:sz w:val="18"/>
                  <w:szCs w:val="18"/>
                  <w:b w:val="1"/>
                  <w:bCs w:val="1"/>
                  <w:color w:val="0000EE"/>
                  <w:w w:val="91"/>
                </w:rPr>
                <w:t>9/5/17</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54">
              <w:r>
                <w:rPr>
                  <w:rFonts w:ascii="Arial" w:cs="Arial" w:eastAsia="Arial" w:hAnsi="Arial"/>
                  <w:sz w:val="18"/>
                  <w:szCs w:val="18"/>
                  <w:color w:val="0000EE"/>
                  <w:w w:val="85"/>
                </w:rPr>
                <w:t>29, 2017</w:t>
              </w:r>
            </w:hyperlink>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vMerge w:val="restart"/>
          </w:tcPr>
          <w:p>
            <w:pPr>
              <w:jc w:val="center"/>
              <w:ind w:right="120"/>
              <w:spacing w:after="0"/>
              <w:rPr>
                <w:rFonts w:ascii="Arial" w:cs="Arial" w:eastAsia="Arial" w:hAnsi="Arial"/>
                <w:sz w:val="18"/>
                <w:szCs w:val="18"/>
                <w:b w:val="1"/>
                <w:bCs w:val="1"/>
                <w:color w:val="0000EE"/>
                <w:w w:val="96"/>
              </w:rPr>
            </w:pPr>
            <w:hyperlink r:id="rId55">
              <w:r>
                <w:rPr>
                  <w:rFonts w:ascii="Arial" w:cs="Arial" w:eastAsia="Arial" w:hAnsi="Arial"/>
                  <w:sz w:val="18"/>
                  <w:szCs w:val="18"/>
                  <w:b w:val="1"/>
                  <w:bCs w:val="1"/>
                  <w:color w:val="0000EE"/>
                  <w:w w:val="96"/>
                </w:rPr>
                <w:t>8-K</w:t>
              </w:r>
            </w:hyperlink>
          </w:p>
        </w:tc>
        <w:tc>
          <w:tcPr>
            <w:tcW w:w="860" w:type="dxa"/>
            <w:vAlign w:val="bottom"/>
            <w:gridSpan w:val="2"/>
            <w:vMerge w:val="restart"/>
          </w:tcPr>
          <w:p>
            <w:pPr>
              <w:jc w:val="center"/>
              <w:spacing w:after="0"/>
              <w:rPr>
                <w:rFonts w:ascii="Arial" w:cs="Arial" w:eastAsia="Arial" w:hAnsi="Arial"/>
                <w:sz w:val="18"/>
                <w:szCs w:val="18"/>
                <w:b w:val="1"/>
                <w:bCs w:val="1"/>
                <w:color w:val="0000EE"/>
                <w:w w:val="90"/>
              </w:rPr>
            </w:pPr>
            <w:hyperlink r:id="rId55">
              <w:r>
                <w:rPr>
                  <w:rFonts w:ascii="Arial" w:cs="Arial" w:eastAsia="Arial" w:hAnsi="Arial"/>
                  <w:sz w:val="18"/>
                  <w:szCs w:val="18"/>
                  <w:b w:val="1"/>
                  <w:bCs w:val="1"/>
                  <w:color w:val="0000EE"/>
                  <w:w w:val="90"/>
                </w:rPr>
                <w:t>001-37939</w:t>
              </w:r>
            </w:hyperlink>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vMerge w:val="restart"/>
          </w:tcPr>
          <w:p>
            <w:pPr>
              <w:jc w:val="center"/>
              <w:spacing w:after="0"/>
              <w:rPr>
                <w:rFonts w:ascii="Arial" w:cs="Arial" w:eastAsia="Arial" w:hAnsi="Arial"/>
                <w:sz w:val="18"/>
                <w:szCs w:val="18"/>
                <w:b w:val="1"/>
                <w:bCs w:val="1"/>
                <w:color w:val="0000EE"/>
                <w:w w:val="91"/>
              </w:rPr>
            </w:pPr>
            <w:hyperlink r:id="rId55">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1</w:t>
              </w:r>
            </w:hyperlink>
          </w:p>
        </w:tc>
        <w:tc>
          <w:tcPr>
            <w:tcW w:w="100" w:type="dxa"/>
            <w:vAlign w:val="bottom"/>
          </w:tcPr>
          <w:p>
            <w:pPr>
              <w:spacing w:after="0"/>
              <w:rPr>
                <w:sz w:val="17"/>
                <w:szCs w:val="17"/>
                <w:color w:val="auto"/>
              </w:rPr>
            </w:pPr>
          </w:p>
        </w:tc>
        <w:tc>
          <w:tcPr>
            <w:tcW w:w="900" w:type="dxa"/>
            <w:vAlign w:val="bottom"/>
            <w:gridSpan w:val="3"/>
            <w:vMerge w:val="restart"/>
          </w:tcPr>
          <w:p>
            <w:pPr>
              <w:jc w:val="center"/>
              <w:spacing w:after="0"/>
              <w:rPr>
                <w:rFonts w:ascii="Arial" w:cs="Arial" w:eastAsia="Arial" w:hAnsi="Arial"/>
                <w:sz w:val="18"/>
                <w:szCs w:val="18"/>
                <w:b w:val="1"/>
                <w:bCs w:val="1"/>
                <w:color w:val="0000EE"/>
                <w:w w:val="89"/>
              </w:rPr>
            </w:pPr>
            <w:hyperlink r:id="rId55">
              <w:r>
                <w:rPr>
                  <w:rFonts w:ascii="Arial" w:cs="Arial" w:eastAsia="Arial" w:hAnsi="Arial"/>
                  <w:sz w:val="18"/>
                  <w:szCs w:val="18"/>
                  <w:b w:val="1"/>
                  <w:bCs w:val="1"/>
                  <w:color w:val="0000EE"/>
                  <w:w w:val="89"/>
                </w:rPr>
                <w:t>9/25/17</w:t>
              </w:r>
            </w:hyperlink>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Employment Agreement of Peter Hoang</w:t>
              </w:r>
            </w:hyperlink>
          </w:p>
        </w:tc>
        <w:tc>
          <w:tcPr>
            <w:tcW w:w="1040" w:type="dxa"/>
            <w:vAlign w:val="bottom"/>
            <w:gridSpan w:val="4"/>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5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Amendment No. 2 to Employment Agreement of Glynn Wilson</w:t>
              </w:r>
            </w:hyperlink>
          </w:p>
        </w:tc>
        <w:tc>
          <w:tcPr>
            <w:tcW w:w="1040" w:type="dxa"/>
            <w:vAlign w:val="bottom"/>
            <w:gridSpan w:val="4"/>
          </w:tcPr>
          <w:p>
            <w:pPr>
              <w:jc w:val="center"/>
              <w:ind w:right="120"/>
              <w:spacing w:after="0" w:line="196" w:lineRule="exact"/>
              <w:rPr>
                <w:rFonts w:ascii="Arial" w:cs="Arial" w:eastAsia="Arial" w:hAnsi="Arial"/>
                <w:sz w:val="18"/>
                <w:szCs w:val="18"/>
                <w:b w:val="1"/>
                <w:bCs w:val="1"/>
                <w:color w:val="0000EE"/>
                <w:w w:val="96"/>
              </w:rPr>
            </w:pPr>
            <w:hyperlink r:id="rId56">
              <w:r>
                <w:rPr>
                  <w:rFonts w:ascii="Arial" w:cs="Arial" w:eastAsia="Arial" w:hAnsi="Arial"/>
                  <w:sz w:val="18"/>
                  <w:szCs w:val="18"/>
                  <w:b w:val="1"/>
                  <w:bCs w:val="1"/>
                  <w:color w:val="0000EE"/>
                  <w:w w:val="96"/>
                </w:rPr>
                <w:t>8-K</w:t>
              </w:r>
            </w:hyperlink>
          </w:p>
        </w:tc>
        <w:tc>
          <w:tcPr>
            <w:tcW w:w="860" w:type="dxa"/>
            <w:vAlign w:val="bottom"/>
            <w:gridSpan w:val="2"/>
          </w:tcPr>
          <w:p>
            <w:pPr>
              <w:jc w:val="center"/>
              <w:spacing w:after="0" w:line="196" w:lineRule="exact"/>
              <w:rPr>
                <w:rFonts w:ascii="Arial" w:cs="Arial" w:eastAsia="Arial" w:hAnsi="Arial"/>
                <w:sz w:val="18"/>
                <w:szCs w:val="18"/>
                <w:b w:val="1"/>
                <w:bCs w:val="1"/>
                <w:color w:val="0000EE"/>
                <w:w w:val="90"/>
              </w:rPr>
            </w:pPr>
            <w:hyperlink r:id="rId56">
              <w:r>
                <w:rPr>
                  <w:rFonts w:ascii="Arial" w:cs="Arial" w:eastAsia="Arial" w:hAnsi="Arial"/>
                  <w:sz w:val="18"/>
                  <w:szCs w:val="18"/>
                  <w:b w:val="1"/>
                  <w:bCs w:val="1"/>
                  <w:color w:val="0000EE"/>
                  <w:w w:val="90"/>
                </w:rPr>
                <w:t>001-37939</w:t>
              </w:r>
            </w:hyperlink>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spacing w:after="0" w:line="196" w:lineRule="exact"/>
              <w:rPr>
                <w:rFonts w:ascii="Arial" w:cs="Arial" w:eastAsia="Arial" w:hAnsi="Arial"/>
                <w:sz w:val="18"/>
                <w:szCs w:val="18"/>
                <w:b w:val="1"/>
                <w:bCs w:val="1"/>
                <w:color w:val="0000EE"/>
                <w:w w:val="91"/>
              </w:rPr>
            </w:pPr>
            <w:hyperlink r:id="rId56">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2</w:t>
              </w:r>
            </w:hyperlink>
          </w:p>
        </w:tc>
        <w:tc>
          <w:tcPr>
            <w:tcW w:w="100" w:type="dxa"/>
            <w:vAlign w:val="bottom"/>
          </w:tcPr>
          <w:p>
            <w:pPr>
              <w:spacing w:after="0"/>
              <w:rPr>
                <w:sz w:val="17"/>
                <w:szCs w:val="17"/>
                <w:color w:val="auto"/>
              </w:rPr>
            </w:pPr>
          </w:p>
        </w:tc>
        <w:tc>
          <w:tcPr>
            <w:tcW w:w="900" w:type="dxa"/>
            <w:vAlign w:val="bottom"/>
            <w:gridSpan w:val="3"/>
          </w:tcPr>
          <w:p>
            <w:pPr>
              <w:jc w:val="center"/>
              <w:spacing w:after="0" w:line="196" w:lineRule="exact"/>
              <w:rPr>
                <w:rFonts w:ascii="Arial" w:cs="Arial" w:eastAsia="Arial" w:hAnsi="Arial"/>
                <w:sz w:val="18"/>
                <w:szCs w:val="18"/>
                <w:b w:val="1"/>
                <w:bCs w:val="1"/>
                <w:color w:val="0000EE"/>
                <w:w w:val="89"/>
              </w:rPr>
            </w:pPr>
            <w:hyperlink r:id="rId56">
              <w:r>
                <w:rPr>
                  <w:rFonts w:ascii="Arial" w:cs="Arial" w:eastAsia="Arial" w:hAnsi="Arial"/>
                  <w:sz w:val="18"/>
                  <w:szCs w:val="18"/>
                  <w:b w:val="1"/>
                  <w:bCs w:val="1"/>
                  <w:color w:val="0000EE"/>
                  <w:w w:val="89"/>
                </w:rPr>
                <w:t>9/25/17</w:t>
              </w:r>
            </w:hyperlink>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restart"/>
          </w:tcPr>
          <w:p>
            <w:pPr>
              <w:jc w:val="center"/>
              <w:ind w:right="38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X</w:t>
              </w:r>
            </w:hyperlink>
          </w:p>
        </w:tc>
        <w:tc>
          <w:tcPr>
            <w:tcW w:w="0" w:type="dxa"/>
            <w:vAlign w:val="bottom"/>
          </w:tcPr>
          <w:p>
            <w:pPr>
              <w:spacing w:after="0"/>
              <w:rPr>
                <w:sz w:val="1"/>
                <w:szCs w:val="1"/>
                <w:color w:val="auto"/>
              </w:rPr>
            </w:pP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gridSpan w:val="3"/>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Certification of Chief Executive Officer Pursuant to Rule 13a-14(a)</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or 15d-14(a) of the Securities Exchange Act of 1933, as amended.</w:t>
              </w:r>
            </w:hyperlink>
          </w:p>
        </w:tc>
        <w:tc>
          <w:tcPr>
            <w:tcW w:w="80" w:type="dxa"/>
            <w:vAlign w:val="bottom"/>
            <w:tcBorders>
              <w:top w:val="single" w:sz="8" w:color="0000EE"/>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0000EE"/>
              <w:bottom w:val="single" w:sz="8" w:color="0000EE"/>
            </w:tcBorders>
            <w:vMerge w:val="restart"/>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X</w:t>
              </w:r>
            </w:hyperlink>
          </w:p>
        </w:tc>
        <w:tc>
          <w:tcPr>
            <w:tcW w:w="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gridSpan w:val="3"/>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Chief Financial Officer and Chief Accounting Officer</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Pursuant to Rule 13a-14(a) or 15d-14(a) of the Securities Exchange</w:t>
              </w:r>
            </w:hyperlink>
          </w:p>
        </w:tc>
        <w:tc>
          <w:tcPr>
            <w:tcW w:w="1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Act of 1933, as amended</w:t>
              </w:r>
            </w:hyperlink>
          </w:p>
        </w:tc>
        <w:tc>
          <w:tcPr>
            <w:tcW w:w="3060" w:type="dxa"/>
            <w:vAlign w:val="bottom"/>
            <w:tcBorders>
              <w:top w:val="single" w:sz="8" w:color="0000EE"/>
            </w:tcBorders>
            <w:gridSpan w:val="5"/>
          </w:tcPr>
          <w:p>
            <w:pPr>
              <w:spacing w:after="0"/>
              <w:rPr>
                <w:sz w:val="17"/>
                <w:szCs w:val="17"/>
                <w:color w:val="auto"/>
              </w:rPr>
            </w:pPr>
          </w:p>
        </w:tc>
        <w:tc>
          <w:tcPr>
            <w:tcW w:w="28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restart"/>
          </w:tcPr>
          <w:p>
            <w:pPr>
              <w:jc w:val="center"/>
              <w:ind w:right="38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X</w:t>
              </w:r>
            </w:hyperlink>
          </w:p>
        </w:tc>
        <w:tc>
          <w:tcPr>
            <w:tcW w:w="0" w:type="dxa"/>
            <w:vAlign w:val="bottom"/>
          </w:tcPr>
          <w:p>
            <w:pPr>
              <w:spacing w:after="0"/>
              <w:rPr>
                <w:sz w:val="1"/>
                <w:szCs w:val="1"/>
                <w:color w:val="auto"/>
              </w:rPr>
            </w:pPr>
          </w:p>
        </w:tc>
      </w:tr>
      <w:tr>
        <w:trPr>
          <w:trHeight w:val="196"/>
        </w:trPr>
        <w:tc>
          <w:tcPr>
            <w:tcW w:w="320" w:type="dxa"/>
            <w:vAlign w:val="bottom"/>
            <w:gridSpan w:val="3"/>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Certification of Chief Executive Officer Pursuant to Rule 13a-14(a)</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or 15d-14(a) of the Securities Exchange Act of 1933, as amended.</w:t>
              </w:r>
            </w:hyperlink>
          </w:p>
        </w:tc>
        <w:tc>
          <w:tcPr>
            <w:tcW w:w="80" w:type="dxa"/>
            <w:vAlign w:val="bottom"/>
            <w:tcBorders>
              <w:top w:val="single" w:sz="8" w:color="0000EE"/>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0000EE"/>
              <w:bottom w:val="single" w:sz="8" w:color="0000EE"/>
            </w:tcBorders>
            <w:vMerge w:val="restart"/>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X</w:t>
              </w:r>
            </w:hyperlink>
          </w:p>
        </w:tc>
        <w:tc>
          <w:tcPr>
            <w:tcW w:w="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gridSpan w:val="3"/>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of Chief Financial Officer and Chief Principal</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Accounting Officer pursuant to 18 U.S.C. 1350 as adopted pursuant</w:t>
        </w:r>
      </w:hyperlink>
    </w:p>
    <w:p>
      <w:pPr>
        <w:spacing w:after="0" w:line="23" w:lineRule="exact"/>
        <w:rPr>
          <w:sz w:val="20"/>
          <w:szCs w:val="20"/>
          <w:color w:val="auto"/>
        </w:rPr>
      </w:pPr>
    </w:p>
    <w:p>
      <w:pPr>
        <w:ind w:left="1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to Section 906 of the Sarbanes-Oxley Act of 2002.</w:t>
        </w:r>
      </w:hyperlink>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__________</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2017.</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Hoang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and Chief Executive Officer and Principal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Accounting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Hoang,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2017 of TapImmune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November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Hoang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b w:val="1"/>
                <w:bCs w:val="1"/>
                <w:color w:val="auto"/>
              </w:rPr>
              <w:t>Peter Hoang</w:t>
            </w:r>
          </w:p>
        </w:tc>
        <w:tc>
          <w:tcPr>
            <w:tcW w:w="570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spacing w:after="0"/>
              <w:rPr>
                <w:sz w:val="20"/>
                <w:szCs w:val="20"/>
                <w:color w:val="auto"/>
              </w:rPr>
            </w:pPr>
          </w:p>
        </w:tc>
      </w:tr>
      <w:tr>
        <w:trPr>
          <w:trHeight w:val="675"/>
        </w:trPr>
        <w:tc>
          <w:tcPr>
            <w:tcW w:w="5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2017 of TapImmune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November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b w:val="1"/>
                <w:bCs w:val="1"/>
                <w:color w:val="auto"/>
              </w:rPr>
              <w:t>Michael J. Loiacono</w:t>
            </w:r>
          </w:p>
        </w:tc>
        <w:tc>
          <w:tcPr>
            <w:tcW w:w="570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5700" w:type="dxa"/>
            <w:vAlign w:val="bottom"/>
          </w:tcPr>
          <w:p>
            <w:pPr>
              <w:spacing w:after="0"/>
              <w:rPr>
                <w:sz w:val="20"/>
                <w:szCs w:val="20"/>
                <w:color w:val="auto"/>
              </w:rPr>
            </w:pPr>
          </w:p>
        </w:tc>
      </w:tr>
      <w:tr>
        <w:trPr>
          <w:trHeight w:val="675"/>
        </w:trPr>
        <w:tc>
          <w:tcPr>
            <w:tcW w:w="5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undersigned, Peter Hoang, the President and Chief Executive Officer of TapImmune Inc. (the “Company”) hereby certifies, pursuant to 18 U.S.C. Section 1350, as adopted pursuant to Section 906 of the Sarbanes-Oxley Act of 2002, that the Report on Form 10-Q of TapImmune Inc., for the quarterly period ended September 30, 2017,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Hoang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Michael J. Loiacono, the Chief Financial Officer and Chief Accounting Officer of TapImmune Inc. (the “Company”) hereby certifies, pursuant to 18 U.S.C. Section 1350, as adopted pursuant to Section 906 of the Sarbanes-Oxley Act of 2002, that the Report on Form 10-Q of TapImmune Inc., for the quarterly period ended September 30, 2017,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upperLetter"/>
      <w:start w:val="35"/>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o"/>
      <w:numFmt w:val="bullet"/>
      <w:start w:val="1"/>
    </w:lvl>
  </w:abstractNum>
  <w:abstractNum w:abstractNumId="8">
    <w:nsid w:val="140E0F76"/>
    <w:multiLevelType w:val="hybridMultilevel"/>
    <w:lvl w:ilvl="0">
      <w:lvlJc w:val="left"/>
      <w:lvlText w:val="o"/>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o"/>
      <w:numFmt w:val="bullet"/>
      <w:start w:val="1"/>
    </w:lvl>
  </w:abstractNum>
  <w:abstractNum w:abstractNumId="11">
    <w:nsid w:val="DED7263"/>
    <w:multiLevelType w:val="hybridMultilevel"/>
    <w:lvl w:ilvl="0">
      <w:lvlJc w:val="left"/>
      <w:lvlText w:val="o"/>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53" Type="http://schemas.openxmlformats.org/officeDocument/2006/relationships/hyperlink" Target="http://www.sec.gov/Archives/edgar/data/1094038/000114420417036431/v470649_ex3-1.htm" TargetMode="External"/><Relationship Id="rId54" Type="http://schemas.openxmlformats.org/officeDocument/2006/relationships/hyperlink" Target="http://www.sec.gov/Archives/edgar/data/1094038/000114420417046574/v474594_ex10-1.htm" TargetMode="External"/><Relationship Id="rId55" Type="http://schemas.openxmlformats.org/officeDocument/2006/relationships/hyperlink" Target="http://www.sec.gov/Archives/edgar/data/1094038/000114420417049357/v475675_ex10-1.htm" TargetMode="External"/><Relationship Id="rId56" Type="http://schemas.openxmlformats.org/officeDocument/2006/relationships/hyperlink" Target="http://www.sec.gov/Archives/edgar/data/1094038/000114420417049357/v475675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2020-01-18T20:16:41Z</dcterms:created>
  <dcterms:modified xsi:type="dcterms:W3CDTF">2020-01-18T20:16:41Z</dcterms:modified>
</cp:coreProperties>
</file>