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1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color w:val="auto"/>
        </w:rPr>
        <w:t>March 31, 2018</w:t>
      </w:r>
    </w:p>
    <w:p>
      <w:pPr>
        <w:spacing w:after="0" w:line="256" w:lineRule="exact"/>
        <w:rPr>
          <w:sz w:val="24"/>
          <w:szCs w:val="24"/>
          <w:color w:val="auto"/>
        </w:rPr>
      </w:pPr>
    </w:p>
    <w:p>
      <w:pPr>
        <w:ind w:left="4340" w:right="1640" w:hanging="4332"/>
        <w:spacing w:after="0" w:line="528"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-19685</wp:posOffset>
            </wp:positionV>
            <wp:extent cx="140652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22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45-4497941</w:t>
            </w:r>
          </w:p>
        </w:tc>
      </w:tr>
      <w:tr>
        <w:trPr>
          <w:trHeight w:val="230"/>
        </w:trPr>
        <w:tc>
          <w:tcPr>
            <w:tcW w:w="7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7200" w:type="dxa"/>
            <w:vAlign w:val="bottom"/>
          </w:tcPr>
          <w:p>
            <w:pPr>
              <w:jc w:val="center"/>
              <w:spacing w:after="0"/>
              <w:rPr>
                <w:sz w:val="20"/>
                <w:szCs w:val="20"/>
                <w:color w:val="auto"/>
              </w:rPr>
            </w:pPr>
            <w:r>
              <w:rPr>
                <w:rFonts w:ascii="Arial" w:cs="Arial" w:eastAsia="Arial" w:hAnsi="Arial"/>
                <w:sz w:val="18"/>
                <w:szCs w:val="18"/>
                <w:b w:val="1"/>
                <w:bCs w:val="1"/>
                <w:color w:val="auto"/>
                <w:w w:val="89"/>
              </w:rPr>
              <w:t>5 West Forsyth Street, Suite 200</w:t>
            </w: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34"/>
        </w:trPr>
        <w:tc>
          <w:tcPr>
            <w:tcW w:w="720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4220" w:type="dxa"/>
            <w:vAlign w:val="bottom"/>
            <w:gridSpan w:val="2"/>
          </w:tcPr>
          <w:p>
            <w:pPr>
              <w:jc w:val="right"/>
              <w:ind w:right="1670"/>
              <w:spacing w:after="0"/>
              <w:rPr>
                <w:sz w:val="20"/>
                <w:szCs w:val="20"/>
                <w:color w:val="auto"/>
              </w:rPr>
            </w:pPr>
            <w:r>
              <w:rPr>
                <w:rFonts w:ascii="Arial" w:cs="Arial" w:eastAsia="Arial" w:hAnsi="Arial"/>
                <w:sz w:val="18"/>
                <w:szCs w:val="18"/>
                <w:b w:val="1"/>
                <w:bCs w:val="1"/>
                <w:color w:val="auto"/>
              </w:rPr>
              <w:t>32202</w:t>
            </w:r>
          </w:p>
        </w:tc>
      </w:tr>
      <w:tr>
        <w:trPr>
          <w:trHeight w:val="224"/>
        </w:trPr>
        <w:tc>
          <w:tcPr>
            <w:tcW w:w="7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25"/>
        </w:trPr>
        <w:tc>
          <w:tcPr>
            <w:tcW w:w="7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30"/>
        </w:trPr>
        <w:tc>
          <w:tcPr>
            <w:tcW w:w="720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ectPr>
          <w:pgSz w:w="11900" w:h="16838" w:orient="portrait"/>
          <w:cols w:equalWidth="0" w:num="1">
            <w:col w:w="11420"/>
          </w:cols>
          <w:pgMar w:left="240" w:top="783"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w:t>
      </w:r>
    </w:p>
    <w:p>
      <w:pPr>
        <w:spacing w:after="0" w:line="2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w:t>
      </w:r>
    </w:p>
    <w:p>
      <w:pPr>
        <w:spacing w:after="0" w:line="211" w:lineRule="exact"/>
        <w:rPr>
          <w:sz w:val="24"/>
          <w:szCs w:val="24"/>
          <w:color w:val="auto"/>
        </w:rPr>
      </w:pPr>
    </w:p>
    <w:p>
      <w:pPr>
        <w:sectPr>
          <w:pgSz w:w="11900" w:h="16838" w:orient="portrait"/>
          <w:cols w:equalWidth="0" w:num="2">
            <w:col w:w="4960" w:space="720"/>
            <w:col w:w="5740"/>
          </w:cols>
          <w:pgMar w:left="240" w:top="783" w:right="239" w:bottom="1440" w:gutter="0" w:footer="0" w:header="0"/>
          <w:type w:val="continuous"/>
        </w:sectPr>
      </w:pPr>
    </w:p>
    <w:p>
      <w:pPr>
        <w:spacing w:after="0" w:line="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11, 2018, the Company had 10,684,516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4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2018</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4"/>
            <w:shd w:val="clear" w:color="auto" w:fill="CCEEFF"/>
          </w:tcPr>
          <w:p>
            <w:pPr>
              <w:jc w:val="center"/>
              <w:ind w:left="250"/>
              <w:spacing w:after="0" w:line="17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320" w:type="dxa"/>
            <w:vAlign w:val="bottom"/>
            <w:gridSpan w:val="3"/>
            <w:shd w:val="clear" w:color="auto" w:fill="CCEEFF"/>
          </w:tcPr>
          <w:p>
            <w:pPr>
              <w:spacing w:after="0"/>
              <w:rPr>
                <w:sz w:val="17"/>
                <w:szCs w:val="17"/>
                <w:color w:val="auto"/>
              </w:rPr>
            </w:pPr>
          </w:p>
        </w:tc>
        <w:tc>
          <w:tcPr>
            <w:tcW w:w="1820" w:type="dxa"/>
            <w:vAlign w:val="bottom"/>
            <w:gridSpan w:val="5"/>
            <w:shd w:val="clear" w:color="auto" w:fill="CCEEFF"/>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920" w:type="dxa"/>
            <w:vAlign w:val="bottom"/>
            <w:gridSpan w:val="12"/>
            <w:shd w:val="clear" w:color="auto" w:fill="CCEEFF"/>
          </w:tcPr>
          <w:p>
            <w:pPr>
              <w:spacing w:after="0"/>
              <w:rPr>
                <w:sz w:val="17"/>
                <w:szCs w:val="17"/>
                <w:color w:val="auto"/>
              </w:rPr>
            </w:pPr>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97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Signatures</w:t>
              </w:r>
            </w:hyperlink>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840" w:type="dxa"/>
            <w:vAlign w:val="bottom"/>
            <w:gridSpan w:val="6"/>
            <w:shd w:val="clear" w:color="auto" w:fill="CCEEFF"/>
          </w:tcPr>
          <w:p>
            <w:pPr>
              <w:jc w:val="cente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20" w:type="dxa"/>
            <w:vAlign w:val="bottom"/>
          </w:tcPr>
          <w:p>
            <w:pPr>
              <w:jc w:val="center"/>
              <w:ind w:left="1990"/>
              <w:spacing w:after="0"/>
              <w:rPr>
                <w:sz w:val="20"/>
                <w:szCs w:val="20"/>
                <w:color w:val="auto"/>
              </w:rPr>
            </w:pPr>
            <w:r>
              <w:rPr>
                <w:rFonts w:ascii="Arial" w:cs="Arial" w:eastAsia="Arial" w:hAnsi="Arial"/>
                <w:sz w:val="18"/>
                <w:szCs w:val="18"/>
                <w:b w:val="1"/>
                <w:bCs w:val="1"/>
                <w:color w:val="auto"/>
              </w:rPr>
              <w:t>TAPIMMUNE INC.</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520" w:type="dxa"/>
            <w:vAlign w:val="bottom"/>
          </w:tcPr>
          <w:p>
            <w:pPr>
              <w:jc w:val="center"/>
              <w:ind w:left="197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75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7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2,801,092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Prepaid expenses and deposits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129,028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2,930,120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Total assets</w:t>
            </w:r>
          </w:p>
        </w:tc>
        <w:tc>
          <w:tcPr>
            <w:tcW w:w="75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2,930,120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2,301,161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Promissory note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2,314,161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8"/>
              </w:rPr>
              <w:t>Preferred stock - $0.001 par value, 5 million shares authorized at March 31, 2018 and December 31, 2017,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w w:val="94"/>
              </w:rPr>
              <w:t>respectively</w:t>
            </w:r>
          </w:p>
        </w:tc>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Series A, $0.001 par value, 1.25 million shares designated, 0 shares issued and outstanding as of March 31, 2018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December 31, 2017,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Series B, $0.001 par value, 1.5 million shares designated, 0 shares issued and outstanding as of March 31, 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and December 31, 2017,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$0.001 par value, 41.7 million shares authorized, 10.6 million and 8.4 million shares issued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as of March 31, 2018 and December 31, 2017,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161,221,836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161,067,538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(160,616,513)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(157,420,027)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615,959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3,658,127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2,930,120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1,599,550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989,092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1,597,936</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3,197,486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2,416,885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(2,416,885)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2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(3,196,486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(2,419,885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10,622,420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8,429,595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90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right="900" w:hanging="161"/>
        <w:spacing w:after="0" w:line="255" w:lineRule="auto"/>
        <w:rPr>
          <w:sz w:val="20"/>
          <w:szCs w:val="20"/>
          <w:color w:val="auto"/>
        </w:rPr>
      </w:pPr>
      <w:r>
        <w:rPr>
          <w:rFonts w:ascii="Arial" w:cs="Arial" w:eastAsia="Arial" w:hAnsi="Arial"/>
          <w:sz w:val="18"/>
          <w:szCs w:val="18"/>
          <w:b w:val="1"/>
          <w:bCs w:val="1"/>
          <w:color w:val="auto"/>
        </w:rPr>
        <w:t xml:space="preserve">Balance at January 1, 2018 </w:t>
      </w:r>
      <w:r>
        <w:rPr>
          <w:rFonts w:ascii="Arial" w:cs="Arial" w:eastAsia="Arial" w:hAnsi="Arial"/>
          <w:sz w:val="18"/>
          <w:szCs w:val="18"/>
          <w:color w:val="auto"/>
        </w:rPr>
        <w:t>Stock options exercised for cash Stock-based compensation Net loss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March 31, 2018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040" w:type="dxa"/>
            <w:vAlign w:val="bottom"/>
            <w:gridSpan w:val="5"/>
          </w:tcPr>
          <w:p>
            <w:pPr>
              <w:ind w:left="8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5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10,615,724</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10,616</w:t>
            </w: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161,067,538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9"/>
              </w:rPr>
              <w:t>(157,420,027)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3,658,127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18,125</w:t>
            </w:r>
          </w:p>
        </w:tc>
        <w:tc>
          <w:tcPr>
            <w:tcW w:w="40" w:type="dxa"/>
            <w:vAlign w:val="bottom"/>
          </w:tcPr>
          <w:p>
            <w:pPr>
              <w:spacing w:after="0"/>
              <w:rPr>
                <w:sz w:val="18"/>
                <w:szCs w:val="18"/>
                <w:color w:val="auto"/>
              </w:rPr>
            </w:pPr>
          </w:p>
        </w:tc>
      </w:tr>
      <w:tr>
        <w:trPr>
          <w:trHeight w:val="216"/>
        </w:trPr>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10,042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136,193</w:t>
            </w:r>
          </w:p>
        </w:tc>
        <w:tc>
          <w:tcPr>
            <w:tcW w:w="40" w:type="dxa"/>
            <w:vAlign w:val="bottom"/>
          </w:tcPr>
          <w:p>
            <w:pPr>
              <w:spacing w:after="0"/>
              <w:rPr>
                <w:sz w:val="18"/>
                <w:szCs w:val="18"/>
                <w:color w:val="auto"/>
              </w:rPr>
            </w:pPr>
          </w:p>
        </w:tc>
      </w:tr>
      <w:tr>
        <w:trPr>
          <w:trHeight w:val="244"/>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(3,196,486)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(3,196,486)</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10,636,182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161,221,836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(160,616,513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615,959</w:t>
            </w:r>
          </w:p>
        </w:tc>
        <w:tc>
          <w:tcPr>
            <w:tcW w:w="4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-745490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260"/>
          </w:cols>
          <w:pgMar w:left="240" w:top="904" w:right="279" w:bottom="1440" w:gutter="0" w:footer="0" w:header="0"/>
          <w:type w:val="continuous"/>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3"/>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(3,196,486)</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(2,419,885)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Changes in fair value of warrant liabilities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Changes in operating assets and liabilities: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(77,878)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792,849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224,252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(2,346,322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(1,923,678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(1,923,678)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5,129,289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7,851,243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17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5,927,565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1991,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2018 or for any future interim period. The condensed consolidated balance sheet at March 31, 2018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2017, and notes thereto included in the Company’s annual report on Form 10-K filed on March 23,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2018, the Company had cash of approximately $2.8 million.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There can be no assurance that the Company will be successful in obtaining additional financing on favorable terms, or at all. The Company has no sources of revenue to provide incoming cash flows to sustain its future operations. The Company’s ability to pursue its planned business activities is dependent upon successful efforts to raise additional capital. These factors raise substantial doubt regarding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March 23,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the FASB issued Accounting Standards Update (“ASU”) No.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beginning after December 15, 2017 and interim periods within that annual period. Early adoption is permitted. The Company adopted ASU 2017-09 on January 1, 2018; the adoption of ASU 2017-09 did not have a material impact on its financial condition or results of operations, as the Company has not had any modifications to share-based payment awards. However, if the Company does have a modification to an award in the future, it will follow the guidance in ASU 2017-09.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as modified by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effective January 1, 2018, using the modified retrospective approach. The only impact of the adoption of ASU 2014-09 was to reclassify the Company's grant income as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Certain Financial Instruments with Down Round Features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13, 2017, the FASB has issued a two-part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fiscal years, and interim periods within those fiscal years, beginning after December 15, 2018 and the interim periods within that annual period. Early adoption is permitted. The Company will be evaluating the impact of adopting this standard on the consolidated financial statements and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NET LOSS PER SHARE APPLICABLE TO COMMON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computation of net loss per share:</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(3,196,486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(2,419,885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Denominator:</w:t>
            </w:r>
          </w:p>
        </w:tc>
        <w:tc>
          <w:tcPr>
            <w:tcW w:w="1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10,622,420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and Diluted</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19"/>
                <w:szCs w:val="19"/>
                <w:color w:val="auto"/>
              </w:rPr>
            </w:pPr>
          </w:p>
        </w:tc>
        <w:tc>
          <w:tcPr>
            <w:tcW w:w="28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858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417,000</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6,520,000</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5,060,000</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LIABILITY AND FAIR VALUE MEASUREMENTS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March 31, 2018 and 2017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4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0.12 - 1.28</w:t>
            </w: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Volatility (annual)</w:t>
            </w:r>
          </w:p>
        </w:tc>
        <w:tc>
          <w:tcPr>
            <w:tcW w:w="4500" w:type="dxa"/>
            <w:vAlign w:val="bottom"/>
          </w:tcPr>
          <w:p>
            <w:pPr>
              <w:jc w:val="right"/>
              <w:ind w:right="250"/>
              <w:spacing w:after="0"/>
              <w:rPr>
                <w:sz w:val="20"/>
                <w:szCs w:val="20"/>
                <w:color w:val="auto"/>
              </w:rPr>
            </w:pPr>
            <w:r>
              <w:rPr>
                <w:rFonts w:ascii="Arial" w:cs="Arial" w:eastAsia="Arial" w:hAnsi="Arial"/>
                <w:sz w:val="18"/>
                <w:szCs w:val="18"/>
                <w:color w:val="auto"/>
              </w:rPr>
              <w:t>69%</w:t>
            </w:r>
          </w:p>
        </w:tc>
        <w:tc>
          <w:tcPr>
            <w:tcW w:w="1180" w:type="dxa"/>
            <w:vAlign w:val="bottom"/>
          </w:tcPr>
          <w:p>
            <w:pPr>
              <w:jc w:val="right"/>
              <w:spacing w:after="0"/>
              <w:rPr>
                <w:sz w:val="20"/>
                <w:szCs w:val="20"/>
                <w:color w:val="auto"/>
              </w:rPr>
            </w:pPr>
            <w:r>
              <w:rPr>
                <w:rFonts w:ascii="Arial" w:cs="Arial" w:eastAsia="Arial" w:hAnsi="Arial"/>
                <w:sz w:val="18"/>
                <w:szCs w:val="18"/>
                <w:color w:val="auto"/>
              </w:rPr>
              <w:t>67% - 79%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4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45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3"/>
              </w:rPr>
              <w:t>Fair value measured at March 31, 2018</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12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Quoted prices in</w:t>
            </w:r>
          </w:p>
        </w:tc>
        <w:tc>
          <w:tcPr>
            <w:tcW w:w="240" w:type="dxa"/>
            <w:vAlign w:val="bottom"/>
          </w:tcPr>
          <w:p>
            <w:pPr>
              <w:spacing w:after="0"/>
              <w:rPr>
                <w:sz w:val="16"/>
                <w:szCs w:val="16"/>
                <w:color w:val="auto"/>
              </w:rPr>
            </w:pPr>
          </w:p>
        </w:tc>
        <w:tc>
          <w:tcPr>
            <w:tcW w:w="1600" w:type="dxa"/>
            <w:vAlign w:val="bottom"/>
            <w:gridSpan w:val="4"/>
          </w:tcPr>
          <w:p>
            <w:pPr>
              <w:jc w:val="center"/>
              <w:ind w:right="245"/>
              <w:spacing w:after="0" w:line="195" w:lineRule="exact"/>
              <w:rPr>
                <w:sz w:val="20"/>
                <w:szCs w:val="20"/>
                <w:color w:val="auto"/>
              </w:rPr>
            </w:pPr>
            <w:r>
              <w:rPr>
                <w:rFonts w:ascii="Arial" w:cs="Arial" w:eastAsia="Arial" w:hAnsi="Arial"/>
                <w:sz w:val="18"/>
                <w:szCs w:val="18"/>
                <w:color w:val="auto"/>
                <w:w w:val="92"/>
              </w:rPr>
              <w:t>Significant other</w:t>
            </w:r>
          </w:p>
        </w:tc>
        <w:tc>
          <w:tcPr>
            <w:tcW w:w="13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active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05"/>
              <w:spacing w:after="0"/>
              <w:rPr>
                <w:sz w:val="20"/>
                <w:szCs w:val="20"/>
                <w:color w:val="auto"/>
              </w:rPr>
            </w:pPr>
            <w:r>
              <w:rPr>
                <w:rFonts w:ascii="Arial" w:cs="Arial" w:eastAsia="Arial" w:hAnsi="Arial"/>
                <w:sz w:val="18"/>
                <w:szCs w:val="18"/>
                <w:color w:val="auto"/>
                <w:w w:val="88"/>
              </w:rPr>
              <w:t>observable</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unobservable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 at</w:t>
            </w:r>
          </w:p>
        </w:tc>
      </w:t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markets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1"/>
              </w:rPr>
              <w:t>inputs</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7"/>
              </w:rPr>
              <w:t>(Level 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9"/>
          </w:tcPr>
          <w:p>
            <w:pPr>
              <w:ind w:left="1020"/>
              <w:spacing w:after="0"/>
              <w:rPr>
                <w:sz w:val="20"/>
                <w:szCs w:val="20"/>
                <w:color w:val="auto"/>
              </w:rPr>
            </w:pPr>
            <w:r>
              <w:rPr>
                <w:rFonts w:ascii="Arial" w:cs="Arial" w:eastAsia="Arial" w:hAnsi="Arial"/>
                <w:sz w:val="18"/>
                <w:szCs w:val="18"/>
                <w:b w:val="1"/>
                <w:bCs w:val="1"/>
                <w:color w:val="auto"/>
                <w:w w:val="92"/>
              </w:rPr>
              <w:t>Fair value measured at December 31, 2017</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12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Quoted prices in</w:t>
            </w:r>
          </w:p>
        </w:tc>
        <w:tc>
          <w:tcPr>
            <w:tcW w:w="240" w:type="dxa"/>
            <w:vAlign w:val="bottom"/>
          </w:tcPr>
          <w:p>
            <w:pPr>
              <w:spacing w:after="0"/>
              <w:rPr>
                <w:sz w:val="16"/>
                <w:szCs w:val="16"/>
                <w:color w:val="auto"/>
              </w:rPr>
            </w:pPr>
          </w:p>
        </w:tc>
        <w:tc>
          <w:tcPr>
            <w:tcW w:w="1600" w:type="dxa"/>
            <w:vAlign w:val="bottom"/>
            <w:gridSpan w:val="4"/>
          </w:tcPr>
          <w:p>
            <w:pPr>
              <w:jc w:val="center"/>
              <w:ind w:right="245"/>
              <w:spacing w:after="0" w:line="195" w:lineRule="exact"/>
              <w:rPr>
                <w:sz w:val="20"/>
                <w:szCs w:val="20"/>
                <w:color w:val="auto"/>
              </w:rPr>
            </w:pPr>
            <w:r>
              <w:rPr>
                <w:rFonts w:ascii="Arial" w:cs="Arial" w:eastAsia="Arial" w:hAnsi="Arial"/>
                <w:sz w:val="18"/>
                <w:szCs w:val="18"/>
                <w:color w:val="auto"/>
                <w:w w:val="92"/>
              </w:rPr>
              <w:t>Significant other</w:t>
            </w:r>
          </w:p>
        </w:tc>
        <w:tc>
          <w:tcPr>
            <w:tcW w:w="13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2"/>
              <w:spacing w:after="0"/>
              <w:rPr>
                <w:sz w:val="20"/>
                <w:szCs w:val="20"/>
                <w:color w:val="auto"/>
              </w:rPr>
            </w:pPr>
            <w:r>
              <w:rPr>
                <w:rFonts w:ascii="Arial" w:cs="Arial" w:eastAsia="Arial" w:hAnsi="Arial"/>
                <w:sz w:val="18"/>
                <w:szCs w:val="18"/>
                <w:color w:val="auto"/>
                <w:w w:val="89"/>
              </w:rPr>
              <w:t>active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05"/>
              <w:spacing w:after="0"/>
              <w:rPr>
                <w:sz w:val="20"/>
                <w:szCs w:val="20"/>
                <w:color w:val="auto"/>
              </w:rPr>
            </w:pPr>
            <w:r>
              <w:rPr>
                <w:rFonts w:ascii="Arial" w:cs="Arial" w:eastAsia="Arial" w:hAnsi="Arial"/>
                <w:sz w:val="18"/>
                <w:szCs w:val="18"/>
                <w:color w:val="auto"/>
                <w:w w:val="88"/>
              </w:rPr>
              <w:t>observable</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unobservable</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 at</w:t>
            </w:r>
          </w:p>
        </w:tc>
      </w:t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2"/>
              <w:spacing w:after="0"/>
              <w:rPr>
                <w:sz w:val="20"/>
                <w:szCs w:val="20"/>
                <w:color w:val="auto"/>
              </w:rPr>
            </w:pPr>
            <w:r>
              <w:rPr>
                <w:rFonts w:ascii="Arial" w:cs="Arial" w:eastAsia="Arial" w:hAnsi="Arial"/>
                <w:sz w:val="18"/>
                <w:szCs w:val="18"/>
                <w:color w:val="auto"/>
                <w:w w:val="90"/>
              </w:rPr>
              <w:t>markets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1"/>
              </w:rPr>
              <w:t>inputs</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2"/>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25"/>
              <w:spacing w:after="0"/>
              <w:rPr>
                <w:sz w:val="20"/>
                <w:szCs w:val="20"/>
                <w:color w:val="auto"/>
              </w:rPr>
            </w:pPr>
            <w:r>
              <w:rPr>
                <w:rFonts w:ascii="Arial" w:cs="Arial" w:eastAsia="Arial" w:hAnsi="Arial"/>
                <w:sz w:val="18"/>
                <w:szCs w:val="18"/>
                <w:color w:val="auto"/>
                <w:w w:val="97"/>
              </w:rPr>
              <w:t>(Level 2)</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52"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three months ended March 31, 2018.</w:t>
      </w: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10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2018</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January 2018, Dr. John Bonfiglio exercised 10,416 shares of common stock pursuant to stock options at an exercise price equal to $1.74 per share.</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2018, the Company issued 10,042 shares of common stock as part of consulting agreements. The fair value of the common stock of approximately $33,000 was recognized as stock-based compensation in general and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approximately $136,000 and $376,000 of stock-based compensation expense for the three months ended March 31, 2018 and 2017, respectively.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March 31, 2018, the total stock-based compensation cost related to unvested awards not yet recognized was $262,000. The expected weighted average period compensation costs to be recognized was 0.47 years. Future option grants will impact the compensation expense recognized.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$33,000 and $103,000 of stock-based compensation expenses for the three months ended March 31, 2018 were included in general and administrative expenses and research and development expenses, respectively, on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and Warrant Exercise Agreements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14, 2018, the Company entered into a Common Stock Purchase Agreement with Eastern Capital Limited pursuant to which such investor has agreed to purchase 1,300,000 shares of common stock at a price per share of $2.40 providing gross proceeds to the Company of $3.12 million.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14, 2018, certain institutional holders of outstanding warrants entered into Warrant Exercise Agreements with the Company that amends the exercise price of certain warrants to purchase an aggregate of 782,505 shares of common stock to $2.50 per share which will provide aggregate proceeds to the Company of approximately $2.0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Closing of the Common Stock Purchase Agreement and the Warrant Exercise Agreements is subject to customary closing conditions and is expected to occur on May 18,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Commitment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John Wilson, CEO of Marker, provided a written commitment on May 14, 2018 for additional financing to the Company of up to $1 million. Such commitment is subject to customary conditions none of which relate to the Agreement and Plan of Merger described below.</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15, 2018, the Company entered into an agreement and plan of merger and reorganization with Marker Therapeutics, Inc., subject to shareholder approval and other terms and conditions set forth in the merger agreement.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effective time of the merger, each outstanding share of Marker’s common stock will be converted into the right to receive (i) shares of TapImmune’s common stock. Under the exchange ratio formulae in the merger agreement, as of immediately after the merger, the former Marker stockholders and the former TapImmune stockholders are each expected to own approximately 50% of the combined company, subject to certain assumptions (on a fully diluted basis) and prior to the contemplated issuance of shares in the financing that is expected to occur concurrently with the Merger. The final number of shares will be determined at the closing of the merger based on the number of shares of TapImmune common stock outstanding at the time of closing, and the final number of warrants will be determined at the closing of the merger based on the number of options and warrants of TapImmune outstanding at the time of closing. The number of warrants issuable to the Marker stockholders may be adjusted based upon certain conditions related to the terms of any additional financing closed concurrently with the merger.</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 In addition, the merger is contingent upon TapImmune receiving commitments from third-party investors to purchase at least $25 million in equity securities of TapImmune, which equity financing would close contemporaneously with the closing of the merger.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certain termination rights and provides for the payment of a termination fee and reimbursement of certain fees and expenses of up to $2,000,000 by TapImmune to Marker upon termination of the Merger Agreement under specified circumstances.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months ended March 31, 2018 included in this quarterly report, as well as our Annual Report on Form 10-K for the year ended December 31, 2017 filed on March 23,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immuno-oncology company specializing in the development of innovative peptide and gene-based immunotherapeutics and vaccines for the treatment of cancer and metastatic disease. We are actively advancing our clinical programs by expanding our Folate Receptor Alpha program (TPIV200) for breast and ovarian cancers and our HER2/neu peptide antigen program (TPIV110) in Phase II clinical trials. In parallel, we are developing a proprietary DNA expression technology named PolyStart™ to improve the ability of the cellular immune system to recognize and destroy diseased cells. We plan to complete the pre-clinical development of our PolyStart™ vaccine and move it into the clinic as an integral component of a prime-boost vaccine methodology.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leader in the development of immunotherapies for women's cancers, with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T-cells and helper T-cells, and to restore or further augment antigen presentation by using proprietary nucleic acid-based expression systems. Our technologies may be used as stand-alone medications or in combination with current treatment modalities.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including ipilimumab and nivolumab (Yervoy® and Opdivo®, respectively, Bristol Myers Squibb), pembrolizumab (Keytruda®, Merck &amp; Co.), avelumab (Bavencio®, EMD Serono), durvalumab (Imfinzi™, AstraZeneca), and atezolizumab (Tecentriq®, Genentech), together with the development and approval of CAR T-cell therapies sponsored by Novartis, Juno Therapeutics, and Kite Pharma, has provided much momentum in this sector. In addition, new evidence points to the increasing use of combination immunotherapies for the treatment of cancer. This has provided greater justification and opportunities for the successful development of T-cell vaccines in combination with other approaches.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23, 2017, the U.S. Food and Drug Administration (“FDA”) approved expanded use of Keytruda for immunotherapy. The FDA granted accelerated approval to a treatment for patients whose cancers have a specific genetic feature (biomarker). This is the first time the FDA has approved a cancer treatment based on a common biomarker rather than the location in the body where the tumor originated.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Phase I data using our two products in clinical programs in breast and ovarian cancers.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We continue to focus primarily on our Phase II triple-negative breast cancer trials using TPIV200 (which has achieved Fast Track and Orphan Drug Status), and are planning for the next Phase II HER2/neu breast cancer trial.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PolyStart™ constructs to facilitate collaborative efforts in our current clinical indications. We will also evaluate those indications where others have already indicated interest in combination therapies.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our company to capitalize on the acceptance of immunotherapy as a leading therapeutic strategy in cancer and infectious diseases.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continuously working on improving our product formulation and supply. TPIV200 and TPIV110 are both off-the-shelf, lyophilized products that only require reconstitution and mixing with GM-CSF at the clinical site before injection. We believe our off-the-shelf product may provide a significant competitive advantage over autologous products that require preparation for each patient. We also believe the investments we have made in the formulation work for both very stable products will result in commercially viable products consistent with typically high pharmaceutical profit margins.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Phase I data produced for both TPIV200 and TPIV100 in collaboration with the Mayo Clinic are the driving force behind the high-value collaborations we have established and maintained with organizations such as Mayo Clinic, AstraZeneca, Memorial Sloan Kettering, and the U.S. Department of Defense. As we move forward into advanced Phase II studies, some of which incorporate collaborations with prestigious third-party organizations, we believe they will represent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Strategies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the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doing the studies on the path to successful product development takes time, we believe we have put together a team that can deliver the highest quality data in the least amount of time.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immune checkpoint inhibitors and adoptive T-cell therapy, as well as multiple other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antigen-based immunotherapeutics and the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could also enhance the efficacy of other immunotherapy approaches such as CAR-T and checkpoint inhibitors.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Cancers – Mayo Clinic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ovarian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21-patient Phase I clinical trial for the FRa vaccine. Twenty-one patients with breast or ovarian cancer, who had undergone standard surgery and adjuvant treatment, were treated with one cycle of cyclophosphamide. Following this, patients were vaccinated intradermally with a mixture of the five FRa peptides adjuvanted with GM-CSF (now called TPIV200) on day one of a 28-day cycle for a maximum of six vaccination cycles. The vaccine was well-tolerated and safe and 20 out of 21 evaluable patients showed positive immune responses, providing a strong rationale for progressing to Phase II trials. Further, the data showed that 16 out of 16 patients in the observation stage still showed immune responses (Source: published online 15Mar2018; DOI: 10.1158/1078-0432.CCR-17-2499). We have developed a commercial quality lyophilized formulation of the peptides in a single vial for reconstitution and injection. Good Manufacturing Practice (“GMP”) manufacturing for the Phase II trials has been completed.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covers the costs for a 280-patient Phase II Clinical Trial of Folate Receptor Alpha Vaccine in patients with triple-negative breast cancer. We are working closely with Mayo Foundation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 This Phase II study of TPIV200 in the treatment of triple-negative breast cancer began enrolling patients in late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3, 2016, we announced that the U.S. FDA designated the investigation of multiple-epitope FRa Vaccine (TPIV200) for maintenance therapy in subjects with platinum-sensitive advanced ovarian cancer who achieved stable disease or partial response following completion of standard-of-care chemotherapy, as a Fast Track Development Program. We began enrolling a Phase II study in this indication in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multiple clinical sites and have completed enrollment of patients in a Phase II trial of our Folate Receptor Alpha cancer vaccine, TPIV200,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and is fully enrolled. Key data from the trial is expected to be included in a future New Drug Application submission to the FDA for marketing clearance. This trial is sponsored and conducted by TapImmune.</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On April 21, 2016, we announced our participation in an ovarian cancer study sponsored by Memorial Sloan Kettering Cancer Center in New York City in collaboration with AstraZeneca Pharmaceuticals in ovarian cancer patients who are not responsive to platinum, a commonly used chemotherapy for ovarian cancer. This study, a Phase II study of TPIV200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TPIV200 has received Orphan Drug designation for use in the treatment of ovarian cancer. Although we have no business relationship with AstraZeneca, we are paying for one-half of the costs of the clinical study, in addition to providing our TPIV200 for the study.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Company-sponsored Phase II study in platinum-sensitive ovarian cancer patients was initiated in 2017. This study is designed to evaluate TPIV200 with GM-CSF in a randomized, placebo-controlled fashion during the first maintenance period after primary surgery and chemotherapy. Patients at this stage of their treatment have the highest potential for an immunotherapeutic effect and no other approved treatment options. The study will enroll up to 120 patients over the next year and a half, with an interim analysis planned in the first half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 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Phase I study using TPIV 100 (four HER2/neu peptides adjuvanted with GM-CSF) was completed in 2015. Final safety analysis on all the patients treated is complete and shown to be safe. In addition, 19 out of 20 evaluable patients showed robust T-cell immune responses to the antigens in the vaccine composition providing a solid case for advancement to Phase II in 2017. An additional secondary endpoint incorporated into this Phase I Trial will be a two-year follow on recording time to disease recurrence in the participating breast cancer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 110 (five peptide product). Management believes that the combination of Class I and Class II HER2/neu antigens, gives us the leading HER2/neu vaccine platform. We are amending the IND to incorporate the fifth peptide in the Phase I(b)/II study. Discussions with the FDA have resulted in a pre-clinical development project that should allow us to file the amended IND in mid-2018.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 We plan to develop Polystart as both a stand-alone therapy and as a ‘boost strategy’ to be used synergistically with our peptide-based vaccines for breast and ovarian cancers.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TapImmune’s Clinical Program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66560" cy="4416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6560"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“Clinical Program Pipeline Status Updates” section below for latest updates on above clinical pipeline chart.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exciting clinical developments, our peptide vaccine technology may be coupled with our recently developed in-house PolyStart™ nucleic acid-based technology, which is designed to make vaccines significantly more effective by producing four times the required peptides for the immune systems to recognize and act on.</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large-scale manufacturing and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Announcement of Publication of Clinical Trial Results for the TPIV200 Cancer Vaccine in Clinical Cancer Research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announced the publication of clinical data from a Phase I trial of TPIV200, our multi-epitope T-cell vaccine targeting Folate Receptor Alpha (“FRa”) in patients with ovarian and breast cancer. The results show that TPIV200 vaccination was well tolerated by all patients and over 90% developed robust and durable antigen-specific immune responses against FRa without regard for HLA type, which aligns with the intended mechanism of action of the vaccine.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Enrollment Completed: Phase II TPIV200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enrollment and are now treating and following the patients in a Phase II trial of our Folate Receptor Alpha cancer vaccine, TPIV200, in the treatment of triple-negative breast cancer, one of the most difficult cancers to treat, representing a clear unmet medical need. The open-label, 80-patient clinical trial is designed to evaluate dosing regimens, pre-treatment, efficacy, and immune responses in women with triple-negative breast cancer. Key data from the trial is expected to be included in a future Biologics License Application submission to the FDA for marketing clearance. This trial is sponsored and conducted by TapImmune.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independent Data Safety Monitoring Board (DSMB) reviews the safety every quarter in this ongoing Phase II study enrolling women with stage I-III triple-negative breast cancer who have completed initial surgery and chemo/radiation therapy. The randomized four-arm study is evaluating two doses of TPIV200 (a high dose and a low dose), each of which will be tested both with and without immune priming with cyclophosphamide prior to vaccination. Safety reviews are conducted quarterly and have shown no safety issues. The study completed enrollment at the end of 2017, with interim data expected in mid-2018. Details regarding this trial can be found at www.clinicaltrials.gov under identifier numbers NCT02593227 and FRV-002.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Platinum-Sensitive Ovarian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opened multiple clinical sites and have enrolled the first 30 patients in a Phase II trial of TPIV200 for a 120-patient study on ovarian cancer patients who are responsive to platinum. We have received the FDA’s Fast Track designation to develop TPIV200 as a maintenance in women with Stage III and IV ovarian cancer who are in remission following their first round of successful platinum-based chemotherapy. This multi-center, double-blind efficacy study is sponsored and conducted by TapImmune. We expect to complete enrollment mid-2019. An interim analysis is planned based upon 50% patient enrollment, which we anticipate completing in the first half of 2019. Details regarding this trial can be found at www.clinicaltrials.gov under identifier numbers NCT02978222 and FRV-004. TPIV200 has also received Orphan Drug designation for use in the treatment of ovarian cancer.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Enrolling Patients: Phase II Mayo Clinic-U.S. DOD Trial of TPIV200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Patients are being enrolled in this Phase II study of TPIV200 in the treatment of triple-negative breast cancer, conducted by the Mayo Clinic and sponsored by the U.S. DOD. The 280-patient study is led by Dr. Keith Knutson of the Mayo Clinic in Jacksonville, Florida. Dr. Knutson is the inventor of the technology and a member of the Scientific Advisory Board at TapImmune. While we are supplying doses of TPIV200 for the trial and being reimbursed for the costs associated with manufacturing, the costs associated with conducting this study are being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TPIV200 in Platinum-Resistant Ovarian Cancer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Phase II study of TPIV200 in ovarian cancer patients who are not responsive to platinum, a commonly used chemotherapy for ovarian cancer, being sponsored by Memorial Sloan Kettering Cancer Center (“MSKCC”) in collaboration with AstraZeneca and TapImmune, has begun enrollment for a 40-patient study. The open-label study is designed to evaluate a combination therapy which includes our TPIV200 T-cell vaccine and AstraZeneca’s checkpoint inhibitor, durvalumab. Because they are unresponsive to platinum, these patients have no real remaining options. If the combination therapy proves effective, we believe it would address a critical unmet need. We successfully completed enrollment of the first safety cohort. This may enable MSKCC to increase the number of patients that can be enrolled and will subsequently increase the study’s enrollment rate. Currently more than 50% of patients have been enrolled. An interim analysis is planned in the first half of 2018. Details regarding this trial can be found at www.clinicaltrials.gov under identifier numbers NCT02764333 and 16-011.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TPIV110 in 2018: Phase II Protocol Now in Preparation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enhanced the formulation of our second cancer vaccine product, TPIV110 (the five-peptide product), following very strong safety and immune responses from a Phase I Mayo Clinic study using TPIV100 (the four-peptide product). TPIV110 targets HER2/neu+, which makes it applicable to breast, ovarian, and colorectal cancers. The enhanced TPIV product adds a fifth antigen that should produce an even more robust immune response activating both CD4+ (helper) and CD8+ (killer) T-cells. We have participated in a pre-Investigational New Drug (“pre-IND”) meeting with the FDA and will file the amended IND containing the fifth peptide in mid-2018. The protocol for a Phase II trial of TPIV110 in the treatment of HER2/neu+ positive breast cancer patients is currently under review by our Clinical Advisory Board and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TPIV100 HER2-targeted T-Cell Vaccine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14, 2017, we announced that our partners at the Mayo Clinic received a grant from the U.S. Department of Defense to conduct a Phase IB study of our HER2-targeted vaccine candidate TPIV100 in an early form of breast cancer called DCIS. This is the second TapImmune vaccine to be tested in a fully funded study sponsored by the Mayo Clinic. Our collaborators at Mayo Clinic announced a $3.8 million grant which we believe would fully fund this trial. If the study is successful, our vaccine may eventually augment or even replace standard surgery and chemotherapy, and potentially could become part of a routine immunization schedule for preventing breast cancer in healthy women. The study is expected to enroll 40-45 women with DCIS and begin to commence such enrollment in mid-2018.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$3.2 million or ($0.30) basic and diluted per share during the three months ended March 31, 2018 compared to a net loss of $2.4 million or ($0.29) basic and diluted per share during the three months ended March 31, 2017. The change in net loss period over period was due to the following changes in operating expenses and other expense: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incurred during the three months ended March 31, 2018 were $3.2 million compared to $2.4 million in the prior period. Significant changes in operating expenses are outlined as follows:</w:t>
      </w:r>
    </w:p>
    <w:p>
      <w:pPr>
        <w:spacing w:after="0" w:line="197"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March 31, 2018 were $1.6 million compared to $1.0 million during the prior year period. The three months ended March 31, 2018 had increased expenses from the prior period relating to our clinical trials.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$1.6 million during the three months ended March 31, 2018 from $1.4 million during the prior year period. This was due to increased expenses relating to:</w:t>
      </w:r>
    </w:p>
    <w:p>
      <w:pPr>
        <w:spacing w:after="0" w:line="19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for the three months ended March 31, 2018 was ($1,000) as compared to $3,000 for the three months ended March 31, 2017. This decrease by $1,000 for the three months ended March 31, 2018 is reflected by a corresponding gain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exercises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6"/>
              </w:rPr>
              <w:t>The following table sets forth our cash and working capital as of March 31, 2018 and December 31, 2017:</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Working Capital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615,000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3,658,000</w:t>
            </w:r>
          </w:p>
        </w:tc>
        <w:tc>
          <w:tcPr>
            <w:tcW w:w="80" w:type="dxa"/>
            <w:vAlign w:val="bottom"/>
          </w:tcPr>
          <w:p>
            <w:pPr>
              <w:spacing w:after="0"/>
              <w:rPr>
                <w:sz w:val="20"/>
                <w:szCs w:val="20"/>
                <w:color w:val="auto"/>
              </w:rPr>
            </w:pPr>
          </w:p>
        </w:tc>
      </w:tr>
      <w:tr>
        <w:trPr>
          <w:trHeight w:val="418"/>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three months ended March 31, 2018 and 2017: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8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(2,346,000)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(1,924,000)</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Net decrease in cash</w:t>
            </w:r>
          </w:p>
        </w:tc>
        <w:tc>
          <w:tcPr>
            <w:tcW w:w="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(2,328,000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(1,924,000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financing activities during the three months ended March 31, 2018 were solely the result of the exercising of stock options by a former officer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working capital of $0.6 million, compared to working capital of $3.7 million as of December 31, 2017.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our expenses to continue at a similar pace through 2018 primarily to continue funding our in-process Phase II clinical trials. Two of our clinical studies are expected to be funded by a total of $17.1 million of grants made by the DOD to the Mayo Clinic. Our collaborators at Mayo Clinic announced a $3.8 million grant which we expect would fully fund a Phase II clinical trial in DCIS that we had planned for our HER2/neu+ vaccine.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requirements for 2018 and beyond will depend on numerous factors, including the success of our research and development, the resources we devote to develop and support our technologies and our success in pursuing strategic licensing and funded product development collaborations with external partners as well as other strategic initiatives we may determine to pursue.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will fund our operations into the third quarter of fiscal 2018. We will require substantial additional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could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could restrict our operations. We also will require additional capital beyond our currently forecasted amounts.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transactions we may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achieve our milestones under our licensing arrangements and the payment obligations we may have under such agreements;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risk factors, see Item 1.A.-“Risk Factors” in our Annual Report on Form 10-K for the year ended December 31, 2017 filed on March 23, 2018. These risk factors have not materially changed from the disclosures provided in such Form 10-K, except for the following: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 WITH MARKER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the conditions to the Merger will be satisfied.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proposed Merger with Marker requires approval by the holders of a majority of our outstanding shares of common stock, receipt of certain financing commitments and other closing conditions. There can be no assurance that the conditions to the Merger will be satisfied. The failure to satisfy closing conditions could result in a termination of the Merger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Marker a Termination Fee.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termination of the Merger Agreement under certain specified circumstances, we will be required to pay Marker a Termination Fee of $1.5 million. Any fees due as a result of termination could have a material adverse effect on our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consummate the Merger could have negatively impact the market value of our common stock and access to capital.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assurance that the Merger will be consummated. Failure to consummate the Merger could (i) affect the value of our common stock, including by reducing it to a level at or below the trading range preceding the announcement of the Merger and (ii) negatively affect our access to and cost of both equity and debt financing.</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Additionally, if the Merger is not consummated, we will have incurred significant costs and diverted the time and attention of management. A failure to consummate the Merger may also result in negative publicity, litigation against us or our directors and officers, and a negative impression of us in the financial markets. The occurrence of any of these events individually or in combination could have a material adverse effect on our financial condition and stock price.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March 9, 2018, we issued 10,042 shares of common stock to Richard Kenney, pursuant to a consulting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10, 2018, we issued 15,000 shares of common stock to Omnicor Media, LLC pursuant to a vendor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13, 2018, we issued 33,334 shares of common stock to Collision Capital, LLC pursuant to a vendor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13"/>
          </w:tcPr>
          <w:p>
            <w:pPr>
              <w:jc w:val="center"/>
              <w:ind w:right="420"/>
              <w:spacing w:after="0"/>
              <w:rPr>
                <w:sz w:val="20"/>
                <w:szCs w:val="20"/>
                <w:color w:val="auto"/>
              </w:rPr>
            </w:pPr>
            <w:r>
              <w:rPr>
                <w:rFonts w:ascii="Arial" w:cs="Arial" w:eastAsia="Arial" w:hAnsi="Arial"/>
                <w:sz w:val="18"/>
                <w:szCs w:val="18"/>
                <w:b w:val="1"/>
                <w:bCs w:val="1"/>
                <w:color w:val="auto"/>
                <w:w w:val="90"/>
              </w:rPr>
              <w:t>Incorporated by Reference</w:t>
            </w:r>
          </w:p>
        </w:tc>
        <w:tc>
          <w:tcPr>
            <w:tcW w:w="260" w:type="dxa"/>
            <w:vAlign w:val="bottom"/>
          </w:tcPr>
          <w:p>
            <w:pPr>
              <w:spacing w:after="0"/>
              <w:rPr>
                <w:sz w:val="20"/>
                <w:szCs w:val="20"/>
                <w:color w:val="auto"/>
              </w:rPr>
            </w:pPr>
          </w:p>
        </w:tc>
        <w:tc>
          <w:tcPr>
            <w:tcW w:w="88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95"/>
              </w:rPr>
              <w:t>Filing</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8"/>
        </w:trPr>
        <w:tc>
          <w:tcPr>
            <w:tcW w:w="1040" w:type="dxa"/>
            <w:vAlign w:val="bottom"/>
            <w:gridSpan w:val="4"/>
            <w:vMerge w:val="continue"/>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040" w:type="dxa"/>
            <w:vAlign w:val="bottom"/>
            <w:tcBorders>
              <w:bottom w:val="single" w:sz="8" w:color="auto"/>
            </w:tcBorders>
            <w:gridSpan w:val="16"/>
          </w:tcPr>
          <w:p>
            <w:pPr>
              <w:ind w:left="178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File no.</w:t>
            </w:r>
          </w:p>
        </w:tc>
        <w:tc>
          <w:tcPr>
            <w:tcW w:w="10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240" w:type="dxa"/>
            <w:vAlign w:val="bottom"/>
          </w:tcPr>
          <w:p>
            <w:pP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14"/>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Agreement and Plan of Merger and Reorganization, dated as of May</w:t>
              </w:r>
            </w:hyperlink>
          </w:p>
        </w:tc>
        <w:tc>
          <w:tcPr>
            <w:tcW w:w="2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gridSpan w:val="2"/>
          </w:tcPr>
          <w:p>
            <w:pPr>
              <w:jc w:val="center"/>
              <w:spacing w:after="0"/>
              <w:rPr>
                <w:rFonts w:ascii="Arial" w:cs="Arial" w:eastAsia="Arial" w:hAnsi="Arial"/>
                <w:sz w:val="18"/>
                <w:szCs w:val="18"/>
                <w:b w:val="1"/>
                <w:bCs w:val="1"/>
                <w:color w:val="0000EE"/>
                <w:w w:val="96"/>
              </w:rPr>
            </w:pPr>
            <w:hyperlink r:id="rId52">
              <w:r>
                <w:rPr>
                  <w:rFonts w:ascii="Arial" w:cs="Arial" w:eastAsia="Arial" w:hAnsi="Arial"/>
                  <w:sz w:val="18"/>
                  <w:szCs w:val="18"/>
                  <w:b w:val="1"/>
                  <w:bCs w:val="1"/>
                  <w:color w:val="0000EE"/>
                  <w:w w:val="96"/>
                </w:rPr>
                <w:t>8-K</w:t>
              </w:r>
            </w:hyperlink>
          </w:p>
        </w:tc>
        <w:tc>
          <w:tcPr>
            <w:tcW w:w="420" w:type="dxa"/>
            <w:vAlign w:val="bottom"/>
            <w:gridSpan w:val="3"/>
          </w:tcPr>
          <w:p>
            <w:pPr>
              <w:spacing w:after="0"/>
              <w:rPr>
                <w:sz w:val="24"/>
                <w:szCs w:val="24"/>
                <w:color w:val="auto"/>
              </w:rPr>
            </w:pPr>
          </w:p>
        </w:tc>
        <w:tc>
          <w:tcPr>
            <w:tcW w:w="1020" w:type="dxa"/>
            <w:vAlign w:val="bottom"/>
            <w:gridSpan w:val="3"/>
          </w:tcPr>
          <w:p>
            <w:pPr>
              <w:jc w:val="center"/>
              <w:spacing w:after="0"/>
              <w:rPr>
                <w:rFonts w:ascii="Arial" w:cs="Arial" w:eastAsia="Arial" w:hAnsi="Arial"/>
                <w:sz w:val="18"/>
                <w:szCs w:val="18"/>
                <w:b w:val="1"/>
                <w:bCs w:val="1"/>
                <w:color w:val="0000EE"/>
                <w:w w:val="90"/>
              </w:rPr>
            </w:pPr>
            <w:hyperlink r:id="rId52">
              <w:r>
                <w:rPr>
                  <w:rFonts w:ascii="Arial" w:cs="Arial" w:eastAsia="Arial" w:hAnsi="Arial"/>
                  <w:sz w:val="18"/>
                  <w:szCs w:val="18"/>
                  <w:b w:val="1"/>
                  <w:bCs w:val="1"/>
                  <w:color w:val="0000EE"/>
                  <w:w w:val="90"/>
                </w:rPr>
                <w:t>000-27239</w:t>
              </w:r>
            </w:hyperlink>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b w:val="1"/>
                <w:bCs w:val="1"/>
                <w:color w:val="0000EE"/>
                <w:w w:val="95"/>
              </w:rPr>
            </w:pPr>
            <w:hyperlink r:id="rId52">
              <w:r>
                <w:rPr>
                  <w:rFonts w:ascii="Arial" w:cs="Arial" w:eastAsia="Arial" w:hAnsi="Arial"/>
                  <w:sz w:val="18"/>
                  <w:szCs w:val="18"/>
                  <w:b w:val="1"/>
                  <w:bCs w:val="1"/>
                  <w:color w:val="0000EE"/>
                  <w:w w:val="95"/>
                </w:rPr>
                <w:t>2.1</w:t>
              </w:r>
            </w:hyperlink>
          </w:p>
        </w:tc>
        <w:tc>
          <w:tcPr>
            <w:tcW w:w="100" w:type="dxa"/>
            <w:vAlign w:val="bottom"/>
          </w:tcPr>
          <w:p>
            <w:pPr>
              <w:spacing w:after="0"/>
              <w:rPr>
                <w:sz w:val="24"/>
                <w:szCs w:val="24"/>
                <w:color w:val="auto"/>
              </w:rPr>
            </w:pPr>
          </w:p>
        </w:tc>
        <w:tc>
          <w:tcPr>
            <w:tcW w:w="1020" w:type="dxa"/>
            <w:vAlign w:val="bottom"/>
            <w:gridSpan w:val="3"/>
          </w:tcPr>
          <w:p>
            <w:pPr>
              <w:ind w:left="240"/>
              <w:spacing w:after="0"/>
              <w:rPr>
                <w:rFonts w:ascii="Arial" w:cs="Arial" w:eastAsia="Arial" w:hAnsi="Arial"/>
                <w:sz w:val="18"/>
                <w:szCs w:val="18"/>
                <w:b w:val="1"/>
                <w:bCs w:val="1"/>
                <w:color w:val="0000EE"/>
              </w:rPr>
            </w:pPr>
            <w:hyperlink r:id="rId52">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15, 2018, by and among TapImmune Inc., Timberwolf Merger Sub,</w:t>
              </w:r>
            </w:hyperlink>
          </w:p>
        </w:tc>
        <w:tc>
          <w:tcPr>
            <w:tcW w:w="22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Inc. and Marker Therapeutics, Inc.</w:t>
              </w:r>
            </w:hyperlink>
          </w:p>
        </w:tc>
        <w:tc>
          <w:tcPr>
            <w:tcW w:w="30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gridSpan w:val="5"/>
            <w:vMerge w:val="restart"/>
          </w:tcPr>
          <w:p>
            <w:pPr>
              <w:jc w:val="center"/>
              <w:ind w:right="400"/>
              <w:spacing w:after="0"/>
              <w:rPr>
                <w:rFonts w:ascii="Arial" w:cs="Arial" w:eastAsia="Arial" w:hAnsi="Arial"/>
                <w:sz w:val="18"/>
                <w:szCs w:val="18"/>
                <w:b w:val="1"/>
                <w:bCs w:val="1"/>
                <w:color w:val="0000EE"/>
                <w:w w:val="84"/>
              </w:rPr>
            </w:pPr>
            <w:hyperlink r:id="rId53">
              <w:r>
                <w:rPr>
                  <w:rFonts w:ascii="Arial" w:cs="Arial" w:eastAsia="Arial" w:hAnsi="Arial"/>
                  <w:sz w:val="18"/>
                  <w:szCs w:val="18"/>
                  <w:b w:val="1"/>
                  <w:bCs w:val="1"/>
                  <w:color w:val="0000EE"/>
                  <w:w w:val="84"/>
                </w:rPr>
                <w:t>10-Q</w:t>
              </w:r>
            </w:hyperlink>
          </w:p>
        </w:tc>
        <w:tc>
          <w:tcPr>
            <w:tcW w:w="1020" w:type="dxa"/>
            <w:vAlign w:val="bottom"/>
            <w:gridSpan w:val="3"/>
            <w:vMerge w:val="restart"/>
          </w:tcPr>
          <w:p>
            <w:pPr>
              <w:jc w:val="center"/>
              <w:spacing w:after="0"/>
              <w:rPr>
                <w:rFonts w:ascii="Arial" w:cs="Arial" w:eastAsia="Arial" w:hAnsi="Arial"/>
                <w:sz w:val="18"/>
                <w:szCs w:val="18"/>
                <w:b w:val="1"/>
                <w:bCs w:val="1"/>
                <w:color w:val="0000EE"/>
                <w:w w:val="90"/>
              </w:rPr>
            </w:pPr>
            <w:hyperlink r:id="rId53">
              <w:r>
                <w:rPr>
                  <w:rFonts w:ascii="Arial" w:cs="Arial" w:eastAsia="Arial" w:hAnsi="Arial"/>
                  <w:sz w:val="18"/>
                  <w:szCs w:val="18"/>
                  <w:b w:val="1"/>
                  <w:bCs w:val="1"/>
                  <w:color w:val="0000EE"/>
                  <w:w w:val="90"/>
                </w:rPr>
                <w:t>001-37939</w:t>
              </w:r>
            </w:hyperlink>
          </w:p>
        </w:tc>
        <w:tc>
          <w:tcPr>
            <w:tcW w:w="100" w:type="dxa"/>
            <w:vAlign w:val="bottom"/>
          </w:tcPr>
          <w:p>
            <w:pPr>
              <w:spacing w:after="0" w:line="20" w:lineRule="exact"/>
              <w:rPr>
                <w:sz w:val="1"/>
                <w:szCs w:val="1"/>
                <w:color w:val="auto"/>
              </w:rPr>
            </w:pPr>
          </w:p>
        </w:tc>
        <w:tc>
          <w:tcPr>
            <w:tcW w:w="920" w:type="dxa"/>
            <w:vAlign w:val="bottom"/>
            <w:gridSpan w:val="3"/>
            <w:vMerge w:val="restart"/>
          </w:tcPr>
          <w:p>
            <w:pPr>
              <w:jc w:val="center"/>
              <w:spacing w:after="0"/>
              <w:rPr>
                <w:rFonts w:ascii="Arial" w:cs="Arial" w:eastAsia="Arial" w:hAnsi="Arial"/>
                <w:sz w:val="18"/>
                <w:szCs w:val="18"/>
                <w:b w:val="1"/>
                <w:bCs w:val="1"/>
                <w:color w:val="0000EE"/>
                <w:w w:val="95"/>
              </w:rPr>
            </w:pPr>
            <w:hyperlink r:id="rId53">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100" w:type="dxa"/>
            <w:vAlign w:val="bottom"/>
          </w:tcPr>
          <w:p>
            <w:pPr>
              <w:spacing w:after="0" w:line="20" w:lineRule="exact"/>
              <w:rPr>
                <w:sz w:val="1"/>
                <w:szCs w:val="1"/>
                <w:color w:val="auto"/>
              </w:rPr>
            </w:pPr>
          </w:p>
        </w:tc>
        <w:tc>
          <w:tcPr>
            <w:tcW w:w="780" w:type="dxa"/>
            <w:vAlign w:val="bottom"/>
            <w:gridSpan w:val="2"/>
            <w:vMerge w:val="restart"/>
          </w:tcPr>
          <w:p>
            <w:pPr>
              <w:ind w:left="240"/>
              <w:spacing w:after="0"/>
              <w:rPr>
                <w:rFonts w:ascii="Arial" w:cs="Arial" w:eastAsia="Arial" w:hAnsi="Arial"/>
                <w:sz w:val="18"/>
                <w:szCs w:val="18"/>
                <w:b w:val="1"/>
                <w:bCs w:val="1"/>
                <w:color w:val="0000EE"/>
                <w:w w:val="83"/>
              </w:rPr>
            </w:pPr>
            <w:hyperlink r:id="rId53">
              <w:r>
                <w:rPr>
                  <w:rFonts w:ascii="Arial" w:cs="Arial" w:eastAsia="Arial" w:hAnsi="Arial"/>
                  <w:sz w:val="18"/>
                  <w:szCs w:val="18"/>
                  <w:b w:val="1"/>
                  <w:bCs w:val="1"/>
                  <w:color w:val="0000EE"/>
                  <w:w w:val="83"/>
                </w:rPr>
                <w:t>11/4/16</w:t>
              </w:r>
            </w:hyperlink>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Articles of Incorporation as Amended</w:t>
              </w:r>
            </w:hyperlink>
          </w:p>
        </w:tc>
        <w:tc>
          <w:tcPr>
            <w:tcW w:w="2420" w:type="dxa"/>
            <w:vAlign w:val="bottom"/>
            <w:gridSpan w:val="12"/>
          </w:tcPr>
          <w:p>
            <w:pPr>
              <w:spacing w:after="0"/>
              <w:rPr>
                <w:sz w:val="24"/>
                <w:szCs w:val="24"/>
                <w:color w:val="auto"/>
              </w:rPr>
            </w:pPr>
          </w:p>
        </w:tc>
        <w:tc>
          <w:tcPr>
            <w:tcW w:w="300" w:type="dxa"/>
            <w:vAlign w:val="bottom"/>
            <w:vMerge w:val="continue"/>
          </w:tcPr>
          <w:p>
            <w:pPr>
              <w:spacing w:after="0"/>
              <w:rPr>
                <w:sz w:val="24"/>
                <w:szCs w:val="24"/>
                <w:color w:val="auto"/>
              </w:rPr>
            </w:pPr>
          </w:p>
        </w:tc>
        <w:tc>
          <w:tcPr>
            <w:tcW w:w="740" w:type="dxa"/>
            <w:vAlign w:val="bottom"/>
            <w:gridSpan w:val="5"/>
            <w:vMerge w:val="continue"/>
          </w:tcPr>
          <w:p>
            <w:pPr>
              <w:spacing w:after="0"/>
              <w:rPr>
                <w:sz w:val="24"/>
                <w:szCs w:val="24"/>
                <w:color w:val="auto"/>
              </w:rPr>
            </w:pPr>
          </w:p>
        </w:tc>
        <w:tc>
          <w:tcPr>
            <w:tcW w:w="1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Certificate of Change to Articles of Incorporation (reverse split)</w:t>
              </w:r>
            </w:hyperlink>
          </w:p>
        </w:tc>
        <w:tc>
          <w:tcPr>
            <w:tcW w:w="54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center"/>
              <w:spacing w:after="0"/>
              <w:rPr>
                <w:rFonts w:ascii="Arial" w:cs="Arial" w:eastAsia="Arial" w:hAnsi="Arial"/>
                <w:sz w:val="18"/>
                <w:szCs w:val="18"/>
                <w:b w:val="1"/>
                <w:bCs w:val="1"/>
                <w:color w:val="0000EE"/>
              </w:rPr>
            </w:pPr>
            <w:hyperlink r:id="rId54">
              <w:r>
                <w:rPr>
                  <w:rFonts w:ascii="Arial" w:cs="Arial" w:eastAsia="Arial" w:hAnsi="Arial"/>
                  <w:sz w:val="18"/>
                  <w:szCs w:val="18"/>
                  <w:b w:val="1"/>
                  <w:bCs w:val="1"/>
                  <w:color w:val="0000EE"/>
                </w:rPr>
                <w:t>8-K</w:t>
              </w:r>
            </w:hyperlink>
          </w:p>
        </w:tc>
        <w:tc>
          <w:tcPr>
            <w:tcW w:w="440" w:type="dxa"/>
            <w:vAlign w:val="bottom"/>
            <w:gridSpan w:val="4"/>
          </w:tcPr>
          <w:p>
            <w:pPr>
              <w:spacing w:after="0"/>
              <w:rPr>
                <w:sz w:val="24"/>
                <w:szCs w:val="24"/>
                <w:color w:val="auto"/>
              </w:rPr>
            </w:pPr>
          </w:p>
        </w:tc>
        <w:tc>
          <w:tcPr>
            <w:tcW w:w="1020" w:type="dxa"/>
            <w:vAlign w:val="bottom"/>
            <w:gridSpan w:val="3"/>
          </w:tcPr>
          <w:p>
            <w:pPr>
              <w:jc w:val="center"/>
              <w:spacing w:after="0"/>
              <w:rPr>
                <w:rFonts w:ascii="Arial" w:cs="Arial" w:eastAsia="Arial" w:hAnsi="Arial"/>
                <w:sz w:val="18"/>
                <w:szCs w:val="18"/>
                <w:b w:val="1"/>
                <w:bCs w:val="1"/>
                <w:color w:val="0000EE"/>
                <w:w w:val="90"/>
              </w:rPr>
            </w:pPr>
            <w:hyperlink r:id="rId54">
              <w:r>
                <w:rPr>
                  <w:rFonts w:ascii="Arial" w:cs="Arial" w:eastAsia="Arial" w:hAnsi="Arial"/>
                  <w:sz w:val="18"/>
                  <w:szCs w:val="18"/>
                  <w:b w:val="1"/>
                  <w:bCs w:val="1"/>
                  <w:color w:val="0000EE"/>
                  <w:w w:val="90"/>
                </w:rPr>
                <w:t>000-27239</w:t>
              </w:r>
            </w:hyperlink>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b w:val="1"/>
                <w:bCs w:val="1"/>
                <w:color w:val="0000EE"/>
                <w:w w:val="95"/>
              </w:rPr>
            </w:pPr>
            <w:hyperlink r:id="rId54">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100" w:type="dxa"/>
            <w:vAlign w:val="bottom"/>
          </w:tcPr>
          <w:p>
            <w:pPr>
              <w:spacing w:after="0"/>
              <w:rPr>
                <w:sz w:val="24"/>
                <w:szCs w:val="24"/>
                <w:color w:val="auto"/>
              </w:rPr>
            </w:pPr>
          </w:p>
        </w:tc>
        <w:tc>
          <w:tcPr>
            <w:tcW w:w="1020" w:type="dxa"/>
            <w:vAlign w:val="bottom"/>
            <w:gridSpan w:val="3"/>
          </w:tcPr>
          <w:p>
            <w:pPr>
              <w:ind w:left="240"/>
              <w:spacing w:after="0"/>
              <w:rPr>
                <w:rFonts w:ascii="Arial" w:cs="Arial" w:eastAsia="Arial" w:hAnsi="Arial"/>
                <w:sz w:val="18"/>
                <w:szCs w:val="18"/>
                <w:b w:val="1"/>
                <w:bCs w:val="1"/>
                <w:color w:val="0000EE"/>
              </w:rPr>
            </w:pPr>
            <w:hyperlink r:id="rId54">
              <w:r>
                <w:rPr>
                  <w:rFonts w:ascii="Arial" w:cs="Arial" w:eastAsia="Arial" w:hAnsi="Arial"/>
                  <w:sz w:val="18"/>
                  <w:szCs w:val="18"/>
                  <w:b w:val="1"/>
                  <w:bCs w:val="1"/>
                  <w:color w:val="0000EE"/>
                </w:rPr>
                <w:t>9/15/16</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spacing w:after="0"/>
              <w:rPr>
                <w:rFonts w:ascii="Arial" w:cs="Arial" w:eastAsia="Arial" w:hAnsi="Arial"/>
                <w:sz w:val="18"/>
                <w:szCs w:val="18"/>
                <w:color w:val="0000EE"/>
              </w:rPr>
            </w:pPr>
            <w:hyperlink r:id="rId55">
              <w:r>
                <w:rPr>
                  <w:rFonts w:ascii="Arial" w:cs="Arial" w:eastAsia="Arial" w:hAnsi="Arial"/>
                  <w:sz w:val="18"/>
                  <w:szCs w:val="18"/>
                  <w:color w:val="0000EE"/>
                </w:rPr>
                <w:t>Amended and Restated Bylaws</w:t>
              </w:r>
            </w:hyperlink>
          </w:p>
        </w:tc>
        <w:tc>
          <w:tcPr>
            <w:tcW w:w="54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center"/>
              <w:spacing w:after="0"/>
              <w:rPr>
                <w:rFonts w:ascii="Arial" w:cs="Arial" w:eastAsia="Arial" w:hAnsi="Arial"/>
                <w:sz w:val="18"/>
                <w:szCs w:val="18"/>
                <w:b w:val="1"/>
                <w:bCs w:val="1"/>
                <w:color w:val="0000EE"/>
              </w:rPr>
            </w:pPr>
            <w:hyperlink r:id="rId55">
              <w:r>
                <w:rPr>
                  <w:rFonts w:ascii="Arial" w:cs="Arial" w:eastAsia="Arial" w:hAnsi="Arial"/>
                  <w:sz w:val="18"/>
                  <w:szCs w:val="18"/>
                  <w:b w:val="1"/>
                  <w:bCs w:val="1"/>
                  <w:color w:val="0000EE"/>
                </w:rPr>
                <w:t>8-K</w:t>
              </w:r>
            </w:hyperlink>
          </w:p>
        </w:tc>
        <w:tc>
          <w:tcPr>
            <w:tcW w:w="440" w:type="dxa"/>
            <w:vAlign w:val="bottom"/>
            <w:gridSpan w:val="4"/>
          </w:tcPr>
          <w:p>
            <w:pPr>
              <w:spacing w:after="0"/>
              <w:rPr>
                <w:sz w:val="24"/>
                <w:szCs w:val="24"/>
                <w:color w:val="auto"/>
              </w:rPr>
            </w:pPr>
          </w:p>
        </w:tc>
        <w:tc>
          <w:tcPr>
            <w:tcW w:w="1020" w:type="dxa"/>
            <w:vAlign w:val="bottom"/>
            <w:gridSpan w:val="3"/>
          </w:tcPr>
          <w:p>
            <w:pPr>
              <w:jc w:val="center"/>
              <w:spacing w:after="0"/>
              <w:rPr>
                <w:rFonts w:ascii="Arial" w:cs="Arial" w:eastAsia="Arial" w:hAnsi="Arial"/>
                <w:sz w:val="18"/>
                <w:szCs w:val="18"/>
                <w:b w:val="1"/>
                <w:bCs w:val="1"/>
                <w:color w:val="0000EE"/>
                <w:w w:val="90"/>
              </w:rPr>
            </w:pPr>
            <w:hyperlink r:id="rId55">
              <w:r>
                <w:rPr>
                  <w:rFonts w:ascii="Arial" w:cs="Arial" w:eastAsia="Arial" w:hAnsi="Arial"/>
                  <w:sz w:val="18"/>
                  <w:szCs w:val="18"/>
                  <w:b w:val="1"/>
                  <w:bCs w:val="1"/>
                  <w:color w:val="0000EE"/>
                  <w:w w:val="90"/>
                </w:rPr>
                <w:t>000-27239</w:t>
              </w:r>
            </w:hyperlink>
          </w:p>
        </w:tc>
        <w:tc>
          <w:tcPr>
            <w:tcW w:w="100" w:type="dxa"/>
            <w:vAlign w:val="bottom"/>
          </w:tcPr>
          <w:p>
            <w:pPr>
              <w:spacing w:after="0"/>
              <w:rPr>
                <w:sz w:val="24"/>
                <w:szCs w:val="24"/>
                <w:color w:val="auto"/>
              </w:rPr>
            </w:pPr>
          </w:p>
        </w:tc>
        <w:tc>
          <w:tcPr>
            <w:tcW w:w="920" w:type="dxa"/>
            <w:vAlign w:val="bottom"/>
            <w:gridSpan w:val="3"/>
          </w:tcPr>
          <w:p>
            <w:pPr>
              <w:jc w:val="center"/>
              <w:spacing w:after="0"/>
              <w:rPr>
                <w:rFonts w:ascii="Arial" w:cs="Arial" w:eastAsia="Arial" w:hAnsi="Arial"/>
                <w:sz w:val="18"/>
                <w:szCs w:val="18"/>
                <w:b w:val="1"/>
                <w:bCs w:val="1"/>
                <w:color w:val="0000EE"/>
                <w:w w:val="95"/>
              </w:rPr>
            </w:pPr>
            <w:hyperlink r:id="rId55">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100" w:type="dxa"/>
            <w:vAlign w:val="bottom"/>
          </w:tcPr>
          <w:p>
            <w:pPr>
              <w:spacing w:after="0"/>
              <w:rPr>
                <w:sz w:val="24"/>
                <w:szCs w:val="24"/>
                <w:color w:val="auto"/>
              </w:rPr>
            </w:pPr>
          </w:p>
        </w:tc>
        <w:tc>
          <w:tcPr>
            <w:tcW w:w="1020" w:type="dxa"/>
            <w:vAlign w:val="bottom"/>
            <w:gridSpan w:val="3"/>
          </w:tcPr>
          <w:p>
            <w:pPr>
              <w:ind w:left="240"/>
              <w:spacing w:after="0"/>
              <w:rPr>
                <w:rFonts w:ascii="Arial" w:cs="Arial" w:eastAsia="Arial" w:hAnsi="Arial"/>
                <w:sz w:val="18"/>
                <w:szCs w:val="18"/>
                <w:b w:val="1"/>
                <w:bCs w:val="1"/>
                <w:color w:val="0000EE"/>
              </w:rPr>
            </w:pPr>
            <w:hyperlink r:id="rId55">
              <w:r>
                <w:rPr>
                  <w:rFonts w:ascii="Arial" w:cs="Arial" w:eastAsia="Arial" w:hAnsi="Arial"/>
                  <w:sz w:val="18"/>
                  <w:szCs w:val="18"/>
                  <w:b w:val="1"/>
                  <w:bCs w:val="1"/>
                  <w:color w:val="0000EE"/>
                </w:rPr>
                <w:t>7/15/16</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jc w:val="cente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X</w:t>
              </w:r>
            </w:hyperlink>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Common Stock Purchase Agreement</w:t>
              </w:r>
            </w:hyperlink>
          </w:p>
        </w:tc>
        <w:tc>
          <w:tcPr>
            <w:tcW w:w="242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Warrant Exercise Agreement</w:t>
              </w:r>
            </w:hyperlink>
          </w:p>
        </w:tc>
        <w:tc>
          <w:tcPr>
            <w:tcW w:w="30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Warrant Exercise Agreement</w:t>
              </w:r>
            </w:hyperlink>
          </w:p>
        </w:tc>
        <w:tc>
          <w:tcPr>
            <w:tcW w:w="30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Warrant Exercise Agreement</w:t>
              </w:r>
            </w:hyperlink>
          </w:p>
        </w:tc>
        <w:tc>
          <w:tcPr>
            <w:tcW w:w="30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Warrant Exercise Agreement</w:t>
              </w:r>
            </w:hyperlink>
          </w:p>
        </w:tc>
        <w:tc>
          <w:tcPr>
            <w:tcW w:w="30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Chief Executive Officer Pursuant to Rule 13a-14(a)</w:t>
              </w:r>
            </w:hyperlink>
          </w:p>
        </w:tc>
        <w:tc>
          <w:tcPr>
            <w:tcW w:w="2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vMerge w:val="restart"/>
          </w:tcPr>
          <w:p>
            <w:pPr>
              <w:jc w:val="cente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X</w:t>
              </w:r>
            </w:hyperlink>
          </w:p>
        </w:tc>
        <w:tc>
          <w:tcPr>
            <w:tcW w:w="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or 15d-14(a) of the Securities Exchange Act of 1933, as amended.</w:t>
              </w:r>
            </w:hyperlink>
          </w:p>
        </w:tc>
        <w:tc>
          <w:tcPr>
            <w:tcW w:w="38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0000EE"/>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gridSpan w:val="17"/>
          </w:tcPr>
          <w:p>
            <w:pP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Certification of Chief Financial Officer and Chief Accounting Officer</w:t>
              </w:r>
            </w:hyperlink>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Pursuant to Rule 13a-14(a) or 15d-14(a) of the Securities Exchange</w:t>
              </w:r>
            </w:hyperlink>
          </w:p>
        </w:tc>
        <w:tc>
          <w:tcPr>
            <w:tcW w:w="14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Act of 1933, as amended.</w:t>
              </w:r>
            </w:hyperlink>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Chief Executive Officer Pursuant to Rule 13a-14(a)</w:t>
              </w:r>
            </w:hyperlink>
          </w:p>
        </w:tc>
        <w:tc>
          <w:tcPr>
            <w:tcW w:w="2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7"/>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or 15d-14(a) of the Securities Exchange Act of 1933, as amended.</w:t>
              </w:r>
            </w:hyperlink>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Chief Financial Officer and Chief Principal</w:t>
              </w:r>
            </w:hyperlink>
          </w:p>
        </w:tc>
        <w:tc>
          <w:tcPr>
            <w:tcW w:w="480" w:type="dxa"/>
            <w:vAlign w:val="bottom"/>
            <w:tcBorders>
              <w:top w:val="single" w:sz="8" w:color="0000EE"/>
            </w:tcBorders>
            <w:gridSpan w:val="2"/>
          </w:tcPr>
          <w:p>
            <w:pPr>
              <w:spacing w:after="0"/>
              <w:rPr>
                <w:sz w:val="24"/>
                <w:szCs w:val="24"/>
                <w:color w:val="auto"/>
              </w:rPr>
            </w:pPr>
          </w:p>
        </w:tc>
        <w:tc>
          <w:tcPr>
            <w:tcW w:w="40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Accounting Officer pursuant to 18 U.S.C. 1350 as adopted pursuant</w:t>
              </w:r>
            </w:hyperlink>
          </w:p>
        </w:tc>
        <w:tc>
          <w:tcPr>
            <w:tcW w:w="2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vMerge w:val="restart"/>
          </w:tcPr>
          <w:p>
            <w:pPr>
              <w:jc w:val="cente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X</w:t>
              </w:r>
            </w:hyperlink>
          </w:p>
        </w:tc>
        <w:tc>
          <w:tcPr>
            <w:tcW w:w="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to Section 906 of the Sarbanes-Oxley Act of 2002.</w:t>
              </w:r>
            </w:hyperlink>
          </w:p>
        </w:tc>
        <w:tc>
          <w:tcPr>
            <w:tcW w:w="1500" w:type="dxa"/>
            <w:vAlign w:val="bottom"/>
            <w:gridSpan w:val="11"/>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0000EE"/>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280035</wp:posOffset>
            </wp:positionV>
            <wp:extent cx="1140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this 15th day of May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 and Principal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Common Stock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14, 2018, by and among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Eastern Capital Limited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Purchaser is executing and delivering this Agreement in reliance upon the private placement exemption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registration afforded by Section 4(a)(2) of the Securities Act, and Rule 506 of Regulation D (“</w:t>
      </w:r>
      <w:r>
        <w:rPr>
          <w:rFonts w:ascii="Arial" w:cs="Arial" w:eastAsia="Arial" w:hAnsi="Arial"/>
          <w:sz w:val="18"/>
          <w:szCs w:val="18"/>
          <w:u w:val="single" w:color="auto"/>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Purchaser wishes to purchase, and the Company wishes to sell, upon the terms and conditions stated in this Agreement,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shares of common stock of the Company set forth below the Purchaser’s name on the signature page of this Agreement.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contained in this Agreement,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adequacy of which are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1283"/>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indicated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144. With respect to a Purchaser, any investment fund or managed account that is managed on a discretionary basis by the same investment manager as Purchaser will be deemed to be an Affiliate of Purchaser.</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federal legal holiday or a day on which banking institutions in the State of New York are authorized or required by law or other governmental action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$0.001 par value per share, and any securities into which such common stock may hereafter be reclassified.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Disclosures</w:t>
      </w:r>
      <w:r>
        <w:rPr>
          <w:rFonts w:ascii="Arial" w:cs="Arial" w:eastAsia="Arial" w:hAnsi="Arial"/>
          <w:sz w:val="18"/>
          <w:szCs w:val="18"/>
          <w:color w:val="auto"/>
        </w:rPr>
        <w:t xml:space="preserve">” means the Disclosure Schedules, if any,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security interest, encumbrance, right of first refusal or other restriction.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ascribed to such term in Section 3.1(b).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3.1(m).</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Per Share</w:t>
      </w:r>
      <w:r>
        <w:rPr>
          <w:rFonts w:ascii="Arial" w:cs="Arial" w:eastAsia="Arial" w:hAnsi="Arial"/>
          <w:sz w:val="18"/>
          <w:szCs w:val="18"/>
          <w:color w:val="auto"/>
        </w:rPr>
        <w:t>” means $2.40 per share of Common Stock.</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as to the Purchaser and the Closing, the amounts set forth below Purchaser’s signature block on the signature page hereto, in United States dollars and in immediately available funds.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means the shares of Common Stock, of which are being issued and sold by the Company to the Purchaser at the Closing.</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following markets or exchanges on which the Common Stock is listed or quoted for trading on the date in question: the American Stock Exchange, the Nasdaq Capital Market, the Nasdaq Global Market, the Nasdaq Global Select Market, the New York Stock Exchange or the OTC Bulletin Board.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any other documents or written agreements executed by the Company and the Purchaser in connection with the transactions contemplated hereunder.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Island Stock Transfer and any successor transfer agent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1283"/>
        <w:spacing w:after="0" w:line="29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Purchase and Sale of Common Stock and Closing</w:t>
      </w:r>
      <w:r>
        <w:rPr>
          <w:rFonts w:ascii="Arial" w:cs="Arial" w:eastAsia="Arial" w:hAnsi="Arial"/>
          <w:sz w:val="16"/>
          <w:szCs w:val="16"/>
          <w:color w:val="auto"/>
        </w:rPr>
        <w:t>. At the Closing, the Purchaser shall purchase and the Company shall issue and sell to the Purchaser that number of shares of Common Stock as set forth opposite the Purchaser’s name on the signature page hereto for the aggregate purchase price as set forth opposite each Purchaser’s name on the signature page hereto. The Closing will take place at 2:00 p.m., New York time, on the first business day after the satisfaction or waiver of the closing conditions set forth in Section 2.2 at Closing at the offices of Shumaker, Loop &amp; Kendrick, LLP, 101 Kennedy Boulevard, Suite 2800, Tampa, Florida 33602, or such other time and/or location as the parties shall mutually agree.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 Deliveries and Conditions</w:t>
      </w:r>
      <w:r>
        <w:rPr>
          <w:rFonts w:ascii="Arial" w:cs="Arial" w:eastAsia="Arial" w:hAnsi="Arial"/>
          <w:sz w:val="18"/>
          <w:szCs w:val="18"/>
          <w:color w:val="auto"/>
        </w:rPr>
        <w:t>.</w:t>
      </w:r>
    </w:p>
    <w:p>
      <w:pPr>
        <w:spacing w:after="0" w:line="225" w:lineRule="exact"/>
        <w:rPr>
          <w:sz w:val="20"/>
          <w:szCs w:val="20"/>
          <w:color w:val="auto"/>
        </w:rPr>
      </w:pPr>
    </w:p>
    <w:p>
      <w:pPr>
        <w:ind w:right="180" w:firstLine="1953"/>
        <w:spacing w:after="0" w:line="277" w:lineRule="auto"/>
        <w:tabs>
          <w:tab w:leader="none" w:pos="22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Purchaser’s obligations to consummate the transactions contemplated hereby are subject to satisfaction or waiver, in the discretion of the Purchaser, of the following conditions:</w:t>
      </w:r>
    </w:p>
    <w:p>
      <w:pPr>
        <w:spacing w:after="0" w:line="170" w:lineRule="exact"/>
        <w:rPr>
          <w:rFonts w:ascii="Arial" w:cs="Arial" w:eastAsia="Arial" w:hAnsi="Arial"/>
          <w:sz w:val="18"/>
          <w:szCs w:val="18"/>
          <w:color w:val="auto"/>
        </w:rPr>
      </w:pPr>
    </w:p>
    <w:p>
      <w:pPr>
        <w:ind w:firstLine="2601"/>
        <w:spacing w:after="0" w:line="277" w:lineRule="auto"/>
        <w:tabs>
          <w:tab w:leader="none" w:pos="35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of the Company to issue stock certificates in the name of the Purchaser evidencing the Shares being sold to the Purchaser;</w:t>
      </w:r>
    </w:p>
    <w:p>
      <w:pPr>
        <w:spacing w:after="0" w:line="170" w:lineRule="exact"/>
        <w:rPr>
          <w:rFonts w:ascii="Arial" w:cs="Arial" w:eastAsia="Arial" w:hAnsi="Arial"/>
          <w:sz w:val="18"/>
          <w:szCs w:val="18"/>
          <w:color w:val="auto"/>
        </w:rPr>
      </w:pPr>
    </w:p>
    <w:p>
      <w:pPr>
        <w:ind w:left="3460" w:hanging="859"/>
        <w:spacing w:after="0"/>
        <w:tabs>
          <w:tab w:leader="none" w:pos="3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Purchaser this Agreement; and</w:t>
      </w:r>
    </w:p>
    <w:p>
      <w:pPr>
        <w:spacing w:after="0" w:line="225" w:lineRule="exact"/>
        <w:rPr>
          <w:rFonts w:ascii="Arial" w:cs="Arial" w:eastAsia="Arial" w:hAnsi="Arial"/>
          <w:sz w:val="18"/>
          <w:szCs w:val="18"/>
          <w:color w:val="auto"/>
        </w:rPr>
      </w:pPr>
    </w:p>
    <w:p>
      <w:pPr>
        <w:ind w:right="60" w:firstLine="2601"/>
        <w:spacing w:after="0" w:line="279" w:lineRule="auto"/>
        <w:tabs>
          <w:tab w:leader="none" w:pos="340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representations and warranties of the Company contained herein shall be true and correct as of the Closing Date (except for representations and warranties that speak as of a specific date, which representations and warranties must be correct as of such date), all necessary consents and waivers of third parties shall have been obtained and each party shall have performed and complied in all material respects with the covenants and conditions required by this Agreement to be performed or complied with by the party at or prior to the Closing.</w:t>
      </w:r>
    </w:p>
    <w:p>
      <w:pPr>
        <w:spacing w:after="0" w:line="171" w:lineRule="exact"/>
        <w:rPr>
          <w:rFonts w:ascii="Arial" w:cs="Arial" w:eastAsia="Arial" w:hAnsi="Arial"/>
          <w:sz w:val="17"/>
          <w:szCs w:val="17"/>
          <w:color w:val="auto"/>
        </w:rPr>
      </w:pPr>
    </w:p>
    <w:p>
      <w:pPr>
        <w:ind w:firstLine="1953"/>
        <w:spacing w:after="0" w:line="277" w:lineRule="auto"/>
        <w:tabs>
          <w:tab w:leader="none" w:pos="22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obligation to consummate the transactions contemplated hereby are subject to satisfaction or waiver, in the discretion of the Company, of the following conditions:</w:t>
      </w:r>
    </w:p>
    <w:p>
      <w:pPr>
        <w:spacing w:after="0" w:line="170" w:lineRule="exact"/>
        <w:rPr>
          <w:rFonts w:ascii="Arial" w:cs="Arial" w:eastAsia="Arial" w:hAnsi="Arial"/>
          <w:sz w:val="18"/>
          <w:szCs w:val="18"/>
          <w:color w:val="auto"/>
        </w:rPr>
      </w:pPr>
    </w:p>
    <w:p>
      <w:pPr>
        <w:ind w:left="3820" w:hanging="1219"/>
        <w:spacing w:after="0"/>
        <w:tabs>
          <w:tab w:leader="none" w:pos="3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Purchase Price by wire transfer to the account designated on the Company’s signature page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and</w:t>
      </w:r>
    </w:p>
    <w:p>
      <w:pPr>
        <w:spacing w:after="0" w:line="210" w:lineRule="exact"/>
        <w:rPr>
          <w:rFonts w:ascii="Arial" w:cs="Arial" w:eastAsia="Arial" w:hAnsi="Arial"/>
          <w:sz w:val="16"/>
          <w:szCs w:val="16"/>
          <w:color w:val="auto"/>
        </w:rPr>
      </w:pPr>
    </w:p>
    <w:p>
      <w:pPr>
        <w:ind w:left="3460" w:hanging="859"/>
        <w:spacing w:after="0"/>
        <w:tabs>
          <w:tab w:leader="none" w:pos="3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Purchaser shall have executed and delivered to the Company this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2601"/>
        <w:spacing w:after="0" w:line="302" w:lineRule="auto"/>
        <w:tabs>
          <w:tab w:leader="none" w:pos="34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representations and warranties of the Purchaser contained herein shall be true and correct as of the Closing Date (except for representations and warranties that speak as of a specific date, which representations and warranties must be correct as of such date), all necessary consents and waivers of third parties shall have been obtained and each party shall have performed and complied in all material respects with the covenants and conditions required by this Agreement to be performed or complied with by the party at or prior to the Closing; and</w:t>
      </w:r>
    </w:p>
    <w:p>
      <w:pPr>
        <w:spacing w:after="0" w:line="154" w:lineRule="exact"/>
        <w:rPr>
          <w:rFonts w:ascii="Arial" w:cs="Arial" w:eastAsia="Arial" w:hAnsi="Arial"/>
          <w:sz w:val="16"/>
          <w:szCs w:val="16"/>
          <w:color w:val="auto"/>
        </w:rPr>
      </w:pPr>
    </w:p>
    <w:p>
      <w:pPr>
        <w:ind w:right="120" w:firstLine="2601"/>
        <w:spacing w:after="0" w:line="277" w:lineRule="auto"/>
        <w:tabs>
          <w:tab w:leader="none" w:pos="34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Purchaser shall have executed a Voting and Support Agreement with regard to the Company’s anticipated reverse triangular merger with Marker Therapeutics,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1334"/>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or under the corresponding section of the Annex I Disclosure Schedules delivered concurrently herewith, the Company makes the following representations and warranties as of the date hereof to the Purchaser:</w:t>
      </w:r>
    </w:p>
    <w:p>
      <w:pPr>
        <w:spacing w:after="0" w:line="181" w:lineRule="exact"/>
        <w:rPr>
          <w:sz w:val="20"/>
          <w:szCs w:val="20"/>
          <w:color w:val="auto"/>
        </w:rPr>
      </w:pPr>
    </w:p>
    <w:p>
      <w:pPr>
        <w:ind w:left="2280" w:hanging="327"/>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has no material direct or indirect Subsidiaries.</w:t>
      </w:r>
    </w:p>
    <w:p>
      <w:pPr>
        <w:spacing w:after="0" w:line="225" w:lineRule="exact"/>
        <w:rPr>
          <w:rFonts w:ascii="Arial" w:cs="Arial" w:eastAsia="Arial" w:hAnsi="Arial"/>
          <w:sz w:val="18"/>
          <w:szCs w:val="18"/>
          <w:color w:val="auto"/>
        </w:rPr>
      </w:pPr>
    </w:p>
    <w:p>
      <w:pPr>
        <w:jc w:val="both"/>
        <w:ind w:firstLine="1953"/>
        <w:spacing w:after="0" w:line="270" w:lineRule="auto"/>
        <w:tabs>
          <w:tab w:leader="none" w:pos="231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an entity duly incorporated or otherwise organized, validly existing and in good standing under the laws of the jurisdiction of its incorporation or organization (as applicable), with the requisite corporate power and authority to own and use its properties and assets and to carry on its business as currently conducted. The Company is not in violation of any of the provisions of its certificate or articles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prospects, business or condition (financial or otherwise) of the Company, taken as a whole, or (iii) adversely impair the Company’s ability to perform fully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953"/>
        <w:spacing w:after="0" w:line="289" w:lineRule="auto"/>
        <w:tabs>
          <w:tab w:leader="none" w:pos="230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consent or action is required by the Company, its Board of Directors or its stockholders. Each Transaction Document has been (or upon delivery will have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1953"/>
        <w:spacing w:after="0" w:line="284" w:lineRule="auto"/>
        <w:tabs>
          <w:tab w:leader="none" w:pos="228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(iii), such as would not have or reasonably be expected to result in a Material Adverse Effect.</w:t>
      </w:r>
    </w:p>
    <w:p>
      <w:pPr>
        <w:spacing w:after="0" w:line="210" w:lineRule="exact"/>
        <w:rPr>
          <w:rFonts w:ascii="Arial" w:cs="Arial" w:eastAsia="Arial" w:hAnsi="Arial"/>
          <w:sz w:val="18"/>
          <w:szCs w:val="18"/>
          <w:color w:val="auto"/>
        </w:rPr>
      </w:pPr>
    </w:p>
    <w:p>
      <w:pPr>
        <w:jc w:val="both"/>
        <w:ind w:firstLine="1953"/>
        <w:spacing w:after="0" w:line="276" w:lineRule="auto"/>
        <w:tabs>
          <w:tab w:leader="none" w:pos="2293"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(a) any applicable Blue Sky filings, (b) such as have already been obtained or such exemption filings as are required to be made under applicable securities laws, and (c) such other filings as may be required following the Closing Date under the Securities Act, the Exchange Act and corporate law.</w:t>
      </w:r>
    </w:p>
    <w:p>
      <w:pPr>
        <w:spacing w:after="0" w:line="172" w:lineRule="exact"/>
        <w:rPr>
          <w:rFonts w:ascii="Arial" w:cs="Arial" w:eastAsia="Arial" w:hAnsi="Arial"/>
          <w:sz w:val="17"/>
          <w:szCs w:val="17"/>
          <w:color w:val="auto"/>
        </w:rPr>
      </w:pPr>
    </w:p>
    <w:p>
      <w:pPr>
        <w:jc w:val="both"/>
        <w:ind w:firstLine="1953"/>
        <w:spacing w:after="0" w:line="312" w:lineRule="auto"/>
        <w:tabs>
          <w:tab w:leader="none" w:pos="234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w:t>
      </w:r>
      <w:r>
        <w:rPr>
          <w:rFonts w:ascii="Arial" w:cs="Arial" w:eastAsia="Arial" w:hAnsi="Arial"/>
          <w:sz w:val="16"/>
          <w:szCs w:val="16"/>
          <w:color w:val="auto"/>
        </w:rPr>
        <w:t>. The Shares are duly authorized and, the Shares, when issued and paid for in accordance with the Transaction Documents, will be duly and validly issued, fully paid and non-assessable, free and clear of all Liens and shall not be subject to preemptive rights or similar rights of stockholders. The Company has reserved from its duly authorized capital stock the number of Shares issuable pursuant to this Agreement.</w:t>
      </w:r>
    </w:p>
    <w:p>
      <w:pPr>
        <w:spacing w:after="0" w:line="146" w:lineRule="exact"/>
        <w:rPr>
          <w:rFonts w:ascii="Arial" w:cs="Arial" w:eastAsia="Arial" w:hAnsi="Arial"/>
          <w:sz w:val="16"/>
          <w:szCs w:val="16"/>
          <w:color w:val="auto"/>
        </w:rPr>
      </w:pPr>
    </w:p>
    <w:p>
      <w:pPr>
        <w:jc w:val="both"/>
        <w:ind w:firstLine="1953"/>
        <w:spacing w:after="0" w:line="269" w:lineRule="auto"/>
        <w:tabs>
          <w:tab w:leader="none" w:pos="237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number of shares and type of all authorized, issued and outstanding capital stock, options and other securities of the Company (whether or not presently convertible into or exercisable or exchangeable for shares of capital stock of the Company) is as set forth in the SEC Reports. All outstanding shares of capital stock are duly authorized, validly issued, fully paid and non-assessable and have been issued in compliance with all applicable securities laws. Except as disclosed in the SEC Reports, there are no outstanding options, warrants, script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securities or rights convertible or exchangeable into shares of Common Stock. Except as set forth in the SEC Reports, there are no anti-dilution or price adjustment provisions contained in any security issued by the Company (or in any agreement providing rights to security holders) and the issue and sale of the Company Securities will not obligate the Company to issue shares of Common Stock or other securities to any Person (other than the Purchaser) and will not result in a right of any holder of Company securities to adjust the exercise, conversion, exchange or reset price under such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2300" w:hanging="347"/>
        <w:spacing w:after="0"/>
        <w:tabs>
          <w:tab w:leader="none" w:pos="2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73" w:lineRule="auto"/>
        <w:tabs>
          <w:tab w:leader="none" w:pos="3609"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has filed all reports required to be filed by it under the Securities Act and the Exchange Act, including pursuant to Section 13(a) or 15(d) of the Exchange Act, for the two years preceding the date hereof (or such shorter period as the Company was required by law to file such material) (the foregoing materials, including the exhibits thereto (together with any materials filed by the Company under the Exchange Act, whether or not required),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and, together with this Agreement and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Materials</w:t>
      </w:r>
      <w:r>
        <w:rPr>
          <w:rFonts w:ascii="Arial" w:cs="Arial" w:eastAsia="Arial" w:hAnsi="Arial"/>
          <w:sz w:val="17"/>
          <w:szCs w:val="17"/>
          <w:color w:val="auto"/>
        </w:rPr>
        <w:t>”) on a timely basis or has received a valid extension of such time of filing and has filed any such SEC Reports prior to the expiration of any such extension. True and complete copies of the SEC Reports are available at www.sec.gov.</w:t>
      </w:r>
    </w:p>
    <w:p>
      <w:pPr>
        <w:spacing w:after="0" w:line="178" w:lineRule="exact"/>
        <w:rPr>
          <w:rFonts w:ascii="Arial" w:cs="Arial" w:eastAsia="Arial" w:hAnsi="Arial"/>
          <w:sz w:val="17"/>
          <w:szCs w:val="17"/>
          <w:color w:val="auto"/>
        </w:rPr>
      </w:pPr>
    </w:p>
    <w:p>
      <w:pPr>
        <w:jc w:val="both"/>
        <w:ind w:firstLine="2601"/>
        <w:spacing w:after="0" w:line="279" w:lineRule="auto"/>
        <w:tabs>
          <w:tab w:leader="none" w:pos="355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As of their respective dates, the SEC Reports complied in all material respects with the requirements of the Securities Act and the Exchange Act and the rules and regulations of the Commission promulgated thereunder,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71" w:lineRule="exact"/>
        <w:rPr>
          <w:rFonts w:ascii="Arial" w:cs="Arial" w:eastAsia="Arial" w:hAnsi="Arial"/>
          <w:sz w:val="17"/>
          <w:szCs w:val="17"/>
          <w:color w:val="auto"/>
        </w:rPr>
      </w:pPr>
    </w:p>
    <w:p>
      <w:pPr>
        <w:jc w:val="both"/>
        <w:ind w:firstLine="2601"/>
        <w:spacing w:after="0" w:line="272" w:lineRule="auto"/>
        <w:tabs>
          <w:tab w:leader="none" w:pos="3538"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or may be condensed or summary statements,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7"/>
          <w:szCs w:val="17"/>
          <w:color w:val="auto"/>
        </w:rPr>
      </w:pPr>
    </w:p>
    <w:p>
      <w:pPr>
        <w:jc w:val="both"/>
        <w:ind w:firstLine="2601"/>
        <w:spacing w:after="0" w:line="259" w:lineRule="auto"/>
        <w:tabs>
          <w:tab w:leader="none" w:pos="351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material agreements to which the Company is a party or to which the property or assets of the Company are subject are included as part of or specifically identified in the SEC Reports. Other than the material contracts listed in the SEC Reports, as otherwise provided to the Purchaser, the Company has no material contracts. Except as set forth in the SEC Reports, the Company is not in breach or violation of any material contract, which breach or violation would have a Material Adverse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1953"/>
        <w:spacing w:after="0" w:line="271" w:lineRule="auto"/>
        <w:tabs>
          <w:tab w:leader="none" w:pos="2434"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Absence of Material Changes</w:t>
      </w:r>
      <w:r>
        <w:rPr>
          <w:rFonts w:ascii="Arial" w:cs="Arial" w:eastAsia="Arial" w:hAnsi="Arial"/>
          <w:sz w:val="17"/>
          <w:szCs w:val="17"/>
          <w:color w:val="auto"/>
        </w:rPr>
        <w:t>. Since the date of the latest audited financial statements included within the SEC Reports, except as disclosed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required to be disclosed in filings made with the Commission, (iii) the Company has not altered its method of accounting or the identity of its auditors,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and agreements.</w:t>
      </w:r>
    </w:p>
    <w:p>
      <w:pPr>
        <w:spacing w:after="0" w:line="178" w:lineRule="exact"/>
        <w:rPr>
          <w:rFonts w:ascii="Arial" w:cs="Arial" w:eastAsia="Arial" w:hAnsi="Arial"/>
          <w:sz w:val="17"/>
          <w:szCs w:val="17"/>
          <w:color w:val="auto"/>
        </w:rPr>
      </w:pPr>
    </w:p>
    <w:p>
      <w:pPr>
        <w:jc w:val="both"/>
        <w:ind w:firstLine="1953"/>
        <w:spacing w:after="0" w:line="257" w:lineRule="auto"/>
        <w:tabs>
          <w:tab w:leader="none" w:pos="247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SEC Reports, there is no action, suit, inquiry, notice of violation, proceeding or investigation pending or, to the knowledge of the Company, threatened against or affecting the Company, or its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30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Labor Relations</w:t>
      </w:r>
      <w:r>
        <w:rPr>
          <w:rFonts w:ascii="Arial" w:cs="Arial" w:eastAsia="Arial" w:hAnsi="Arial"/>
          <w:sz w:val="18"/>
          <w:szCs w:val="18"/>
          <w:color w:val="auto"/>
        </w:rPr>
        <w:t>. The Company is not involved in any material union labor dispute nor, to the knowledge of the Company, is any such dispute threatened. The Company believes that their relations with their employees are good. No executive officer (as defined in Rule 501(f) of the Securities Act) has notified the Company that such officer intends to leave the Company or otherwise terminate such officer’s employment with the Company. The Company is in compliance with all federal, state, local and foreign laws and regulations respecting employment and employment practices, terms and conditions of employment and wages and hours, except where failure to be in compliance would not, either individually or in the aggregate, result in a Material Adverse Effect.</w:t>
      </w:r>
    </w:p>
    <w:p>
      <w:pPr>
        <w:spacing w:after="0" w:line="193" w:lineRule="exact"/>
        <w:rPr>
          <w:rFonts w:ascii="Arial" w:cs="Arial" w:eastAsia="Arial" w:hAnsi="Arial"/>
          <w:sz w:val="18"/>
          <w:szCs w:val="18"/>
          <w:color w:val="auto"/>
        </w:rPr>
      </w:pPr>
    </w:p>
    <w:p>
      <w:pPr>
        <w:jc w:val="both"/>
        <w:ind w:firstLine="1953"/>
        <w:spacing w:after="0" w:line="272" w:lineRule="auto"/>
        <w:tabs>
          <w:tab w:leader="none" w:pos="235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Except as disclosed in the SEC Reports, the Company (i) is not in default under or in violation of (and no event has occurred that has not been waived that, with notice or lapse of time or both, would result in a default by the Company or any Subsidiary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not in violation of any order of any court, arbitrator or governmental body, or (iii) is not or has been in violation of any statute, rule or regulation of any governmental authority, including without limitation all foreign, federal, state and local laws applicable to its business, except in the case of clauses (i), (ii) and (iii) as would not have or reasonably be expected to result in a Material Adverse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left="-20" w:firstLine="1953"/>
        <w:spacing w:after="0" w:line="259" w:lineRule="auto"/>
        <w:tabs>
          <w:tab w:leader="none" w:pos="223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possesses all certificates, authorizations and permits issued by the appropriate federal, state, local or foreign regulatory authorities necessary to conduct its current business as described in the SEC Reports, except where the failure to possess such permits would not have or reasonably be expected to result in a Material Adverse Effect (“</w:t>
      </w:r>
      <w:r>
        <w:rPr>
          <w:rFonts w:ascii="Arial" w:cs="Arial" w:eastAsia="Arial" w:hAnsi="Arial"/>
          <w:sz w:val="18"/>
          <w:szCs w:val="18"/>
          <w:u w:val="single" w:color="auto"/>
          <w:color w:val="auto"/>
        </w:rPr>
        <w:t>Material Permits</w:t>
      </w:r>
      <w:r>
        <w:rPr>
          <w:rFonts w:ascii="Arial" w:cs="Arial" w:eastAsia="Arial" w:hAnsi="Arial"/>
          <w:sz w:val="18"/>
          <w:szCs w:val="18"/>
          <w:color w:val="auto"/>
        </w:rPr>
        <w:t>”), and the Company has not received any notice of proceedings relating to the revocation or modification of any Material Permit.</w:t>
      </w:r>
    </w:p>
    <w:p>
      <w:pPr>
        <w:spacing w:after="0" w:line="186" w:lineRule="exact"/>
        <w:rPr>
          <w:rFonts w:ascii="Arial" w:cs="Arial" w:eastAsia="Arial" w:hAnsi="Arial"/>
          <w:sz w:val="18"/>
          <w:szCs w:val="18"/>
          <w:color w:val="auto"/>
        </w:rPr>
      </w:pPr>
    </w:p>
    <w:p>
      <w:pPr>
        <w:jc w:val="both"/>
        <w:ind w:left="-20" w:firstLine="1953"/>
        <w:spacing w:after="0" w:line="297" w:lineRule="auto"/>
        <w:tabs>
          <w:tab w:leader="none" w:pos="232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has good and marketable title in fee simple to all real property owned by it and good and marketable title in all personal property owned by it, in each case free and clear of all Liens, except for Liens as do not materially affect the value of such property and do not materially interfere with the use made and proposed to be made of such property by the Company and Liens for the payment of federal, state or other taxes, the payment of which is neither delinquent nor subject to penalties. To the knowledge of the Company, any real property and facilities held under lease by the Company are held by it under valid, subsisting and enforceable leases with which the Company is in material compliance.</w:t>
      </w:r>
    </w:p>
    <w:p>
      <w:pPr>
        <w:spacing w:after="0" w:line="158" w:lineRule="exact"/>
        <w:rPr>
          <w:rFonts w:ascii="Arial" w:cs="Arial" w:eastAsia="Arial" w:hAnsi="Arial"/>
          <w:sz w:val="16"/>
          <w:szCs w:val="16"/>
          <w:color w:val="auto"/>
        </w:rPr>
      </w:pPr>
    </w:p>
    <w:p>
      <w:pPr>
        <w:jc w:val="both"/>
        <w:ind w:left="-20" w:firstLine="1953"/>
        <w:spacing w:after="0" w:line="273" w:lineRule="auto"/>
        <w:tabs>
          <w:tab w:leader="none" w:pos="235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Patents and Trademarks</w:t>
      </w:r>
      <w:r>
        <w:rPr>
          <w:rFonts w:ascii="Arial" w:cs="Arial" w:eastAsia="Arial" w:hAnsi="Arial"/>
          <w:sz w:val="17"/>
          <w:szCs w:val="17"/>
          <w:color w:val="auto"/>
        </w:rPr>
        <w:t>. The Company has, or has rights to use, all patents, patent applications, trademarks, trademark applications, service marks, trade names, copyrights, licenses and other similar rights that are necessary or material for use in connection with their respective businesses as described in the SEC Reports and which the failure to so have could have or reasonably be expected to result in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Except as disclosed in its SEC Reports, the Company has not received a written notice that the Intellectual Property Rights used by the Company violates or infringes the rights of any Person. To the knowledge of the Company, all such Intellectual Property Rights are enforceable and there is no existing infringement by another Person of any of the Intellectual Property Rights.</w:t>
      </w:r>
    </w:p>
    <w:p>
      <w:pPr>
        <w:spacing w:after="0" w:line="178" w:lineRule="exact"/>
        <w:rPr>
          <w:rFonts w:ascii="Arial" w:cs="Arial" w:eastAsia="Arial" w:hAnsi="Arial"/>
          <w:sz w:val="17"/>
          <w:szCs w:val="17"/>
          <w:color w:val="auto"/>
        </w:rPr>
      </w:pPr>
    </w:p>
    <w:p>
      <w:pPr>
        <w:ind w:left="-20" w:right="380" w:firstLine="1953"/>
        <w:spacing w:after="0" w:line="312" w:lineRule="auto"/>
        <w:tabs>
          <w:tab w:leader="none" w:pos="226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Except for matters that would not, individually or in the aggregate, have or reasonably be expected to result in a Material Adverse Effect, the Company has filed all necessary federal, state and foreign income and franchise tax returns and has paid or accrued all taxes shown as due thereon, and the Company has no knowledge of a tax deficiency which has been asserted or threatened against the Company.</w:t>
      </w:r>
    </w:p>
    <w:p>
      <w:pPr>
        <w:spacing w:after="0" w:line="146" w:lineRule="exact"/>
        <w:rPr>
          <w:rFonts w:ascii="Arial" w:cs="Arial" w:eastAsia="Arial" w:hAnsi="Arial"/>
          <w:sz w:val="16"/>
          <w:szCs w:val="16"/>
          <w:color w:val="auto"/>
        </w:rPr>
      </w:pPr>
    </w:p>
    <w:p>
      <w:pPr>
        <w:jc w:val="both"/>
        <w:ind w:left="-20" w:firstLine="1953"/>
        <w:spacing w:after="0" w:line="259" w:lineRule="auto"/>
        <w:tabs>
          <w:tab w:leader="none" w:pos="226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is insured by insurers of recognized financial responsibility against such losses and risks and in such amounts as are prudent and customary in the businesses in which the Company is engaged. The Company has no reason to believe that it will not be able to renew its existing insurance coverage as and when such coverage expires or to obtain similar coverage from similar insurers as may be necessary to continue its business.</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32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brokerage or finder’s fees or commissions are or will be payable by the Company to any broker, financial advisor or consultant, finder, placement agent, investment banker, bank or other Person with respect to the transactions contemplated by this Agreement, the Company has not taken any action that would cause the Purchaser to be liable for any such fees or commissions and the Company agrees to indemnify the Purchaser for any such fees or commissions.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 w:name="page35"/>
    <w:bookmarkEnd w:id="34"/>
    <w:p>
      <w:pPr>
        <w:jc w:val="both"/>
        <w:ind w:firstLine="1953"/>
        <w:spacing w:after="0" w:line="255" w:lineRule="auto"/>
        <w:tabs>
          <w:tab w:leader="none" w:pos="238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each Purchaser’s representations and warranties set forth in Section 3.2 and assuming no unlawful distribution of the Securities by the Purchaser, no registration under the Securities Act is required for the offer and sale of the Securities by the Company to the Purchaser as contemplated hereby. The issuance and sale of the Securities hereunder does not contravene the rules and regulations of NASDAQ. Neither the Company nor any Person acting on the Company’s behalf has sold or offered to sell or solicited any offer to buy the Securities by means of any form of general solicitation or advertising. The Company has offered the Shares for sale only to such Persons it believes to be an accredited investor.</w:t>
      </w:r>
    </w:p>
    <w:p>
      <w:pPr>
        <w:spacing w:after="0" w:line="193" w:lineRule="exact"/>
        <w:rPr>
          <w:rFonts w:ascii="Arial" w:cs="Arial" w:eastAsia="Arial" w:hAnsi="Arial"/>
          <w:sz w:val="18"/>
          <w:szCs w:val="18"/>
          <w:color w:val="auto"/>
        </w:rPr>
      </w:pPr>
    </w:p>
    <w:p>
      <w:pPr>
        <w:ind w:left="2420" w:hanging="467"/>
        <w:spacing w:after="0"/>
        <w:tabs>
          <w:tab w:leader="none" w:pos="24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The Company’s Common Stock is registered pursuant to Section 12(g) of the Exchange Act and trades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210" w:lineRule="exact"/>
        <w:rPr>
          <w:rFonts w:ascii="Arial" w:cs="Arial" w:eastAsia="Arial" w:hAnsi="Arial"/>
          <w:sz w:val="16"/>
          <w:szCs w:val="16"/>
          <w:color w:val="auto"/>
        </w:rPr>
      </w:pPr>
    </w:p>
    <w:p>
      <w:pPr>
        <w:jc w:val="both"/>
        <w:ind w:firstLine="1953"/>
        <w:spacing w:after="0" w:line="273" w:lineRule="auto"/>
        <w:tabs>
          <w:tab w:leader="none" w:pos="230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All disclosures provided to the Purchaser regarding the Company, its business and the transactions contemplated hereby, including the Disclosure Schedules to this Agreement, furnished by or on behalf of the Company are true and correct and do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its business, properties, prospects, operations or condition (financial or otherwise), which, under applicable law, rule or regulation, requires public disclosure or announcement by the Company but which has not been so publicly announced or disclosed.</w:t>
      </w:r>
    </w:p>
    <w:p>
      <w:pPr>
        <w:spacing w:after="0" w:line="17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Purchaser acknowledges and agrees that the Company does not make or has not made any representations or warranties with respect to the transactions contemplated hereby other than those specifically set forth in this Section 3.1.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Representations and Warranties of the Purchaser</w:t>
      </w:r>
      <w:r>
        <w:rPr>
          <w:rFonts w:ascii="Arial" w:cs="Arial" w:eastAsia="Arial" w:hAnsi="Arial"/>
          <w:sz w:val="15"/>
          <w:szCs w:val="15"/>
          <w:color w:val="auto"/>
        </w:rPr>
        <w:t>. The Purchaser represents and warrants as of the date hereof to the Company 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2277"/>
        <w:spacing w:after="0" w:line="270" w:lineRule="auto"/>
        <w:tabs>
          <w:tab w:leader="none" w:pos="251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the Purchaser of the transactions contemplated by this Agreement have been duly authorized by all necessary corporate or similar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2277"/>
        <w:spacing w:after="0" w:line="255" w:lineRule="auto"/>
        <w:tabs>
          <w:tab w:leader="none" w:pos="25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The Purchaser is acquiring the Shares as principal for its own account and not with a view to or for distributing or reselling such Shares or any part thereof, without prejudice, however, to Purchaser’s right, subject to the provisions of this Agreement, at all times to sell or otherwise dispose of all or any part of such Shares pursuant to an effective registration statement under the Securities Act or under an exemption from such registration and in compliance with applicable federal and state securities laws. The Purchaser is acquiring the Shares hereunder in the ordinary course of its business. Purchaser does not have any agreement or understanding, directly or indirectly, with any Person to distribute any of the Shares.</w:t>
      </w:r>
    </w:p>
    <w:p>
      <w:pPr>
        <w:spacing w:after="0" w:line="193" w:lineRule="exact"/>
        <w:rPr>
          <w:rFonts w:ascii="Arial" w:cs="Arial" w:eastAsia="Arial" w:hAnsi="Arial"/>
          <w:sz w:val="18"/>
          <w:szCs w:val="18"/>
          <w:color w:val="auto"/>
        </w:rPr>
      </w:pPr>
    </w:p>
    <w:p>
      <w:pPr>
        <w:jc w:val="both"/>
        <w:ind w:firstLine="2277"/>
        <w:spacing w:after="0" w:line="264" w:lineRule="auto"/>
        <w:tabs>
          <w:tab w:leader="none" w:pos="252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Shares, it was, and at the date hereof it is an “accredited investor” as defined in Rule 501(a) under the Securities Act. The Purchaser is not required to be registered as a broker-dealer under Section 15 of the Exchange Act.</w:t>
      </w:r>
    </w:p>
    <w:p>
      <w:pPr>
        <w:spacing w:after="0" w:line="181" w:lineRule="exact"/>
        <w:rPr>
          <w:rFonts w:ascii="Arial" w:cs="Arial" w:eastAsia="Arial" w:hAnsi="Arial"/>
          <w:sz w:val="18"/>
          <w:szCs w:val="18"/>
          <w:color w:val="auto"/>
        </w:rPr>
      </w:pPr>
    </w:p>
    <w:p>
      <w:pPr>
        <w:jc w:val="both"/>
        <w:ind w:firstLine="2277"/>
        <w:spacing w:after="0" w:line="259" w:lineRule="auto"/>
        <w:tabs>
          <w:tab w:leader="none" w:pos="255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Experience of Purchaser</w:t>
      </w:r>
      <w:r>
        <w:rPr>
          <w:rFonts w:ascii="Arial" w:cs="Arial" w:eastAsia="Arial" w:hAnsi="Arial"/>
          <w:sz w:val="18"/>
          <w:szCs w:val="18"/>
          <w:color w:val="auto"/>
        </w:rPr>
        <w:t>. The Purchaser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2277"/>
        <w:spacing w:after="0" w:line="279" w:lineRule="auto"/>
        <w:tabs>
          <w:tab w:leader="none" w:pos="2527"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The Purchaser understands that the Securities are being offered and sold to it in reliance upon specific exemptions from the registration requirements of United States federal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Securities.</w:t>
      </w:r>
    </w:p>
    <w:p>
      <w:pPr>
        <w:spacing w:after="0" w:line="171" w:lineRule="exact"/>
        <w:rPr>
          <w:rFonts w:ascii="Arial" w:cs="Arial" w:eastAsia="Arial" w:hAnsi="Arial"/>
          <w:sz w:val="17"/>
          <w:szCs w:val="17"/>
          <w:color w:val="auto"/>
        </w:rPr>
      </w:pPr>
    </w:p>
    <w:p>
      <w:pPr>
        <w:jc w:val="both"/>
        <w:ind w:firstLine="2277"/>
        <w:spacing w:after="0" w:line="276" w:lineRule="auto"/>
        <w:tabs>
          <w:tab w:leader="none" w:pos="249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The Purchaser and its advisors, if any, have had access to all materials relating to the business, finances and operations of the Company including, without limitation, the Company’s most recent SEC Reports, that have been requested by the Purchaser or its advisors, if any. The Purchaser has been afforded the opportunity to ask questions of the Company and receive answers from the Company. The Purchaser has requested, received and considered all information it deems relevant to make an informed decision to purchase the Securities. The Purchaser acknowledges and understands that its investment in the Securities involves a significant degree of risk.</w:t>
      </w:r>
    </w:p>
    <w:p>
      <w:pPr>
        <w:spacing w:after="0" w:line="172" w:lineRule="exact"/>
        <w:rPr>
          <w:rFonts w:ascii="Arial" w:cs="Arial" w:eastAsia="Arial" w:hAnsi="Arial"/>
          <w:sz w:val="17"/>
          <w:szCs w:val="17"/>
          <w:color w:val="auto"/>
        </w:rPr>
      </w:pPr>
    </w:p>
    <w:p>
      <w:pPr>
        <w:ind w:firstLine="2277"/>
        <w:spacing w:after="0" w:line="308" w:lineRule="auto"/>
        <w:tabs>
          <w:tab w:leader="none" w:pos="252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Governmental Review</w:t>
      </w:r>
      <w:r>
        <w:rPr>
          <w:rFonts w:ascii="Arial" w:cs="Arial" w:eastAsia="Arial" w:hAnsi="Arial"/>
          <w:sz w:val="17"/>
          <w:szCs w:val="17"/>
          <w:color w:val="auto"/>
        </w:rPr>
        <w:t>. The Purchaser understands that no United States federal or state agency or any other government or governmental agency has passed upon or made any recommendation or endorsement of the Securities or an investment therein.</w:t>
      </w:r>
    </w:p>
    <w:p>
      <w:pPr>
        <w:spacing w:after="0" w:line="146" w:lineRule="exact"/>
        <w:rPr>
          <w:rFonts w:ascii="Arial" w:cs="Arial" w:eastAsia="Arial" w:hAnsi="Arial"/>
          <w:sz w:val="17"/>
          <w:szCs w:val="17"/>
          <w:color w:val="auto"/>
        </w:rPr>
      </w:pPr>
    </w:p>
    <w:p>
      <w:pPr>
        <w:ind w:firstLine="2277"/>
        <w:spacing w:after="0" w:line="277" w:lineRule="auto"/>
        <w:tabs>
          <w:tab w:leader="none" w:pos="25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Purchaser is a resident of (or, if an entity, has its principal place of business in) the jurisdiction set forth by the Purchaser’s name on the signature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2277"/>
        <w:spacing w:after="0" w:line="279" w:lineRule="auto"/>
        <w:tabs>
          <w:tab w:leader="none" w:pos="248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No brokerage or finder’s fees or commissions are or will be payable by the Purchaser to any broker, financial advisor or consultant, finder, placement agent, investment banker, bank or other Person with respect to the transactions contemplated by this Agreement, the Purchaser has not taken any action that would cause the Company or any other Purchaser to be liable for any such fees or commissions and each Purchaser agrees to indemnify the Company and each other Purchaser for any such fees or commissions.</w:t>
      </w:r>
    </w:p>
    <w:p>
      <w:pPr>
        <w:spacing w:after="0" w:line="171" w:lineRule="exact"/>
        <w:rPr>
          <w:rFonts w:ascii="Arial" w:cs="Arial" w:eastAsia="Arial" w:hAnsi="Arial"/>
          <w:sz w:val="17"/>
          <w:szCs w:val="17"/>
          <w:color w:val="auto"/>
        </w:rPr>
      </w:pPr>
    </w:p>
    <w:p>
      <w:pPr>
        <w:jc w:val="both"/>
        <w:ind w:firstLine="2277"/>
        <w:spacing w:after="0" w:line="291" w:lineRule="auto"/>
        <w:tabs>
          <w:tab w:leader="none" w:pos="251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Short Sales</w:t>
      </w:r>
      <w:r>
        <w:rPr>
          <w:rFonts w:ascii="Arial" w:cs="Arial" w:eastAsia="Arial" w:hAnsi="Arial"/>
          <w:sz w:val="16"/>
          <w:szCs w:val="16"/>
          <w:color w:val="auto"/>
        </w:rPr>
        <w:t>. The Purchaser has not directly or indirectly, nor has any Person acting on behalf of or pursuant to any understanding with the Purchaser, executed any Short Sales or granted any option for the purchase of or entered into any hedging or similar transaction with the same economic effect as a Short Sale, in the securities of the Company since the time period beginning two weeks prior to the time that the Purchaser was first contacted regarding an investment in the Company (“</w:t>
      </w:r>
      <w:r>
        <w:rPr>
          <w:rFonts w:ascii="Arial" w:cs="Arial" w:eastAsia="Arial" w:hAnsi="Arial"/>
          <w:sz w:val="16"/>
          <w:szCs w:val="16"/>
          <w:u w:val="single" w:color="auto"/>
          <w:color w:val="auto"/>
        </w:rPr>
        <w:t>Discussion Time</w:t>
      </w:r>
      <w:r>
        <w:rPr>
          <w:rFonts w:ascii="Arial" w:cs="Arial" w:eastAsia="Arial" w:hAnsi="Arial"/>
          <w:sz w:val="16"/>
          <w:szCs w:val="16"/>
          <w:color w:val="auto"/>
        </w:rPr>
        <w:t>”) through the date hereof. During such period, neither Purchaser nor any Person acting on behalf of or pursuant to any understanding with Purchaser, has taken, directly or indirectly, any actions to trade in the Company’s Securities that might reasonably be expected to cause or result, under the Securities Act or Exchange Act, or otherwise, or that has constituted, stabilization or manipulation of the price of the Common Stock. Additionally, Purchaser is familiar with and agrees to comply with Regulation M under the Exchange Act.</w:t>
      </w:r>
    </w:p>
    <w:p>
      <w:pPr>
        <w:spacing w:after="0" w:line="167" w:lineRule="exact"/>
        <w:rPr>
          <w:rFonts w:ascii="Arial" w:cs="Arial" w:eastAsia="Arial" w:hAnsi="Arial"/>
          <w:sz w:val="16"/>
          <w:szCs w:val="16"/>
          <w:color w:val="auto"/>
        </w:rPr>
      </w:pPr>
    </w:p>
    <w:p>
      <w:pPr>
        <w:jc w:val="both"/>
        <w:ind w:firstLine="2277"/>
        <w:spacing w:after="0" w:line="264" w:lineRule="auto"/>
        <w:tabs>
          <w:tab w:leader="none" w:pos="25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Purchaser is not purchasing the Securities as a result of any advertisement, article, notice or other communication regarding the Securities published in any newspaper, magazine or other media or broadcast over television or radio or presented at any seminar or any other general solicitation or advertisement.</w:t>
      </w:r>
    </w:p>
    <w:p>
      <w:pPr>
        <w:spacing w:after="0" w:line="181" w:lineRule="exact"/>
        <w:rPr>
          <w:rFonts w:ascii="Arial" w:cs="Arial" w:eastAsia="Arial" w:hAnsi="Arial"/>
          <w:sz w:val="18"/>
          <w:szCs w:val="18"/>
          <w:color w:val="auto"/>
        </w:rPr>
      </w:pPr>
    </w:p>
    <w:p>
      <w:pPr>
        <w:ind w:firstLine="2277"/>
        <w:spacing w:after="0" w:line="277" w:lineRule="auto"/>
        <w:tabs>
          <w:tab w:leader="none" w:pos="248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Other than to other Persons party to this Agreement, the Purchaser has maintained the confidentiality of all disclosures made to it in connection with this transaction (including the existence and terms of this transaction).</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Company acknowledges and agrees that the Purchaser does not make or has not made any representations or warranties with respect to the transactions contemplated hereby other than those specifically set forth in this Section 3.2.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Transfer Restrictions.</w:t>
      </w:r>
    </w:p>
    <w:p>
      <w:pPr>
        <w:spacing w:after="0" w:line="225" w:lineRule="exact"/>
        <w:rPr>
          <w:sz w:val="20"/>
          <w:szCs w:val="20"/>
          <w:color w:val="auto"/>
        </w:rPr>
      </w:pPr>
    </w:p>
    <w:p>
      <w:pPr>
        <w:jc w:val="both"/>
        <w:ind w:firstLine="1953"/>
        <w:spacing w:after="0" w:line="264" w:lineRule="auto"/>
        <w:tabs>
          <w:tab w:leader="none" w:pos="22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may only be disposed of pursuant to an effective registration statement under the Securities Act or pursuant to an available exemption from the registration requirements of the Securities Act, and in compliance with any applicable state securities laws. The Securities shall contain a restrictive legend in the following forms:</w:t>
      </w:r>
    </w:p>
    <w:p>
      <w:pPr>
        <w:spacing w:after="0" w:line="181" w:lineRule="exact"/>
        <w:rPr>
          <w:sz w:val="20"/>
          <w:szCs w:val="20"/>
          <w:color w:val="auto"/>
        </w:rPr>
      </w:pPr>
    </w:p>
    <w:p>
      <w:pPr>
        <w:jc w:val="both"/>
        <w:ind w:left="1300" w:right="1340"/>
        <w:spacing w:after="0" w:line="255" w:lineRule="auto"/>
        <w:rPr>
          <w:sz w:val="20"/>
          <w:szCs w:val="20"/>
          <w:color w:val="auto"/>
        </w:rPr>
      </w:pPr>
      <w:r>
        <w:rPr>
          <w:rFonts w:ascii="Arial" w:cs="Arial" w:eastAsia="Arial" w:hAnsi="Arial"/>
          <w:sz w:val="18"/>
          <w:szCs w:val="18"/>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1953"/>
        <w:spacing w:after="0" w:line="257" w:lineRule="auto"/>
        <w:tabs>
          <w:tab w:leader="none" w:pos="23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agrees that the removal of the restrictive legend from certificates representing Securities as set forth in this Section 4.1 is expressly predicated upon the Purchaser’s covenant and agreement in this Section 4.1(b) that the Purchaser shall in all cases sell or otherwise transfer the Securities pursuant to: (i) an effective registration statement under the Securities Act, in full compliance with all prospectus delivery requirements under the Securities Act and in accordance with the plan of distribution described in the prospectus delivered by Purchaser, or (ii) an available exemption from registration under the Securities Act.</w:t>
      </w:r>
    </w:p>
    <w:p>
      <w:pPr>
        <w:spacing w:after="0" w:line="188" w:lineRule="exact"/>
        <w:rPr>
          <w:sz w:val="20"/>
          <w:szCs w:val="20"/>
          <w:color w:val="auto"/>
        </w:rPr>
      </w:pPr>
    </w:p>
    <w:p>
      <w:pPr>
        <w:jc w:val="both"/>
        <w:ind w:firstLine="1283"/>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Trading Market of Common Stock</w:t>
      </w:r>
      <w:r>
        <w:rPr>
          <w:rFonts w:ascii="Arial" w:cs="Arial" w:eastAsia="Arial" w:hAnsi="Arial"/>
          <w:sz w:val="18"/>
          <w:szCs w:val="18"/>
          <w:color w:val="auto"/>
        </w:rPr>
        <w:t>. The Company hereby agrees to use its reasonable efforts to maintain the eligibility for trading of the Common Stock on the Trading Market. The Company further agrees, if the Company applies to have the Common Stock traded on any other trading market, it will include in such application the Shares, and will take such other action as is necessary or desirable in the opinion of the Purchaser to cause the Shares to be listed on such other trading market as promptly as possible. The Company will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193" w:lineRule="exact"/>
        <w:rPr>
          <w:sz w:val="20"/>
          <w:szCs w:val="20"/>
          <w:color w:val="auto"/>
        </w:rPr>
      </w:pPr>
    </w:p>
    <w:p>
      <w:pPr>
        <w:jc w:val="both"/>
        <w:ind w:firstLine="1283"/>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Sales by Purchaser; Former Shell Company</w:t>
      </w:r>
      <w:r>
        <w:rPr>
          <w:rFonts w:ascii="Arial" w:cs="Arial" w:eastAsia="Arial" w:hAnsi="Arial"/>
          <w:sz w:val="18"/>
          <w:szCs w:val="18"/>
          <w:color w:val="auto"/>
        </w:rPr>
        <w:t xml:space="preserve">. The Purchaser covenants to sell any Securities sold by it in compliance with applicable prospectus delivery requirements, if any, or otherwise in compliance with the requirements for an exemption from registration under the Securities Act. The Purchaser will not make any sale, transfer or other disposition of the Securities in violation of federal or state securities laws. Purchaser understands that until July 15, 2002, the Company was a “shell company” as defined in Rule 12b-2 under the Exchange Act and as result is considered a former shell company. </w:t>
      </w:r>
      <w:r>
        <w:rPr>
          <w:rFonts w:ascii="Arial" w:cs="Arial" w:eastAsia="Arial" w:hAnsi="Arial"/>
          <w:sz w:val="18"/>
          <w:szCs w:val="18"/>
          <w:u w:val="single" w:color="auto"/>
          <w:color w:val="auto"/>
        </w:rPr>
        <w:t>As a result of the Company’s status as a former shell company, the Purchaser acknowledges that the restrictive legends on certificates for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 cannot be removed except in connection with an actual sale meeting the requirements of Rule 144 or pursuant to an effective registration statement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1284"/>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Securities and supersede all prior agreements and understandings, oral or written, with respect to such matters, which the parties acknowledge have been merged into such documents, exhibits and schedules.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1283"/>
        <w:spacing w:after="0" w:line="27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or amended except in a written instrument signed, in the case of an amendment, by the Company and the Purchaser or, in the case of a waiver, by the party against whom enforcement of any such waiver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73" w:lineRule="exact"/>
        <w:rPr>
          <w:sz w:val="20"/>
          <w:szCs w:val="20"/>
          <w:color w:val="auto"/>
        </w:rPr>
      </w:pPr>
    </w:p>
    <w:p>
      <w:pPr>
        <w:jc w:val="both"/>
        <w:ind w:firstLine="1283"/>
        <w:spacing w:after="0" w:line="29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 assigns. The Company may not assign this Agreement or any rights or obligations hereunder without the prior written consent of the Purchaser; provided, however, that no consent shall be required in connection with a merger, consolidation or sale of substantially all of the Company’s assets. Any Purchaser may assign any or all of its rights under this Agreement to any Person in connection with the transfer of the Securities, provided such transferee agrees in writing to be bound, with respect to the transferred Securities, by the provisions hereof that apply to the “Purchaser”.</w:t>
      </w:r>
    </w:p>
    <w:p>
      <w:pPr>
        <w:spacing w:after="0" w:line="15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70" w:lineRule="exact"/>
        <w:rPr>
          <w:sz w:val="20"/>
          <w:szCs w:val="20"/>
          <w:color w:val="auto"/>
        </w:rPr>
      </w:pPr>
    </w:p>
    <w:p>
      <w:pPr>
        <w:jc w:val="both"/>
        <w:ind w:firstLine="1283"/>
        <w:spacing w:after="0" w:line="2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the Transaction Documents shall be governed by and construed and enforced in accordance with the internal laws of the State of Florida, without regard to the principles of conflicts of law thereof.</w:t>
      </w:r>
    </w:p>
    <w:p>
      <w:pPr>
        <w:spacing w:after="0" w:line="181" w:lineRule="exact"/>
        <w:rPr>
          <w:sz w:val="20"/>
          <w:szCs w:val="20"/>
          <w:color w:val="auto"/>
        </w:rPr>
      </w:pPr>
    </w:p>
    <w:p>
      <w:pPr>
        <w:jc w:val="both"/>
        <w:ind w:firstLine="1283"/>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or other electronic transmission, such signature shall create a valid and binding obligation of the party executing (or on whose behalf such signature is executed) with the same force and affect as if such facsimile or other electronically transmitted signature page were an original thereof.</w:t>
      </w:r>
    </w:p>
    <w:p>
      <w:pPr>
        <w:spacing w:after="0" w:line="173" w:lineRule="exact"/>
        <w:rPr>
          <w:sz w:val="20"/>
          <w:szCs w:val="20"/>
          <w:color w:val="auto"/>
        </w:rPr>
      </w:pPr>
    </w:p>
    <w:p>
      <w:pPr>
        <w:jc w:val="both"/>
        <w:ind w:firstLine="1283"/>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87" w:lineRule="exact"/>
        <w:rPr>
          <w:sz w:val="20"/>
          <w:szCs w:val="20"/>
          <w:color w:val="auto"/>
        </w:rPr>
      </w:pPr>
    </w:p>
    <w:p>
      <w:pPr>
        <w:jc w:val="both"/>
        <w:ind w:firstLine="1283"/>
        <w:spacing w:after="0" w:line="279"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Construction</w:t>
      </w:r>
      <w:r>
        <w:rPr>
          <w:rFonts w:ascii="Arial" w:cs="Arial" w:eastAsia="Arial" w:hAnsi="Arial"/>
          <w:sz w:val="17"/>
          <w:szCs w:val="17"/>
          <w:color w:val="auto"/>
        </w:rPr>
        <w:t>. The headings herein are for convenience only, do not constitute a part of this Agreement and shall not be deemed to limit or affect any of the provisions hereof.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1300"/>
        <w:spacing w:after="0"/>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Survival</w:t>
      </w:r>
      <w:r>
        <w:rPr>
          <w:rFonts w:ascii="Arial" w:cs="Arial" w:eastAsia="Arial" w:hAnsi="Arial"/>
          <w:sz w:val="17"/>
          <w:szCs w:val="17"/>
          <w:color w:val="auto"/>
        </w:rPr>
        <w:t>. The representations and warranties contained herein shall survive the Closing and the delivery of the Shares.</w:t>
      </w:r>
    </w:p>
    <w:p>
      <w:pPr>
        <w:spacing w:after="0" w:line="237" w:lineRule="exact"/>
        <w:rPr>
          <w:sz w:val="20"/>
          <w:szCs w:val="20"/>
          <w:color w:val="auto"/>
        </w:rPr>
      </w:pPr>
    </w:p>
    <w:p>
      <w:pPr>
        <w:jc w:val="both"/>
        <w:ind w:firstLine="1283"/>
        <w:spacing w:after="0" w:line="290"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Replacement of Shares</w:t>
      </w:r>
      <w:r>
        <w:rPr>
          <w:rFonts w:ascii="Arial" w:cs="Arial" w:eastAsia="Arial" w:hAnsi="Arial"/>
          <w:sz w:val="16"/>
          <w:szCs w:val="16"/>
          <w:color w:val="auto"/>
        </w:rPr>
        <w:t>. If any certificate or instrument evidencing any Shares is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Shares. If a replacement certificate or instrument evidencing any Shares is requested due to a mutilation thereof, the Company may require delivery of such mutilated certificate or instrument as a condition precedent to any issuance of a replacement.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Common Stock Purchase Agreement to be duly executed by their respective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as of the date first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/s/Peter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Peter Hoang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DOMESTIC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485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48525" cy="148590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 Account Number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FOREIGN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751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48525" cy="17513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Number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SWIFT Code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[Purchaser Signature Page to Common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Common Stock Purchase Agreement to be duly executed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signatories as of the date first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M. Cornwell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Sharon M. Cornwell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Address of Purchaser: </w:t>
      </w:r>
      <w:r>
        <w:rPr>
          <w:rFonts w:ascii="Arial" w:cs="Arial" w:eastAsia="Arial" w:hAnsi="Arial"/>
          <w:sz w:val="18"/>
          <w:szCs w:val="18"/>
          <w:u w:val="single" w:color="auto"/>
          <w:color w:val="auto"/>
        </w:rPr>
        <w:t>Sharon.Cornwell@dartmgmt.com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for Notice of Purchaser: </w:t>
      </w:r>
      <w:r>
        <w:rPr>
          <w:rFonts w:ascii="Arial" w:cs="Arial" w:eastAsia="Arial" w:hAnsi="Arial"/>
          <w:sz w:val="18"/>
          <w:szCs w:val="18"/>
          <w:u w:val="single" w:color="auto"/>
          <w:color w:val="auto"/>
        </w:rPr>
        <w:t>Eastern Capital Limited</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10 Market St. #773</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Camana Bay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Cayman Islands KY1-9006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Address for Notice of Purchaser: </w:t>
      </w:r>
      <w:r>
        <w:rPr>
          <w:rFonts w:ascii="Arial" w:cs="Arial" w:eastAsia="Arial" w:hAnsi="Arial"/>
          <w:sz w:val="18"/>
          <w:szCs w:val="18"/>
          <w:color w:val="000000"/>
        </w:rPr>
        <w:t>_______________________________</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 $3,120,000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1,300,000</w:t>
      </w: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i w:val="1"/>
          <w:iCs w:val="1"/>
          <w:color w:val="auto"/>
        </w:rPr>
        <w:t>[Purchaser Signature Page to Common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04" w:right="85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u w:val="single" w:color="auto"/>
          <w:color w:val="auto"/>
        </w:rPr>
        <w:t>Annex I</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588010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EXERCISE AGREEMENT</w:t>
      </w:r>
    </w:p>
    <w:p>
      <w:pPr>
        <w:spacing w:after="0" w:line="229"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This Warrant Exercise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May 14, 2018, is by and between TapImmune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 holder (the “</w:t>
      </w:r>
      <w:r>
        <w:rPr>
          <w:rFonts w:ascii="Arial" w:cs="Arial" w:eastAsia="Arial" w:hAnsi="Arial"/>
          <w:sz w:val="17"/>
          <w:szCs w:val="17"/>
          <w:u w:val="single" w:color="auto"/>
          <w:color w:val="auto"/>
        </w:rPr>
        <w:t>Holder</w:t>
      </w:r>
      <w:r>
        <w:rPr>
          <w:rFonts w:ascii="Arial" w:cs="Arial" w:eastAsia="Arial" w:hAnsi="Arial"/>
          <w:sz w:val="17"/>
          <w:szCs w:val="17"/>
          <w:color w:val="auto"/>
        </w:rPr>
        <w:t>”) of those certain (i) Series D Warrant to Purchase Common Stock issued by the Company to the Holder, which warrant is exercisable at an exercise price (the “</w:t>
      </w:r>
      <w:r>
        <w:rPr>
          <w:rFonts w:ascii="Arial" w:cs="Arial" w:eastAsia="Arial" w:hAnsi="Arial"/>
          <w:sz w:val="17"/>
          <w:szCs w:val="17"/>
          <w:u w:val="single" w:color="auto"/>
          <w:color w:val="auto"/>
        </w:rPr>
        <w:t>Series D Warrant Exercise Price</w:t>
      </w:r>
      <w:r>
        <w:rPr>
          <w:rFonts w:ascii="Arial" w:cs="Arial" w:eastAsia="Arial" w:hAnsi="Arial"/>
          <w:sz w:val="17"/>
          <w:szCs w:val="17"/>
          <w:color w:val="auto"/>
        </w:rPr>
        <w:t>”) of $9.00 per share (the “</w:t>
      </w:r>
      <w:r>
        <w:rPr>
          <w:rFonts w:ascii="Arial" w:cs="Arial" w:eastAsia="Arial" w:hAnsi="Arial"/>
          <w:sz w:val="17"/>
          <w:szCs w:val="17"/>
          <w:u w:val="single" w:color="auto"/>
          <w:color w:val="auto"/>
        </w:rPr>
        <w:t>Series D Warrant</w:t>
      </w:r>
      <w:r>
        <w:rPr>
          <w:rFonts w:ascii="Arial" w:cs="Arial" w:eastAsia="Arial" w:hAnsi="Arial"/>
          <w:sz w:val="17"/>
          <w:szCs w:val="17"/>
          <w:color w:val="auto"/>
        </w:rPr>
        <w:t>”); (ii) Series E Warrant to Purchase Common Stock issued by the Company to the Holder, which warrant is exercisable at an exercise price (the “</w:t>
      </w:r>
      <w:r>
        <w:rPr>
          <w:rFonts w:ascii="Arial" w:cs="Arial" w:eastAsia="Arial" w:hAnsi="Arial"/>
          <w:sz w:val="17"/>
          <w:szCs w:val="17"/>
          <w:u w:val="single" w:color="auto"/>
          <w:color w:val="auto"/>
        </w:rPr>
        <w:t>Series E Warrant Exercise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of $15.00 per share (the “</w:t>
      </w:r>
      <w:r>
        <w:rPr>
          <w:rFonts w:ascii="Arial" w:cs="Arial" w:eastAsia="Arial" w:hAnsi="Arial"/>
          <w:sz w:val="17"/>
          <w:szCs w:val="17"/>
          <w:u w:val="single" w:color="auto"/>
          <w:color w:val="auto"/>
        </w:rPr>
        <w:t>Series E Warrant</w:t>
      </w:r>
      <w:r>
        <w:rPr>
          <w:rFonts w:ascii="Arial" w:cs="Arial" w:eastAsia="Arial" w:hAnsi="Arial"/>
          <w:sz w:val="17"/>
          <w:szCs w:val="17"/>
          <w:color w:val="auto"/>
        </w:rPr>
        <w:t>”); and (iii) Series F Warrant to Purchase Common Stock issued by the Company to the Holder, which warrant is exercisable at an exercise price (the “</w:t>
      </w:r>
      <w:r>
        <w:rPr>
          <w:rFonts w:ascii="Arial" w:cs="Arial" w:eastAsia="Arial" w:hAnsi="Arial"/>
          <w:sz w:val="17"/>
          <w:szCs w:val="17"/>
          <w:u w:val="single" w:color="auto"/>
          <w:color w:val="auto"/>
        </w:rPr>
        <w:t>Series F Warrant Exercise Price</w:t>
      </w:r>
      <w:r>
        <w:rPr>
          <w:rFonts w:ascii="Arial" w:cs="Arial" w:eastAsia="Arial" w:hAnsi="Arial"/>
          <w:sz w:val="17"/>
          <w:szCs w:val="17"/>
          <w:color w:val="auto"/>
        </w:rPr>
        <w:t>”) of $7.20 per share (the “</w:t>
      </w:r>
      <w:r>
        <w:rPr>
          <w:rFonts w:ascii="Arial" w:cs="Arial" w:eastAsia="Arial" w:hAnsi="Arial"/>
          <w:sz w:val="17"/>
          <w:szCs w:val="17"/>
          <w:u w:val="single" w:color="auto"/>
          <w:color w:val="auto"/>
        </w:rPr>
        <w:t>Series F Warrant</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WHERAS, the Holder’s Series D Warrant is exercisable for a number of shares of common stock, par value $0.001 per share, of the Company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as set forth on such Holder’s signature page hereto (the “</w:t>
      </w:r>
      <w:r>
        <w:rPr>
          <w:rFonts w:ascii="Arial" w:cs="Arial" w:eastAsia="Arial" w:hAnsi="Arial"/>
          <w:sz w:val="16"/>
          <w:szCs w:val="16"/>
          <w:u w:val="single" w:color="auto"/>
          <w:color w:val="auto"/>
        </w:rPr>
        <w:t>Series D Warrant Shares</w:t>
      </w:r>
      <w:r>
        <w:rPr>
          <w:rFonts w:ascii="Arial" w:cs="Arial" w:eastAsia="Arial" w:hAnsi="Arial"/>
          <w:sz w:val="16"/>
          <w:szCs w:val="16"/>
          <w:color w:val="auto"/>
        </w:rPr>
        <w:t>”) and the Holder desires to fully exercise such Series 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and, immediately prior to such exercise and in consideration of the Holder’s agreement to so exercise such Series D Warrant,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agreed to reduce the Series D Warrant Exercise Price to $2.50 per share (the “</w:t>
      </w:r>
      <w:r>
        <w:rPr>
          <w:rFonts w:ascii="Arial" w:cs="Arial" w:eastAsia="Arial" w:hAnsi="Arial"/>
          <w:sz w:val="18"/>
          <w:szCs w:val="18"/>
          <w:u w:val="single" w:color="auto"/>
          <w:color w:val="auto"/>
        </w:rPr>
        <w:t>Revised Series D Warrant Exercise Price</w:t>
      </w:r>
      <w:r>
        <w:rPr>
          <w:rFonts w:ascii="Arial" w:cs="Arial" w:eastAsia="Arial" w:hAnsi="Arial"/>
          <w:sz w:val="18"/>
          <w:szCs w:val="18"/>
          <w:color w:val="auto"/>
        </w:rPr>
        <w:t>”); and</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WHERAS, the Holder’s Series E Warrant is exercisable for a number of shares of Common Stock as set forth on such Holder’s signature page hereto (the “</w:t>
      </w:r>
      <w:r>
        <w:rPr>
          <w:rFonts w:ascii="Arial" w:cs="Arial" w:eastAsia="Arial" w:hAnsi="Arial"/>
          <w:sz w:val="18"/>
          <w:szCs w:val="18"/>
          <w:u w:val="single" w:color="auto"/>
          <w:color w:val="auto"/>
        </w:rPr>
        <w:t>Series E Warrant Shares</w:t>
      </w:r>
      <w:r>
        <w:rPr>
          <w:rFonts w:ascii="Arial" w:cs="Arial" w:eastAsia="Arial" w:hAnsi="Arial"/>
          <w:sz w:val="18"/>
          <w:szCs w:val="18"/>
          <w:color w:val="auto"/>
        </w:rPr>
        <w:t>”) and the Holder desires to fully exercise such Series E Warrant and, immediately prior to such exercise and in consideration of the Holder’s agreement to so exercise such Series E Warrant, the Company has agreed to reduce the Series E Warrant Exercise Price to $2.50 per share (the “</w:t>
      </w:r>
      <w:r>
        <w:rPr>
          <w:rFonts w:ascii="Arial" w:cs="Arial" w:eastAsia="Arial" w:hAnsi="Arial"/>
          <w:sz w:val="18"/>
          <w:szCs w:val="18"/>
          <w:u w:val="single" w:color="auto"/>
          <w:color w:val="auto"/>
        </w:rPr>
        <w:t>Revised Series E Warrant Exercise Price</w:t>
      </w:r>
      <w:r>
        <w:rPr>
          <w:rFonts w:ascii="Arial" w:cs="Arial" w:eastAsia="Arial" w:hAnsi="Arial"/>
          <w:sz w:val="18"/>
          <w:szCs w:val="18"/>
          <w:color w:val="auto"/>
        </w:rPr>
        <w:t>”).</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WHERAS, the Holder’s Series F Warrant is exercisable for a number of shares of Common Stock as set forth on such Holder’s signature page hereto (the “</w:t>
      </w:r>
      <w:r>
        <w:rPr>
          <w:rFonts w:ascii="Arial" w:cs="Arial" w:eastAsia="Arial" w:hAnsi="Arial"/>
          <w:sz w:val="18"/>
          <w:szCs w:val="18"/>
          <w:u w:val="single" w:color="auto"/>
          <w:color w:val="auto"/>
        </w:rPr>
        <w:t>Series F Warrant Shares</w:t>
      </w:r>
      <w:r>
        <w:rPr>
          <w:rFonts w:ascii="Arial" w:cs="Arial" w:eastAsia="Arial" w:hAnsi="Arial"/>
          <w:sz w:val="18"/>
          <w:szCs w:val="18"/>
          <w:color w:val="auto"/>
        </w:rPr>
        <w:t>”) and the Holder desires to fully exercise such Series F Warrant and, immediately prior to such exercise and in consideration of the Holder’s agreement to so exercise such Series F Warrant, the Company has agreed to reduce the Series F Warrant Exercise Price to $2.50 per share (the “</w:t>
      </w:r>
      <w:r>
        <w:rPr>
          <w:rFonts w:ascii="Arial" w:cs="Arial" w:eastAsia="Arial" w:hAnsi="Arial"/>
          <w:sz w:val="18"/>
          <w:szCs w:val="18"/>
          <w:u w:val="single" w:color="auto"/>
          <w:color w:val="auto"/>
        </w:rPr>
        <w:t>Revised Series F Warrant Exercise Price</w:t>
      </w:r>
      <w:r>
        <w:rPr>
          <w:rFonts w:ascii="Arial" w:cs="Arial" w:eastAsia="Arial" w:hAnsi="Arial"/>
          <w:sz w:val="18"/>
          <w:szCs w:val="18"/>
          <w:color w:val="auto"/>
        </w:rPr>
        <w:t>”).</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good and valuable consideration the receipt and adequacy of which are hereby acknowledged, the Holder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defined in this Agreement shall have the respective meanings ascribed to such terms in the Series D Warrant, Series E Warrant and Series F Warrant.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EXERCISE PRICES OF WARRANTS; CLOSING</w:t>
      </w:r>
    </w:p>
    <w:p>
      <w:pPr>
        <w:spacing w:after="0" w:line="21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Exercise of Series D Warrant</w:t>
      </w:r>
      <w:r>
        <w:rPr>
          <w:rFonts w:ascii="Arial" w:cs="Arial" w:eastAsia="Arial" w:hAnsi="Arial"/>
          <w:sz w:val="16"/>
          <w:szCs w:val="16"/>
          <w:color w:val="auto"/>
        </w:rPr>
        <w:t>. Subject to the satisfaction (or waiver) of the closing conditions set forth in Article IV hereof, upon the Closing, the Company and the Holder hereby agree that the Series D Warrant Exercise Price shall be reduced to the Revised Series D Warrant Exercise Price and the Holder shall fully exercise the Series D Warrant for the number of Series D Warrant Shares underlying such Holder’s Series D Warrant at the Revised Series D Warrant Exercise Price per share, for aggregate cash proceeds to the Company in the amount set forth on the Holder’s signature page hereto, pursuant to the terms of the Series D Warrant. Holder shall execute and deliver the aggregate cash exercise price for such Series D Warrant to the bank account set forth on the Company’s signature page hereto and the Company shall deliver the Series D Warrant Shares to the Holder via the Depository Trust Company Deposit or Withdrawal at Custodian system pursuant to the instructions set forth on the Holder’s signature page hereto.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firstLine="441"/>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Exercise of Series E Warrant</w:t>
      </w:r>
      <w:r>
        <w:rPr>
          <w:rFonts w:ascii="Arial" w:cs="Arial" w:eastAsia="Arial" w:hAnsi="Arial"/>
          <w:sz w:val="16"/>
          <w:szCs w:val="16"/>
          <w:color w:val="auto"/>
        </w:rPr>
        <w:t>. Subject to the satisfaction (or waiver) of the closing conditions set forth in Article IV hereof, upon the Closing, the Company and the Holder hereby agree that the Series E Warrant Exercise Price shall be reduced to the Revised Series E Warrant Exercise Price and the Holder shall fully exercise the Series E Warrant for the number of Series E Warrant Shares underlying such Holder’s Series E Warrant at the Revised Series E Warrant Exercise Price per share, for aggregate cash proceeds to the Company in the amount set forth on the Holder’s signature page hereto, pursuant to the terms of the Series E Warrant. Holder shall execute and deliver the aggregate cash exercise price for such Series E Warrant to the bank account set forth on the Company’s signature page hereto and the Company shall deliver the Series E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Exercise of Series F Warrant</w:t>
      </w:r>
      <w:r>
        <w:rPr>
          <w:rFonts w:ascii="Arial" w:cs="Arial" w:eastAsia="Arial" w:hAnsi="Arial"/>
          <w:sz w:val="16"/>
          <w:szCs w:val="16"/>
          <w:color w:val="auto"/>
        </w:rPr>
        <w:t>. Subject to the satisfaction (or waiver) of the closing conditions set forth in Article IV hereof, upon the Closing, the Company and the Holder hereby agree that the Series F Warrant Exercise Price shall be reduced to the Revised Series F Warrant Exercise Price and the Holder shall fully exercise the Series F Warrant for the number of Series F Warrant Shares underlying such Holder’s Series F Warrant at the Revised Series F Warrant Exercise Price per share, for aggregate cash proceeds to the Company in the amount set forth on the Holder’s signature page hereto, pursuant to the terms of the Series F Warrant. Holder shall execute and deliver the aggregate cash exercise price for such Series F Warrant to the bank account set forth on the Company’s signature page hereto and the Company shall deliver the Series F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Closing</w:t>
      </w:r>
      <w:r>
        <w:rPr>
          <w:rFonts w:ascii="Arial" w:cs="Arial" w:eastAsia="Arial" w:hAnsi="Arial"/>
          <w:sz w:val="17"/>
          <w:szCs w:val="17"/>
          <w:color w:val="auto"/>
        </w:rPr>
        <w:t>. Upon the terms and subject to the conditions set forth herein, the closing of this Agreement and the exercise of the Series D Warrant (as amended hereby), Series E Warrant (as amended hereby), and Series F Warrant (as amended hereby) (collectively, the “</w:t>
      </w:r>
      <w:r>
        <w:rPr>
          <w:rFonts w:ascii="Arial" w:cs="Arial" w:eastAsia="Arial" w:hAnsi="Arial"/>
          <w:sz w:val="17"/>
          <w:szCs w:val="17"/>
          <w:u w:val="single" w:color="auto"/>
          <w:color w:val="auto"/>
        </w:rPr>
        <w:t>Warrants</w:t>
      </w:r>
      <w:r>
        <w:rPr>
          <w:rFonts w:ascii="Arial" w:cs="Arial" w:eastAsia="Arial" w:hAnsi="Arial"/>
          <w:sz w:val="17"/>
          <w:szCs w:val="17"/>
          <w:color w:val="auto"/>
        </w:rPr>
        <w:t>”) contemplated in this Section 2 (the “</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at 2:00 p.m., New York time, on the first business day after the satisfaction or waiver of the closing conditions set forth in Article IV at Closing, at the offices of Shumaker, Loop &amp; Kendrick, LLP, 101 E. Kennedy Blvd., Suite 2800, Tampa, Florida, unless another time, date or place is agreed to in writing by the parties. The date on which the Closing occurs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Upon Closing, all Warrants exercised pursuant to this Agreement, shall be deemed automatically and immediately cancelled and retired and shall not be reissued, sold or transferred. Within five (5) business days following the Closing Date, the Holder shall deliver to the Company the original Series D Warrant, Series E Warrant and Series F Warrant held by Holder (or an affidavit of lost security with respect to any such Warrant).</w:t>
      </w:r>
    </w:p>
    <w:p>
      <w:pPr>
        <w:spacing w:after="0" w:line="17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Filing of Form 8-K and Prospectus Supplement</w:t>
      </w:r>
      <w:r>
        <w:rPr>
          <w:rFonts w:ascii="Arial" w:cs="Arial" w:eastAsia="Arial" w:hAnsi="Arial"/>
          <w:sz w:val="17"/>
          <w:szCs w:val="17"/>
          <w:color w:val="auto"/>
        </w:rPr>
        <w:t>. On or before 9:00 a.m., New York time, on the first (1st) Business Day following the Closing, the Company shall file a Current Report on Form 8-K, including the form of this Agreement (the “</w:t>
      </w:r>
      <w:r>
        <w:rPr>
          <w:rFonts w:ascii="Arial" w:cs="Arial" w:eastAsia="Arial" w:hAnsi="Arial"/>
          <w:sz w:val="17"/>
          <w:szCs w:val="17"/>
          <w:u w:val="single" w:color="auto"/>
          <w:color w:val="auto"/>
        </w:rPr>
        <w:t>8-K Filing</w:t>
      </w:r>
      <w:r>
        <w:rPr>
          <w:rFonts w:ascii="Arial" w:cs="Arial" w:eastAsia="Arial" w:hAnsi="Arial"/>
          <w:sz w:val="17"/>
          <w:szCs w:val="17"/>
          <w:color w:val="auto"/>
        </w:rPr>
        <w:t>”), with the Securities and Exchange Commission (“</w:t>
      </w:r>
      <w:r>
        <w:rPr>
          <w:rFonts w:ascii="Arial" w:cs="Arial" w:eastAsia="Arial" w:hAnsi="Arial"/>
          <w:sz w:val="17"/>
          <w:szCs w:val="17"/>
          <w:u w:val="single" w:color="auto"/>
          <w:color w:val="auto"/>
        </w:rPr>
        <w:t>Commission</w:t>
      </w:r>
      <w:r>
        <w:rPr>
          <w:rFonts w:ascii="Arial" w:cs="Arial" w:eastAsia="Arial" w:hAnsi="Arial"/>
          <w:sz w:val="17"/>
          <w:szCs w:val="17"/>
          <w:color w:val="auto"/>
        </w:rPr>
        <w:t>”) in the form required by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From and after the 8-K Filing, the Company represents to the Holder that it shall have publicly disclosed all material, non-public information delivered to the Holder by the Company, or any of their respective officers, directors, employees or agents. In addition, effective upon the 8-K Filing, the Company acknowledges and agrees that any and all confidentiality or similar obligations under any agreement, whether written or oral, between the Company or any of their respective officers, directors, agents, employees or affiliates on the one hand, and the Holder or any of its affiliates on the other hand, shall terminate.</w:t>
      </w:r>
    </w:p>
    <w:p>
      <w:pPr>
        <w:spacing w:after="0" w:line="17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representations and warranties set forth below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as of the date of its execution of this Agreement and as of the Closing Date:</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duly organized and validly existing corporation in good standing under the laws of the State of Nevada.</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firstLine="446"/>
        <w:spacing w:after="0" w:line="284" w:lineRule="auto"/>
        <w:tabs>
          <w:tab w:leader="none" w:pos="69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xml:space="preserve">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such Company and no further action is required by such Company, its board of directors or its stockholders in connection therewith.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insofar as indemnification and contribution provisions may be limited by applicable law.</w:t>
      </w:r>
    </w:p>
    <w:p>
      <w:pPr>
        <w:spacing w:after="0" w:line="210" w:lineRule="exact"/>
        <w:rPr>
          <w:rFonts w:ascii="Arial" w:cs="Arial" w:eastAsia="Arial" w:hAnsi="Arial"/>
          <w:sz w:val="18"/>
          <w:szCs w:val="18"/>
          <w:color w:val="auto"/>
        </w:rPr>
      </w:pPr>
    </w:p>
    <w:p>
      <w:pPr>
        <w:ind w:right="60" w:firstLine="446"/>
        <w:spacing w:after="0" w:line="270" w:lineRule="auto"/>
        <w:tabs>
          <w:tab w:leader="none" w:pos="686"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w:t>
      </w:r>
    </w:p>
    <w:p>
      <w:pPr>
        <w:spacing w:after="0" w:line="181" w:lineRule="exact"/>
        <w:rPr>
          <w:rFonts w:ascii="Arial" w:cs="Arial" w:eastAsia="Arial" w:hAnsi="Arial"/>
          <w:sz w:val="17"/>
          <w:szCs w:val="17"/>
          <w:color w:val="auto"/>
        </w:rPr>
      </w:pPr>
    </w:p>
    <w:p>
      <w:pPr>
        <w:ind w:right="40" w:firstLine="446"/>
        <w:spacing w:after="0" w:line="285" w:lineRule="auto"/>
        <w:tabs>
          <w:tab w:leader="none" w:pos="696"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Issuance of Series D and E Warrant Shares; Registration Statements</w:t>
      </w:r>
      <w:r>
        <w:rPr>
          <w:rFonts w:ascii="Arial" w:cs="Arial" w:eastAsia="Arial" w:hAnsi="Arial"/>
          <w:sz w:val="16"/>
          <w:szCs w:val="16"/>
          <w:color w:val="auto"/>
        </w:rPr>
        <w:t>. The Series D Warrant Shares, Series E Warrant Shares and Series F Warrant Shares (collectively,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are duly authorized and, when issued and paid for in accordance with the respective terms of the Warrants, will be duly and validly issued, fully paid and nonassessable, free and clear of all liens imposed by the Company. The Company has prepared and filed registration statements on Form S-1, File No. 333-205757 and Form S-3, File No. 333-215258 (collectively,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in conformity with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became effective</w:t>
      </w:r>
    </w:p>
    <w:p>
      <w:pPr>
        <w:spacing w:after="0" w:line="2"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on August 7, 2015 and January 18, 2017 respectively and the combined prospectus for all of the foregoing Registration Statements File No. 333-220538, which became effective on December 29, 2017 (“</w:t>
      </w:r>
      <w:r>
        <w:rPr>
          <w:rFonts w:ascii="Arial" w:cs="Arial" w:eastAsia="Arial" w:hAnsi="Arial"/>
          <w:sz w:val="16"/>
          <w:szCs w:val="16"/>
          <w:u w:val="single" w:color="auto"/>
          <w:color w:val="auto"/>
        </w:rPr>
        <w:t>Prospectus</w:t>
      </w:r>
      <w:r>
        <w:rPr>
          <w:rFonts w:ascii="Arial" w:cs="Arial" w:eastAsia="Arial" w:hAnsi="Arial"/>
          <w:sz w:val="16"/>
          <w:szCs w:val="16"/>
          <w:color w:val="auto"/>
        </w:rPr>
        <w:t>”), and such amendments and supplements thereto as may have been required to the date of this Agreement. The 8-K Filing shall be incorporated by reference into the Registration Statements, thereby updating the Prospectus included therein. The Warrant Shares are registered for issuance or resale, as the case may be, by the Holder on the Registration Statements and the Company knows of no reasons why such Registration Statements shall not remain available for the issuance or resale, as the case may be, of such Warrant Shares for the foreseeable future. The Company shall use its reasonable best efforts to keep the Registration Statements effective and available for use by the Holder until all Warrant Shares are sold by the Holder. The Registration Statements are effective under the Securities Act and no stop order preventing or suspending the effectiveness of the Registration Statements or suspending or preventing the use of the Prospectus has been issued by the Commission and no proceedings for that purpose have been instituted or, to the knowledge of the Company, are threatened by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At the time the Registration Statements and any amendments thereto became effective and at the date of this Agreement, the Registration Statements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as of the date hereof,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38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20" w:top="908" w:right="259" w:bottom="1440" w:gutter="0" w:footer="0" w:header="0"/>
        </w:sectPr>
      </w:pPr>
    </w:p>
    <w:bookmarkStart w:id="46" w:name="page47"/>
    <w:bookmarkEnd w:id="46"/>
    <w:p>
      <w:pPr>
        <w:ind w:left="680" w:right="20" w:firstLine="446"/>
        <w:spacing w:after="0" w:line="293" w:lineRule="auto"/>
        <w:tabs>
          <w:tab w:leader="none" w:pos="136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of the disclosure furnished by or on behalf of the Company to the Holder regarding the Company and its subsidiaries, their respective businesses and the transactions contemplated hereby, including but not limited to the disclosure set forth in the SEC Reports, is true and correct and does not contain any untrue statement of a material fact or omit to state any material fact necessary in order to make the statements made therein, in light of the circumstances under which they were made, not misleading. As used herein, “</w:t>
      </w:r>
      <w:r>
        <w:rPr>
          <w:rFonts w:ascii="Arial" w:cs="Arial" w:eastAsia="Arial" w:hAnsi="Arial"/>
          <w:sz w:val="16"/>
          <w:szCs w:val="16"/>
          <w:u w:val="single" w:color="auto"/>
          <w:color w:val="auto"/>
        </w:rPr>
        <w:t>SEC Reports</w:t>
      </w:r>
      <w:r>
        <w:rPr>
          <w:rFonts w:ascii="Arial" w:cs="Arial" w:eastAsia="Arial" w:hAnsi="Arial"/>
          <w:sz w:val="16"/>
          <w:szCs w:val="16"/>
          <w:color w:val="auto"/>
        </w:rPr>
        <w:t>” means all reports, schedules, forms, statements and other documents required to be filed by the Company with the Commission pursuant to the reporting requirements of the 1934 Act, including all exhibits included therein and financial statements, notes and schedules thereto and documents incorporated by reference therein.</w:t>
      </w:r>
    </w:p>
    <w:p>
      <w:pPr>
        <w:spacing w:after="0" w:line="16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The Holder hereby makes the representations and warranties set forth below to the Company that as of the date of its execution of this Agreement and as of the Closing Date:</w:t>
      </w:r>
    </w:p>
    <w:p>
      <w:pPr>
        <w:spacing w:after="0" w:line="170" w:lineRule="exact"/>
        <w:rPr>
          <w:sz w:val="20"/>
          <w:szCs w:val="20"/>
          <w:color w:val="auto"/>
        </w:rPr>
      </w:pPr>
    </w:p>
    <w:p>
      <w:pPr>
        <w:jc w:val="both"/>
        <w:ind w:left="680" w:right="180" w:firstLine="446"/>
        <w:spacing w:after="0" w:line="259" w:lineRule="auto"/>
        <w:tabs>
          <w:tab w:leader="none" w:pos="136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Holder represents and warrants that (i) the execution and delivery of this Agreement by it and the consummation by it of the transactions contemplated hereby have been duly authorized by all necessary action on its behalf and (ii) this Agreement has been duly executed and delivered by the Holder and constitutes the valid and binding obligation of the Holder, enforceable against it in accordance with its terms.</w:t>
      </w:r>
    </w:p>
    <w:p>
      <w:pPr>
        <w:spacing w:after="0" w:line="186" w:lineRule="exact"/>
        <w:rPr>
          <w:rFonts w:ascii="Arial" w:cs="Arial" w:eastAsia="Arial" w:hAnsi="Arial"/>
          <w:sz w:val="18"/>
          <w:szCs w:val="18"/>
          <w:color w:val="auto"/>
        </w:rPr>
      </w:pPr>
    </w:p>
    <w:p>
      <w:pPr>
        <w:ind w:left="680" w:right="120" w:firstLine="446"/>
        <w:spacing w:after="0" w:line="302" w:lineRule="auto"/>
        <w:tabs>
          <w:tab w:leader="none" w:pos="137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Holder and the consummation by the Holder of the transactions contemplated hereby do not and will not: (i) conflict with or violate any provision of the Holder’s organizational or charter documents, or (ii) conflict with or result in a violation of any agreement, law, rule, regulation, order, judgment, injunction, decree or other restriction of any court or governmental authority which would interfere with the ability of the Holder to perform its obligations under this Agreement.</w:t>
      </w:r>
    </w:p>
    <w:p>
      <w:pPr>
        <w:spacing w:after="0" w:line="154" w:lineRule="exact"/>
        <w:rPr>
          <w:rFonts w:ascii="Arial" w:cs="Arial" w:eastAsia="Arial" w:hAnsi="Arial"/>
          <w:sz w:val="16"/>
          <w:szCs w:val="16"/>
          <w:color w:val="auto"/>
        </w:rPr>
      </w:pPr>
    </w:p>
    <w:p>
      <w:pPr>
        <w:ind w:left="680" w:right="300" w:firstLine="446"/>
        <w:spacing w:after="0" w:line="255" w:lineRule="auto"/>
        <w:tabs>
          <w:tab w:leader="none" w:pos="136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Holder acknowledges that it has had the opportunity to review the reports filed by the Company with the Commission and has been afforded (i) the opportunity to ask such questions as it has deemed necessary of, and to receive answers from, representatives of the Company concerning the terms and conditions of the exercise of the Warrants and the merits and risks of investing in the Warrant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rFonts w:ascii="Arial" w:cs="Arial" w:eastAsia="Arial" w:hAnsi="Arial"/>
          <w:sz w:val="18"/>
          <w:szCs w:val="18"/>
          <w:color w:val="auto"/>
        </w:rPr>
      </w:pPr>
    </w:p>
    <w:p>
      <w:pPr>
        <w:ind w:left="1380" w:hanging="25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Holder Status</w:t>
      </w:r>
      <w:r>
        <w:rPr>
          <w:rFonts w:ascii="Arial" w:cs="Arial" w:eastAsia="Arial" w:hAnsi="Arial"/>
          <w:sz w:val="18"/>
          <w:szCs w:val="18"/>
          <w:color w:val="auto"/>
        </w:rPr>
        <w:t>. The Holder is an “accredited investor” as defined in Rule 501 under the Securities Act.</w:t>
      </w:r>
    </w:p>
    <w:p>
      <w:pPr>
        <w:spacing w:after="0" w:line="225" w:lineRule="exact"/>
        <w:rPr>
          <w:rFonts w:ascii="Arial" w:cs="Arial" w:eastAsia="Arial" w:hAnsi="Arial"/>
          <w:sz w:val="18"/>
          <w:szCs w:val="18"/>
          <w:color w:val="auto"/>
        </w:rPr>
      </w:pPr>
    </w:p>
    <w:p>
      <w:pPr>
        <w:ind w:left="680" w:firstLine="446"/>
        <w:spacing w:after="0" w:line="302" w:lineRule="auto"/>
        <w:tabs>
          <w:tab w:leader="none" w:pos="136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Holder is acquiring the Warrant Shares as principal for its own account and has no direct or indirect arrangement or understandings with any other persons to distribute or regarding the distribution of such Warrant Shares (this representation and warranty not limiting such Holder’s right to sell the Warrant Shares pursuant to the Registration Statements or otherwise in compliance with applicable federal and state securities laws). Such Holder is acquiring the Warrant Shares hereunder in the ordinary course of its business.</w:t>
      </w:r>
    </w:p>
    <w:p>
      <w:pPr>
        <w:spacing w:after="0" w:line="154" w:lineRule="exact"/>
        <w:rPr>
          <w:rFonts w:ascii="Arial" w:cs="Arial" w:eastAsia="Arial" w:hAnsi="Arial"/>
          <w:sz w:val="16"/>
          <w:szCs w:val="16"/>
          <w:color w:val="auto"/>
        </w:rPr>
      </w:pPr>
    </w:p>
    <w:p>
      <w:pPr>
        <w:ind w:left="680" w:right="340" w:firstLine="446"/>
        <w:spacing w:after="0" w:line="277" w:lineRule="auto"/>
        <w:tabs>
          <w:tab w:leader="none" w:pos="1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has good and transferable title to, and is the sole owner of the Warrants, and all of such Warrants are free and clear of liens, claims or encumbrances of any kind.</w:t>
      </w:r>
    </w:p>
    <w:p>
      <w:pPr>
        <w:spacing w:after="0" w:line="170" w:lineRule="exact"/>
        <w:rPr>
          <w:rFonts w:ascii="Arial" w:cs="Arial" w:eastAsia="Arial" w:hAnsi="Arial"/>
          <w:sz w:val="18"/>
          <w:szCs w:val="18"/>
          <w:color w:val="auto"/>
        </w:rPr>
      </w:pPr>
    </w:p>
    <w:p>
      <w:pPr>
        <w:ind w:left="680" w:right="200" w:firstLine="446"/>
        <w:spacing w:after="0" w:line="277" w:lineRule="auto"/>
        <w:tabs>
          <w:tab w:leader="none" w:pos="137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Compliance with Limitations on Exercises</w:t>
      </w:r>
      <w:r>
        <w:rPr>
          <w:rFonts w:ascii="Arial" w:cs="Arial" w:eastAsia="Arial" w:hAnsi="Arial"/>
          <w:sz w:val="18"/>
          <w:szCs w:val="18"/>
          <w:color w:val="auto"/>
        </w:rPr>
        <w:t>. The Holder represents and warrants that as of the Closing, the exercise of the Warrants at the Closing does not violate the limitations on exercises set forth in Section 1(f) of each Warrant.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CLOSING CONDITIONS</w:t>
      </w:r>
    </w:p>
    <w:p>
      <w:pPr>
        <w:spacing w:after="0" w:line="2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The Holder’s obligations to consummate the transactions contemplated hereby are subject to satisfaction or waiver, in the discretion of the Holder, of the following conditions:</w:t>
      </w:r>
    </w:p>
    <w:p>
      <w:pPr>
        <w:spacing w:after="0" w:line="170" w:lineRule="exact"/>
        <w:rPr>
          <w:sz w:val="20"/>
          <w:szCs w:val="20"/>
          <w:color w:val="auto"/>
        </w:rPr>
      </w:pPr>
    </w:p>
    <w:p>
      <w:pPr>
        <w:ind w:left="1380" w:hanging="238"/>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Holder this Agreement;</w:t>
      </w:r>
    </w:p>
    <w:p>
      <w:pPr>
        <w:spacing w:after="0" w:line="225" w:lineRule="exact"/>
        <w:rPr>
          <w:rFonts w:ascii="Arial" w:cs="Arial" w:eastAsia="Arial" w:hAnsi="Arial"/>
          <w:sz w:val="18"/>
          <w:szCs w:val="18"/>
          <w:color w:val="auto"/>
        </w:rPr>
      </w:pPr>
    </w:p>
    <w:p>
      <w:pPr>
        <w:ind w:left="660" w:right="240" w:firstLine="482"/>
        <w:spacing w:after="0" w:line="277" w:lineRule="auto"/>
        <w:tabs>
          <w:tab w:leader="none" w:pos="14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the Warrant Shares to the Holder via the Depository Trust Company Deposit or Withdrawal at Custodian system; and</w:t>
      </w:r>
    </w:p>
    <w:p>
      <w:pPr>
        <w:spacing w:after="0" w:line="170" w:lineRule="exact"/>
        <w:rPr>
          <w:rFonts w:ascii="Arial" w:cs="Arial" w:eastAsia="Arial" w:hAnsi="Arial"/>
          <w:sz w:val="18"/>
          <w:szCs w:val="18"/>
          <w:color w:val="auto"/>
        </w:rPr>
      </w:pPr>
    </w:p>
    <w:p>
      <w:pPr>
        <w:jc w:val="both"/>
        <w:ind w:left="660" w:right="20" w:firstLine="482"/>
        <w:spacing w:after="0" w:line="264" w:lineRule="auto"/>
        <w:tabs>
          <w:tab w:leader="none" w:pos="1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181" w:lineRule="exact"/>
        <w:rPr>
          <w:rFonts w:ascii="Arial" w:cs="Arial" w:eastAsia="Arial" w:hAnsi="Arial"/>
          <w:sz w:val="18"/>
          <w:szCs w:val="18"/>
          <w:color w:val="auto"/>
        </w:rPr>
      </w:pPr>
    </w:p>
    <w:p>
      <w:pPr>
        <w:ind w:left="1400" w:hanging="258"/>
        <w:spacing w:after="0"/>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Registration Statements shall remain effective and available for the issuance or resale, as the case may be, of the Warrant Shares.</w:t>
      </w:r>
    </w:p>
    <w:p>
      <w:pPr>
        <w:spacing w:after="0" w:line="24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170" w:lineRule="exact"/>
        <w:rPr>
          <w:sz w:val="20"/>
          <w:szCs w:val="20"/>
          <w:color w:val="auto"/>
        </w:rPr>
      </w:pPr>
    </w:p>
    <w:p>
      <w:pPr>
        <w:ind w:left="1440" w:hanging="298"/>
        <w:spacing w:after="0"/>
        <w:tabs>
          <w:tab w:leader="none" w:pos="1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shall have executed and delivered to the Company this Agreement;</w:t>
      </w:r>
    </w:p>
    <w:p>
      <w:pPr>
        <w:spacing w:after="0" w:line="225" w:lineRule="exact"/>
        <w:rPr>
          <w:rFonts w:ascii="Arial" w:cs="Arial" w:eastAsia="Arial" w:hAnsi="Arial"/>
          <w:sz w:val="18"/>
          <w:szCs w:val="18"/>
          <w:color w:val="auto"/>
        </w:rPr>
      </w:pPr>
    </w:p>
    <w:p>
      <w:pPr>
        <w:ind w:left="660" w:right="20" w:firstLine="482"/>
        <w:spacing w:after="0" w:line="264" w:lineRule="auto"/>
        <w:tabs>
          <w:tab w:leader="none" w:pos="14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Holder contained herein (unless as of a specific date therein, in which case they shall be true and correct as of such date); and</w:t>
      </w:r>
    </w:p>
    <w:p>
      <w:pPr>
        <w:spacing w:after="0" w:line="181" w:lineRule="exact"/>
        <w:rPr>
          <w:rFonts w:ascii="Arial" w:cs="Arial" w:eastAsia="Arial" w:hAnsi="Arial"/>
          <w:sz w:val="18"/>
          <w:szCs w:val="18"/>
          <w:color w:val="auto"/>
        </w:rPr>
      </w:pPr>
    </w:p>
    <w:p>
      <w:pPr>
        <w:ind w:left="660" w:right="220" w:firstLine="482"/>
        <w:spacing w:after="0" w:line="277" w:lineRule="auto"/>
        <w:tabs>
          <w:tab w:leader="none" w:pos="14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Holder shall have executed a Voting and Support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regard to the Company’s anticipated reverse triangular merger with Marker Therapeutics, Inc.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Other Holders</w:t>
      </w:r>
      <w:r>
        <w:rPr>
          <w:rFonts w:ascii="Arial" w:cs="Arial" w:eastAsia="Arial" w:hAnsi="Arial"/>
          <w:sz w:val="16"/>
          <w:szCs w:val="16"/>
          <w:color w:val="auto"/>
        </w:rPr>
        <w:t>. The Company acknowledges and agrees that the obligations of the Holder under this Agreement are several and not joint with the obligations of any other holder or any other holders of the Series A Warrants, Series A-1 Warrants, Series C Warrants, Series D Warrants, Series D-1 Warrants, Series E Warrants, Series E-1 Warrants, Series F Warrants and Series F-1 Warrants of the Company (each, an “</w:t>
      </w:r>
      <w:r>
        <w:rPr>
          <w:rFonts w:ascii="Arial" w:cs="Arial" w:eastAsia="Arial" w:hAnsi="Arial"/>
          <w:sz w:val="16"/>
          <w:szCs w:val="16"/>
          <w:u w:val="single" w:color="auto"/>
          <w:color w:val="auto"/>
        </w:rPr>
        <w:t>Other Holder</w:t>
      </w:r>
      <w:r>
        <w:rPr>
          <w:rFonts w:ascii="Arial" w:cs="Arial" w:eastAsia="Arial" w:hAnsi="Arial"/>
          <w:sz w:val="16"/>
          <w:szCs w:val="16"/>
          <w:color w:val="auto"/>
        </w:rPr>
        <w:t>”) under any other agreement related to the exercise of such warrants (“</w:t>
      </w:r>
      <w:r>
        <w:rPr>
          <w:rFonts w:ascii="Arial" w:cs="Arial" w:eastAsia="Arial" w:hAnsi="Arial"/>
          <w:sz w:val="16"/>
          <w:szCs w:val="16"/>
          <w:u w:val="single" w:color="auto"/>
          <w:color w:val="auto"/>
        </w:rPr>
        <w:t>Other Warrant Exercise Agreement</w:t>
      </w:r>
      <w:r>
        <w:rPr>
          <w:rFonts w:ascii="Arial" w:cs="Arial" w:eastAsia="Arial" w:hAnsi="Arial"/>
          <w:sz w:val="16"/>
          <w:szCs w:val="16"/>
          <w:color w:val="auto"/>
        </w:rPr>
        <w:t>”), and the Holder shall not be responsible in any way for the performance of the obligations of any Other Holder or under any such Other Warrant Exercise Agreement. Nothing contained in this Agreement, and no action taken by the Holder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Agreement and the Company acknowledges that the Holder and the Other Holders are not acting in concert or as a group with respect to such obligations or the transactions contemplated by this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their rights, including, without limitation, the rights arising out of this Agreement, and it shall not be necessary for any Other Holder to be joined as an additional party in any proceeding for such purpose. The Company hereby represents and warrants as of the date hereof and covenants and agrees from and after the date hereof that none of the terms offered to any Other Holder with respect to any Other Warrant Exercise Agreement (or any amendment, modification or waiver thereof) (each an "</w:t>
      </w:r>
      <w:r>
        <w:rPr>
          <w:rFonts w:ascii="Arial" w:cs="Arial" w:eastAsia="Arial" w:hAnsi="Arial"/>
          <w:sz w:val="16"/>
          <w:szCs w:val="16"/>
          <w:u w:val="single" w:color="auto"/>
          <w:color w:val="auto"/>
        </w:rPr>
        <w:t>Amendment Document</w:t>
      </w:r>
      <w:r>
        <w:rPr>
          <w:rFonts w:ascii="Arial" w:cs="Arial" w:eastAsia="Arial" w:hAnsi="Arial"/>
          <w:sz w:val="16"/>
          <w:szCs w:val="16"/>
          <w:color w:val="auto"/>
        </w:rPr>
        <w:t>"), is or will be more favorable to such Other Holder than those of the Holder pursuant to this Agreement. If prior to Closing, the Company enters into an Amendment Document, then (i) the Company shall provide notice thereof to the Holder immediately following the occurrence thereof and (ii)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Amendment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5.2 shall apply similarly and equally to each Amendment Document.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8" w:name="page49"/>
    <w:bookmarkEnd w:id="48"/>
    <w:p>
      <w:pPr>
        <w:ind w:right="640" w:firstLine="441"/>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made in accordance with Section 8 of the Warrants.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(as of the date such representations and warranties were made) made herein or in any certificate or other instrument delivered by it or on its behalf under this Agreement shall be considered to have been relied upon by the parties hereto and shall survive the issuance of the Warrant Shares. This Agreement shall inure to the benefit of and be binding upon the successors and permitted assigns of each of the parties; provided however that no party may assign this Agreement or the obligations and rights of such party hereunder without the prior written consent of the other parties hereto.</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pursuant to Section 11 of the Warrants.</w:t>
      </w:r>
    </w:p>
    <w:p>
      <w:pPr>
        <w:spacing w:after="0" w:line="170"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8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 effective only upon the Company returning a fully-executed copy of this Agreement to the Holder.</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to Follow]</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/s/Peter Hoang</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DOMESTIC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485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48525" cy="148590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 Account Number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FOREIGN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751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48525" cy="17513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Number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SWIFT Code</w:t>
      </w: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[Signature Page to Warrant Exercise Agreement (Empery)]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50" w:name="page51"/>
    <w:bookmarkEnd w:id="50"/>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Empery Asset Master,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General Counsel of Empery Asset Management, Authorized Agent of the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59,555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$148,887.50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59,555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E Warrant Shares Underlying Series E Warrant: 59,555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E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$148,887.50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E Warrant Shares to be Issued Upon Exercise: 59,555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F Warrant Shares Underlying Series F Warrant: 59,555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F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$148,887.50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to be Issued Upon Exercise: 59,555</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DWAC Instructions for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178,665 Warrant Shares to be delivered to the following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22"/>
          <w:szCs w:val="22"/>
          <w:i w:val="1"/>
          <w:iCs w:val="1"/>
          <w:color w:val="auto"/>
        </w:rPr>
        <w:t>[Signature Page to Warrant Exercise Agreement (Empery)]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51" w:name="page52"/>
    <w:bookmarkEnd w:id="51"/>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Empery Tax Efficient,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General Counsel of Empery Asset Management, Authorized Agent of the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14,241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$35,602.50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14,241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E Warrant Shares Underlying Series E Warrant: 14,241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E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$35,602.50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E Warrant Shares to be Issued Upon Exercise: 14,241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F Warrant Shares Underlying Series F Warrant: 14,241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F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$35,602.50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to be Issued Upon Exercise: 14,241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12,174 Warrant Shares to be delivered to the following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30,549 Warrant Shares to be delivered to the following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22"/>
          <w:szCs w:val="22"/>
          <w:i w:val="1"/>
          <w:iCs w:val="1"/>
          <w:color w:val="auto"/>
        </w:rPr>
        <w:t>[Signature Page to Warrant Exercise Agreement (Empery)]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52" w:name="page53"/>
    <w:bookmarkEnd w:id="52"/>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Empery Tax Efficient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General Counsel of Empery Asset Management, Authorized Agent of the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119,538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$298,845.00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119,538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E Warrant Shares Underlying Series E Warrant: 119,538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E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$298,845.00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E Warrant Shares to be Issued Upon Exercise: 119,538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F Warrant Shares Underlying Series F Warrant: 119,538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F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$298,845.00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to be Issued Upon Exercise: 119,538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aggregate of 358,614 Warrant Shares to be delivered to the following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22"/>
          <w:szCs w:val="22"/>
          <w:i w:val="1"/>
          <w:iCs w:val="1"/>
          <w:color w:val="auto"/>
        </w:rPr>
        <w:t>[Signature Page to Warrant Exercise Agreement (Empery)]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EXERCISE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Exercise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May 14, 2018, is by and between TapImmune Inc., a Nevada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Brio Capital Master Fund Ltd. (the “</w:t>
      </w:r>
      <w:r>
        <w:rPr>
          <w:rFonts w:ascii="Arial" w:cs="Arial" w:eastAsia="Arial" w:hAnsi="Arial"/>
          <w:sz w:val="16"/>
          <w:szCs w:val="16"/>
          <w:u w:val="single" w:color="auto"/>
          <w:color w:val="auto"/>
        </w:rPr>
        <w:t>Holder</w:t>
      </w:r>
      <w:r>
        <w:rPr>
          <w:rFonts w:ascii="Arial" w:cs="Arial" w:eastAsia="Arial" w:hAnsi="Arial"/>
          <w:sz w:val="16"/>
          <w:szCs w:val="16"/>
          <w:color w:val="auto"/>
        </w:rPr>
        <w:t>”) of those certain (i) Series C Warrant to Purchase Common Stock issued by the Company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 a portion of which warrant is exercisable at an exercise price (the “</w:t>
      </w:r>
      <w:r>
        <w:rPr>
          <w:rFonts w:ascii="Arial" w:cs="Arial" w:eastAsia="Arial" w:hAnsi="Arial"/>
          <w:sz w:val="16"/>
          <w:szCs w:val="16"/>
          <w:u w:val="single" w:color="auto"/>
          <w:color w:val="auto"/>
        </w:rPr>
        <w:t>Series C Warrant Exercise Price</w:t>
      </w:r>
      <w:r>
        <w:rPr>
          <w:rFonts w:ascii="Arial" w:cs="Arial" w:eastAsia="Arial" w:hAnsi="Arial"/>
          <w:sz w:val="16"/>
          <w:szCs w:val="16"/>
          <w:color w:val="auto"/>
        </w:rPr>
        <w:t>”) of $6.00 per share (the “</w:t>
      </w:r>
      <w:r>
        <w:rPr>
          <w:rFonts w:ascii="Arial" w:cs="Arial" w:eastAsia="Arial" w:hAnsi="Arial"/>
          <w:sz w:val="16"/>
          <w:szCs w:val="16"/>
          <w:u w:val="single" w:color="auto"/>
          <w:color w:val="auto"/>
        </w:rPr>
        <w:t>Series C Warrant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(ii) Series D Warrant to Purchase Common Stock issued by the Company to the Holder, a portion of which warrant is exercisable at an exercise price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D Warrant Exercise Price</w:t>
      </w:r>
      <w:r>
        <w:rPr>
          <w:rFonts w:ascii="Arial" w:cs="Arial" w:eastAsia="Arial" w:hAnsi="Arial"/>
          <w:sz w:val="16"/>
          <w:szCs w:val="16"/>
          <w:color w:val="auto"/>
        </w:rPr>
        <w:t>”) of $9.00 per share (the “</w:t>
      </w:r>
      <w:r>
        <w:rPr>
          <w:rFonts w:ascii="Arial" w:cs="Arial" w:eastAsia="Arial" w:hAnsi="Arial"/>
          <w:sz w:val="16"/>
          <w:szCs w:val="16"/>
          <w:u w:val="single" w:color="auto"/>
          <w:color w:val="auto"/>
        </w:rPr>
        <w:t>Series D Warrant</w:t>
      </w:r>
      <w:r>
        <w:rPr>
          <w:rFonts w:ascii="Arial" w:cs="Arial" w:eastAsia="Arial" w:hAnsi="Arial"/>
          <w:sz w:val="16"/>
          <w:szCs w:val="16"/>
          <w:color w:val="auto"/>
        </w:rPr>
        <w:t>”); (iii) Series E Warrant to Purchase Common Stock issued by the Company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 a portion of which warrant is exercisable at an exercise price (the “</w:t>
      </w:r>
      <w:r>
        <w:rPr>
          <w:rFonts w:ascii="Arial" w:cs="Arial" w:eastAsia="Arial" w:hAnsi="Arial"/>
          <w:sz w:val="16"/>
          <w:szCs w:val="16"/>
          <w:u w:val="single" w:color="auto"/>
          <w:color w:val="auto"/>
        </w:rPr>
        <w:t>Series E Warrant Exercise Price</w:t>
      </w:r>
      <w:r>
        <w:rPr>
          <w:rFonts w:ascii="Arial" w:cs="Arial" w:eastAsia="Arial" w:hAnsi="Arial"/>
          <w:sz w:val="16"/>
          <w:szCs w:val="16"/>
          <w:color w:val="auto"/>
        </w:rPr>
        <w:t>”) of $15.00 per share (the “</w:t>
      </w:r>
      <w:r>
        <w:rPr>
          <w:rFonts w:ascii="Arial" w:cs="Arial" w:eastAsia="Arial" w:hAnsi="Arial"/>
          <w:sz w:val="16"/>
          <w:szCs w:val="16"/>
          <w:u w:val="single" w:color="auto"/>
          <w:color w:val="auto"/>
        </w:rPr>
        <w:t>Series E Warrant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(iv) Series F Warrant to Purchase Common Stock issued by the Company to the Holder, a portion of which warrant is exercisable at an exercise price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Warrant Exercise Price</w:t>
      </w:r>
      <w:r>
        <w:rPr>
          <w:rFonts w:ascii="Arial" w:cs="Arial" w:eastAsia="Arial" w:hAnsi="Arial"/>
          <w:sz w:val="18"/>
          <w:szCs w:val="18"/>
          <w:color w:val="auto"/>
        </w:rPr>
        <w:t>”) of $7.20 per share (the “</w:t>
      </w:r>
      <w:r>
        <w:rPr>
          <w:rFonts w:ascii="Arial" w:cs="Arial" w:eastAsia="Arial" w:hAnsi="Arial"/>
          <w:sz w:val="18"/>
          <w:szCs w:val="18"/>
          <w:u w:val="single" w:color="auto"/>
          <w:color w:val="auto"/>
        </w:rPr>
        <w:t>Series F Warrant</w:t>
      </w:r>
      <w:r>
        <w:rPr>
          <w:rFonts w:ascii="Arial" w:cs="Arial" w:eastAsia="Arial" w:hAnsi="Arial"/>
          <w:sz w:val="18"/>
          <w:szCs w:val="18"/>
          <w:color w:val="auto"/>
        </w:rPr>
        <w:t>”).</w:t>
      </w:r>
    </w:p>
    <w:p>
      <w:pPr>
        <w:spacing w:after="0" w:line="211"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WHERAS, the Holder’s Series C Warrant, Series D Warrant , Series E Warrant and Series F Warrant are exercisable for a number of shares of common stock, par value $0.001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as set forth on such Holder’s signature page hereto;</w:t>
      </w:r>
    </w:p>
    <w:p>
      <w:pPr>
        <w:spacing w:after="0" w:line="147" w:lineRule="exact"/>
        <w:rPr>
          <w:sz w:val="20"/>
          <w:szCs w:val="20"/>
          <w:color w:val="auto"/>
        </w:rPr>
      </w:pPr>
    </w:p>
    <w:p>
      <w:pPr>
        <w:ind w:right="320" w:firstLine="441"/>
        <w:spacing w:after="0" w:line="302" w:lineRule="auto"/>
        <w:rPr>
          <w:sz w:val="20"/>
          <w:szCs w:val="20"/>
          <w:color w:val="auto"/>
        </w:rPr>
      </w:pPr>
      <w:r>
        <w:rPr>
          <w:rFonts w:ascii="Arial" w:cs="Arial" w:eastAsia="Arial" w:hAnsi="Arial"/>
          <w:sz w:val="16"/>
          <w:szCs w:val="16"/>
          <w:color w:val="auto"/>
        </w:rPr>
        <w:t>WHERAS, the Holder desires to partially exercise such Series C Warrant with respect to 49,583 shares of Common Stock (the “</w:t>
      </w:r>
      <w:r>
        <w:rPr>
          <w:rFonts w:ascii="Arial" w:cs="Arial" w:eastAsia="Arial" w:hAnsi="Arial"/>
          <w:sz w:val="16"/>
          <w:szCs w:val="16"/>
          <w:u w:val="single" w:color="auto"/>
          <w:color w:val="auto"/>
        </w:rPr>
        <w:t>Series C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immediately prior to such exercise and in consideration of the Holder’s agreement to so exercise such Series C Warrant, the Company has agreed to reduce the Series C Warrant Exercise Price for such exercised portion of the Series C Warrant to $2.50 per share (the “</w:t>
      </w:r>
      <w:r>
        <w:rPr>
          <w:rFonts w:ascii="Arial" w:cs="Arial" w:eastAsia="Arial" w:hAnsi="Arial"/>
          <w:sz w:val="16"/>
          <w:szCs w:val="16"/>
          <w:u w:val="single" w:color="auto"/>
          <w:color w:val="auto"/>
        </w:rPr>
        <w:t>Revised Series C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Price</w:t>
      </w:r>
      <w:r>
        <w:rPr>
          <w:rFonts w:ascii="Arial" w:cs="Arial" w:eastAsia="Arial" w:hAnsi="Arial"/>
          <w:sz w:val="16"/>
          <w:szCs w:val="16"/>
          <w:color w:val="auto"/>
        </w:rPr>
        <w:t>”) resulting in an aggregate exercise price of approximately $123,957.50 as set forth on the Holder’s signature page hereto;</w:t>
      </w:r>
    </w:p>
    <w:p>
      <w:pPr>
        <w:spacing w:after="0" w:line="154"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color w:val="auto"/>
        </w:rPr>
        <w:t>WHERAS, the Holder desires to partially exercise such Series D Warrant with respect to 52,083 shares of Common Stock (the “</w:t>
      </w:r>
      <w:r>
        <w:rPr>
          <w:rFonts w:ascii="Arial" w:cs="Arial" w:eastAsia="Arial" w:hAnsi="Arial"/>
          <w:sz w:val="16"/>
          <w:szCs w:val="16"/>
          <w:u w:val="single" w:color="auto"/>
          <w:color w:val="auto"/>
        </w:rPr>
        <w:t>Series D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immediately prior to such exercise and in consideration of the Holder’s agreement to so exercise such Series D Warrant, the Company has agreed to reduce the Series D Warrant Exercise Price for such exercised portion of the Series D Warrant to $2.50 per share (the “</w:t>
      </w:r>
      <w:r>
        <w:rPr>
          <w:rFonts w:ascii="Arial" w:cs="Arial" w:eastAsia="Arial" w:hAnsi="Arial"/>
          <w:sz w:val="16"/>
          <w:szCs w:val="16"/>
          <w:u w:val="single" w:color="auto"/>
          <w:color w:val="auto"/>
        </w:rPr>
        <w:t>Revised Series D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Price</w:t>
      </w:r>
      <w:r>
        <w:rPr>
          <w:rFonts w:ascii="Arial" w:cs="Arial" w:eastAsia="Arial" w:hAnsi="Arial"/>
          <w:sz w:val="16"/>
          <w:szCs w:val="16"/>
          <w:color w:val="auto"/>
        </w:rPr>
        <w:t>”) resulting in an aggregate exercise price of approximately $130,207.50 as set forth on the Holder’s signature page hereto;</w:t>
      </w:r>
    </w:p>
    <w:p>
      <w:pPr>
        <w:spacing w:after="0" w:line="154" w:lineRule="exact"/>
        <w:rPr>
          <w:sz w:val="20"/>
          <w:szCs w:val="20"/>
          <w:color w:val="auto"/>
        </w:rPr>
      </w:pPr>
    </w:p>
    <w:p>
      <w:pPr>
        <w:ind w:right="360" w:firstLine="441"/>
        <w:spacing w:after="0" w:line="302" w:lineRule="auto"/>
        <w:rPr>
          <w:sz w:val="20"/>
          <w:szCs w:val="20"/>
          <w:color w:val="auto"/>
        </w:rPr>
      </w:pPr>
      <w:r>
        <w:rPr>
          <w:rFonts w:ascii="Arial" w:cs="Arial" w:eastAsia="Arial" w:hAnsi="Arial"/>
          <w:sz w:val="16"/>
          <w:szCs w:val="16"/>
          <w:color w:val="auto"/>
        </w:rPr>
        <w:t>WHERAS, the Holder desires to partially exercise such Series E Warrant with respect to 31,091 shares of Common Stock (the “</w:t>
      </w:r>
      <w:r>
        <w:rPr>
          <w:rFonts w:ascii="Arial" w:cs="Arial" w:eastAsia="Arial" w:hAnsi="Arial"/>
          <w:sz w:val="16"/>
          <w:szCs w:val="16"/>
          <w:u w:val="single" w:color="auto"/>
          <w:color w:val="auto"/>
        </w:rPr>
        <w:t>Series E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immediately prior to such exercise and in consideration of the Holder’s agreement to so exercise such Series E Warrant, the Company has agreed to reduce the Series E Warrant Exercise Price for such exercised portion of the Series E Warrant to $2.50 per share (the “</w:t>
      </w:r>
      <w:r>
        <w:rPr>
          <w:rFonts w:ascii="Arial" w:cs="Arial" w:eastAsia="Arial" w:hAnsi="Arial"/>
          <w:sz w:val="16"/>
          <w:szCs w:val="16"/>
          <w:u w:val="single" w:color="auto"/>
          <w:color w:val="auto"/>
        </w:rPr>
        <w:t>Revised Series E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Price</w:t>
      </w:r>
      <w:r>
        <w:rPr>
          <w:rFonts w:ascii="Arial" w:cs="Arial" w:eastAsia="Arial" w:hAnsi="Arial"/>
          <w:sz w:val="16"/>
          <w:szCs w:val="16"/>
          <w:color w:val="auto"/>
        </w:rPr>
        <w:t>”) resulting in an aggregate exercise price of approximately $77,727.50 as set forth on the Holder’s signature page hereto; and</w:t>
      </w:r>
    </w:p>
    <w:p>
      <w:pPr>
        <w:spacing w:after="0" w:line="154" w:lineRule="exact"/>
        <w:rPr>
          <w:sz w:val="20"/>
          <w:szCs w:val="20"/>
          <w:color w:val="auto"/>
        </w:rPr>
      </w:pPr>
    </w:p>
    <w:p>
      <w:pPr>
        <w:ind w:right="360" w:firstLine="441"/>
        <w:spacing w:after="0" w:line="302" w:lineRule="auto"/>
        <w:rPr>
          <w:sz w:val="20"/>
          <w:szCs w:val="20"/>
          <w:color w:val="auto"/>
        </w:rPr>
      </w:pPr>
      <w:r>
        <w:rPr>
          <w:rFonts w:ascii="Arial" w:cs="Arial" w:eastAsia="Arial" w:hAnsi="Arial"/>
          <w:sz w:val="16"/>
          <w:szCs w:val="16"/>
          <w:color w:val="auto"/>
        </w:rPr>
        <w:t>WHERAS, the Holder desires to partially exercise such Series F Warrant with respect to 48,333 shares of Common Stock (the “</w:t>
      </w:r>
      <w:r>
        <w:rPr>
          <w:rFonts w:ascii="Arial" w:cs="Arial" w:eastAsia="Arial" w:hAnsi="Arial"/>
          <w:sz w:val="16"/>
          <w:szCs w:val="16"/>
          <w:u w:val="single" w:color="auto"/>
          <w:color w:val="auto"/>
        </w:rPr>
        <w:t>Series F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immediately prior to such exercise and in consideration of the Holder’s agreement to so exercise such Series F Warrant, the Company has agreed to reduce the Series F Warrant Exercise Price for such exercised portion of the Series C Warrant to $2.50 per share (the “</w:t>
      </w:r>
      <w:r>
        <w:rPr>
          <w:rFonts w:ascii="Arial" w:cs="Arial" w:eastAsia="Arial" w:hAnsi="Arial"/>
          <w:sz w:val="16"/>
          <w:szCs w:val="16"/>
          <w:u w:val="single" w:color="auto"/>
          <w:color w:val="auto"/>
        </w:rPr>
        <w:t>Revised Series F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Price</w:t>
      </w:r>
      <w:r>
        <w:rPr>
          <w:rFonts w:ascii="Arial" w:cs="Arial" w:eastAsia="Arial" w:hAnsi="Arial"/>
          <w:sz w:val="16"/>
          <w:szCs w:val="16"/>
          <w:color w:val="auto"/>
        </w:rPr>
        <w:t>”) resulting in an aggregate exercise price of approximately $120,832.50 as set forth on the Holder’s signature page hereto.</w:t>
      </w:r>
    </w:p>
    <w:p>
      <w:pPr>
        <w:spacing w:after="0" w:line="154"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good and valuable consideration the receipt and adequacy of which are hereby acknowledged, the Holder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defined in this Agreement shall have the respective meanings ascribed to such terms in the Series C Warrant, Series D Warrant, Series E Warrant and Series F Warrant (collectively,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REDUCTION OF EXERCISE PRICES OF WARRANTS; FIRST CLOSING AND SECOND CLOSING</w:t>
      </w:r>
    </w:p>
    <w:p>
      <w:pPr>
        <w:spacing w:after="0" w:line="21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Exercise of Series C Warrant</w:t>
      </w:r>
      <w:r>
        <w:rPr>
          <w:rFonts w:ascii="Arial" w:cs="Arial" w:eastAsia="Arial" w:hAnsi="Arial"/>
          <w:sz w:val="16"/>
          <w:szCs w:val="16"/>
          <w:color w:val="auto"/>
        </w:rPr>
        <w:t>. Subject to the satisfaction (or waiver) of the closing conditions set forth in Article IV hereof, upon the Second Closing, the Company and the Holder hereby agree that the Series C Warrant Exercise Price with respect to the Series C Warrant Shares shall be reduced to the Revised Series C Warrant Exercise Price and the Holder shall partially exercise the Series C Warrant for the number of Series C Warrant Shares at the Revised Series C Warrant Exercise Price per share, for aggregate cash proceeds to the Company in the amount set forth on the Holder’s signature page hereto, pursuant to the terms of the Series C Warrant. Holder shall execute and deliver the aggregate cash exercise price for such Series C Warrant to the bank account set forth on the Company’s signature page hereto and the Company shall deliver the Series C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Exercise of Series D Warrant</w:t>
      </w:r>
      <w:r>
        <w:rPr>
          <w:rFonts w:ascii="Arial" w:cs="Arial" w:eastAsia="Arial" w:hAnsi="Arial"/>
          <w:sz w:val="16"/>
          <w:szCs w:val="16"/>
          <w:color w:val="auto"/>
        </w:rPr>
        <w:t>. Subject to the satisfaction (or waiver) of the closing conditions set forth in Article IV hereof, upon the First Closing, the Company and the Holder hereby agree that the Series D Warrant Exercise Price with respect to the Series D Warrant Shares shall be reduced to the Revised Series D Warrant Exercise Price and the Holder shall partially exercise the Series D Warrant for the number of Series D Warrant Shares at the Revised Series D Warrant Exercise Price per share, for aggregate cash proceeds to the Company in the amount set forth on the Holder’s signature page hereto, pursuant to the terms of the Series D Warrant. Holder shall execute and deliver the aggregate cash exercise price for such Series D Warrant to the bank account set forth on the Company’s signature page hereto and the Company shall deliver the Series D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Exercise of Series E Warrant</w:t>
      </w:r>
      <w:r>
        <w:rPr>
          <w:rFonts w:ascii="Arial" w:cs="Arial" w:eastAsia="Arial" w:hAnsi="Arial"/>
          <w:sz w:val="16"/>
          <w:szCs w:val="16"/>
          <w:color w:val="auto"/>
        </w:rPr>
        <w:t>. Subject to the satisfaction (or waiver) of the closing conditions set forth in Article IV hereof, upon the First Closing, the Company and the Holder hereby agree that the Series E Warrant Exercise Price with respect to the Series E Warrant Shares shall be reduced to the Revised Series E Warrant Exercise Price and the Holder shall partially exercise the Series E Warrant for the number of Series E Warrant Shares at the Revised Series E Warrant Exercise Price per share, for aggregate cash proceeds to the Company in the amount set forth on the Holder’s signature page hereto, pursuant to the terms of the Series E Warrant. Holder shall execute and deliver the aggregate cash exercise price for such Series E Warrant to the bank account set forth on the Company’s signature page hereto and the Company shall deliver the Series E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Exercise of Series F Warrant</w:t>
      </w:r>
      <w:r>
        <w:rPr>
          <w:rFonts w:ascii="Arial" w:cs="Arial" w:eastAsia="Arial" w:hAnsi="Arial"/>
          <w:sz w:val="16"/>
          <w:szCs w:val="16"/>
          <w:color w:val="auto"/>
        </w:rPr>
        <w:t>. Subject to the satisfaction (or waiver) of the closing conditions set forth in Article IV hereof, upon the Second Closing, the Company and the Holder hereby agree that the Series F Warrant Exercise Price with respect to the Series E Warrant Shares shall be reduced to the Revised Series F Warrant Exercise Price and the Holder shall partially exercise the Series F Warrant for the number of Series F Warrant Shares at the Revised Series F Warrant Exercise Price per share, for aggregate cash proceeds to the Company in the amount set forth on the Holder’s signature page hereto, pursuant to the terms of the Series F Warrant. Holder shall execute and deliver the aggregate cash exercise price for such Series F Warrant to the bank account set forth on the Company’s signature page hereto and the Company shall deliver the Series F Warrant Shares to the Holder via the Depository Trust Company Deposit or Withdrawal at Custodian system pursuant to the instructions set forth on the Holder’s signature page hereto.</w:t>
      </w:r>
    </w:p>
    <w:p>
      <w:pPr>
        <w:spacing w:after="0" w:line="167"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Closing</w:t>
      </w:r>
      <w:r>
        <w:rPr>
          <w:rFonts w:ascii="Arial" w:cs="Arial" w:eastAsia="Arial" w:hAnsi="Arial"/>
          <w:sz w:val="17"/>
          <w:szCs w:val="17"/>
          <w:color w:val="auto"/>
        </w:rPr>
        <w:t>. Upon the terms and subject to the conditions set forth herein, (i) the closing of the partial exercise of the Series D Warrant (as amended hereby) and Series E Warrant (as amended hereby) contemplated in this Section 2 (“the “</w:t>
      </w:r>
      <w:r>
        <w:rPr>
          <w:rFonts w:ascii="Arial" w:cs="Arial" w:eastAsia="Arial" w:hAnsi="Arial"/>
          <w:sz w:val="17"/>
          <w:szCs w:val="17"/>
          <w:u w:val="single" w:color="auto"/>
          <w:color w:val="auto"/>
        </w:rPr>
        <w:t>First Closing</w:t>
      </w:r>
      <w:r>
        <w:rPr>
          <w:rFonts w:ascii="Arial" w:cs="Arial" w:eastAsia="Arial" w:hAnsi="Arial"/>
          <w:sz w:val="17"/>
          <w:szCs w:val="17"/>
          <w:color w:val="auto"/>
        </w:rPr>
        <w:t>”) will take place at 10:00 a.m., New York time, on the first business day after the satisfaction or waiver of the closing conditions set forth in Article IV at the First Closing and (ii) the closing of the partial exercise of the Series C Warrant (as amended hereby) and Series F Warrant (as amended hereby) contemplated in this Section 2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at 2:00 p.m., New York time, on the first business day after the satisfaction or waiver of the closing conditions set forth in Article IV at the Second Closing, at the offices of Shumaker, Loop &amp; Kendrick, LLP, 101 E. Kennedy Blvd., Suite 2800, Tampa, Florida, unless another time, date or place is agreed to in writing by the parties. The date on which the First Closing and Second Closing occurs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Upon the First Closing and Second Closing, all Warrants exercised pursuant to this Agreement, shall be deemed automatically and immediately cancelled and retired and shall not be reissued, sold or transferred. Within five (5) business days following the Closing Date, the Holder shall deliver to the Company the original Series C Warrant, Series D Warrant, Series E Warrant and Series F Warrant held by Holder and the Company will issue a replacement Series C Warrant, Series D Warrant, Series E Warrant and Series F Warrant exercisable for a number of shares of Common Stock and at an exercise price as set forth on such Holder’s signature page hereto pursuant to that certain Warrant Exercise Agreement dated June 21, 2017 between the Company and the Holder promptly after the Holder’s delivery of the original Warrants.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140" w:firstLine="441"/>
        <w:spacing w:after="0" w:line="291"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Filing of Form 8-K and Prospectus Supplement</w:t>
      </w:r>
      <w:r>
        <w:rPr>
          <w:rFonts w:ascii="Arial" w:cs="Arial" w:eastAsia="Arial" w:hAnsi="Arial"/>
          <w:sz w:val="16"/>
          <w:szCs w:val="16"/>
          <w:color w:val="auto"/>
        </w:rPr>
        <w:t>. On or before 9:00 a.m., New York time, on the first (1st) Business Day following the Closing Date, the Company shall file a Current Report on Form 8-K, including the form of this Agreement (the “</w:t>
      </w:r>
      <w:r>
        <w:rPr>
          <w:rFonts w:ascii="Arial" w:cs="Arial" w:eastAsia="Arial" w:hAnsi="Arial"/>
          <w:sz w:val="16"/>
          <w:szCs w:val="16"/>
          <w:u w:val="single" w:color="auto"/>
          <w:color w:val="auto"/>
        </w:rPr>
        <w:t>8-K Filing</w:t>
      </w:r>
      <w:r>
        <w:rPr>
          <w:rFonts w:ascii="Arial" w:cs="Arial" w:eastAsia="Arial" w:hAnsi="Arial"/>
          <w:sz w:val="16"/>
          <w:szCs w:val="16"/>
          <w:color w:val="auto"/>
        </w:rPr>
        <w:t>”), with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in the form required by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From and after the 8-K Filing, the Company represents to the Holder that it shall have publicly disclosed all material, non-public information delivered to the Holder by the Company, or any of their respective officers, directors, employees or agents. In addition, effective upon the 8-K Filing, the Company acknowledges and agrees that any and all confidentiality or similar obligations under any agreement, whether written or oral, between the Company or any of their respective officers, directors, agents, employees or affiliates on the one hand, and the Holder or any of its affiliates on the other hand, shall terminate.</w:t>
      </w:r>
    </w:p>
    <w:p>
      <w:pPr>
        <w:spacing w:after="0" w:line="16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representations and warranties set forth below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as of the date of its execution of this Agreement and as of the Closing Date:</w:t>
      </w:r>
    </w:p>
    <w:p>
      <w:pPr>
        <w:spacing w:after="0" w:line="211" w:lineRule="exact"/>
        <w:rPr>
          <w:sz w:val="20"/>
          <w:szCs w:val="20"/>
          <w:color w:val="auto"/>
        </w:rPr>
      </w:pPr>
    </w:p>
    <w:p>
      <w:pPr>
        <w:ind w:left="1380" w:hanging="254"/>
        <w:spacing w:after="0"/>
        <w:tabs>
          <w:tab w:leader="none" w:pos="138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duly organized and validly existing corporation in good standing under the laws of the State of Nevada.</w:t>
      </w:r>
    </w:p>
    <w:p>
      <w:pPr>
        <w:spacing w:after="0" w:line="248" w:lineRule="exact"/>
        <w:rPr>
          <w:rFonts w:ascii="Arial" w:cs="Arial" w:eastAsia="Arial" w:hAnsi="Arial"/>
          <w:sz w:val="16"/>
          <w:szCs w:val="16"/>
          <w:color w:val="auto"/>
        </w:rPr>
      </w:pPr>
    </w:p>
    <w:p>
      <w:pPr>
        <w:ind w:left="680" w:firstLine="446"/>
        <w:spacing w:after="0" w:line="284" w:lineRule="auto"/>
        <w:tabs>
          <w:tab w:leader="none" w:pos="1376"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xml:space="preserve">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such Company and no further action is required by such Company, its board of directors or its stockholders in connection therewith.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1" w:lineRule="exact"/>
        <w:rPr>
          <w:rFonts w:ascii="Arial" w:cs="Arial" w:eastAsia="Arial" w:hAnsi="Arial"/>
          <w:sz w:val="16"/>
          <w:szCs w:val="16"/>
          <w:color w:val="auto"/>
        </w:rPr>
      </w:pPr>
    </w:p>
    <w:p>
      <w:pPr>
        <w:ind w:left="1000" w:hanging="315"/>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insofar as indemnification and contribution provisions may be limited by applicable law.</w:t>
      </w:r>
    </w:p>
    <w:p>
      <w:pPr>
        <w:spacing w:after="0" w:line="210" w:lineRule="exact"/>
        <w:rPr>
          <w:rFonts w:ascii="Arial" w:cs="Arial" w:eastAsia="Arial" w:hAnsi="Arial"/>
          <w:sz w:val="18"/>
          <w:szCs w:val="18"/>
          <w:color w:val="auto"/>
        </w:rPr>
      </w:pPr>
    </w:p>
    <w:p>
      <w:pPr>
        <w:ind w:left="680" w:right="60" w:firstLine="446"/>
        <w:spacing w:after="0" w:line="270" w:lineRule="auto"/>
        <w:tabs>
          <w:tab w:leader="none" w:pos="136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left="680" w:firstLine="446"/>
        <w:spacing w:after="0" w:line="284" w:lineRule="auto"/>
        <w:tabs>
          <w:tab w:leader="none" w:pos="137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Issuance of Series C, D, E and F Warrant Shares; Registration Statements</w:t>
      </w:r>
      <w:r>
        <w:rPr>
          <w:rFonts w:ascii="Arial" w:cs="Arial" w:eastAsia="Arial" w:hAnsi="Arial"/>
          <w:sz w:val="16"/>
          <w:szCs w:val="16"/>
          <w:color w:val="auto"/>
        </w:rPr>
        <w:t>. The Series C Warrant Shares, Series D Warrant Shares, Series E Warrant Shares and Series F Warrant Shares (collectively,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are duly authorized and, when issued and paid for in accordance with the respective terms of the Warrants, will be duly and validly issued, fully paid and nonassessable, free and clear of all liens imposed by the Company. The Company has prepared and filed registration statements on Form S-1, File No. 333-205757 and Form S-3, File No. 333-215258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in conformity with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became effective on August 7, 2015 and January 18, 2017 respectively and the combined prospectus for all of the foregoing Registration Statements File No. 333-220538, which became effective on December 29, 2017 (“</w:t>
      </w:r>
      <w:r>
        <w:rPr>
          <w:rFonts w:ascii="Arial" w:cs="Arial" w:eastAsia="Arial" w:hAnsi="Arial"/>
          <w:sz w:val="16"/>
          <w:szCs w:val="16"/>
          <w:u w:val="single" w:color="auto"/>
          <w:color w:val="auto"/>
        </w:rPr>
        <w:t>Prospectus</w:t>
      </w:r>
      <w:r>
        <w:rPr>
          <w:rFonts w:ascii="Arial" w:cs="Arial" w:eastAsia="Arial" w:hAnsi="Arial"/>
          <w:sz w:val="16"/>
          <w:szCs w:val="16"/>
          <w:color w:val="auto"/>
        </w:rPr>
        <w:t>”), and such amendments and supplements thereto as may have been required to the date of this Agreement. The 8-K Filing shall be incorporated by reference into the Registration Statements, thereby updating the Prospectus included therein. The Warrant Shares are registered for issuance and/or resale, as applicable, by the Holder on the Registration Statements and the Company knows of no reasons why such Registration Statements shall not remain available for the issuance and/or resale, as applicable, of such Warrant Shares for the foreseeable future. The Company shall use its reasonable best efforts to keep the Registration Statements effective and available for use by the Holder until all Warrant Shares are sold by the Holder. The Registration Statements are effective under the Securities Act and no stop order preventing or suspending the effectiveness of the Registration Statements or suspending or preventing the use of the Prospectus has been issued by the Commission and no proceedings for that purpose have been instituted or, to the knowledge of the Company, are threatened by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At the time the Registration Statements and any amendments thereto became effective and at the date of this Agreement, the Registration Statements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as of the date hereof,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181" w:lineRule="exact"/>
        <w:rPr>
          <w:rFonts w:ascii="Arial" w:cs="Arial" w:eastAsia="Arial" w:hAnsi="Arial"/>
          <w:sz w:val="16"/>
          <w:szCs w:val="16"/>
          <w:color w:val="auto"/>
        </w:rPr>
      </w:pPr>
    </w:p>
    <w:p>
      <w:pPr>
        <w:ind w:left="680" w:right="20" w:firstLine="446"/>
        <w:spacing w:after="0" w:line="293" w:lineRule="auto"/>
        <w:tabs>
          <w:tab w:leader="none" w:pos="136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of the disclosure furnished by or on behalf of the Company to the Holder regarding the Company and its subsidiaries, their respective businesses and the transactions contemplated hereby, including but not limited to the disclosure set forth in the SEC Reports, is true and correct and does not contain any untrue statement of a material fact or omit to state any material fact necessary in order to make the statements made therein, in light of the circumstances under which they were made, not misleading. As used herein, “</w:t>
      </w:r>
      <w:r>
        <w:rPr>
          <w:rFonts w:ascii="Arial" w:cs="Arial" w:eastAsia="Arial" w:hAnsi="Arial"/>
          <w:sz w:val="16"/>
          <w:szCs w:val="16"/>
          <w:u w:val="single" w:color="auto"/>
          <w:color w:val="auto"/>
        </w:rPr>
        <w:t>SEC Reports</w:t>
      </w:r>
      <w:r>
        <w:rPr>
          <w:rFonts w:ascii="Arial" w:cs="Arial" w:eastAsia="Arial" w:hAnsi="Arial"/>
          <w:sz w:val="16"/>
          <w:szCs w:val="16"/>
          <w:color w:val="auto"/>
        </w:rPr>
        <w:t>” means all reports, schedules, forms, statements and other documents required to be filed by the Company with the Commission pursuant to the reporting requirements of the 1934 Act, including all exhibits included therein and financial statements, notes and schedules thereto and documents incorporated by reference therein.</w:t>
      </w:r>
    </w:p>
    <w:p>
      <w:pPr>
        <w:spacing w:after="0" w:line="16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The Holder hereby makes the representations and warranties set forth below to the Company that as of the date of its execution of this Agreement and as of the Closing Date:</w:t>
      </w:r>
    </w:p>
    <w:p>
      <w:pPr>
        <w:spacing w:after="0" w:line="170" w:lineRule="exact"/>
        <w:rPr>
          <w:sz w:val="20"/>
          <w:szCs w:val="20"/>
          <w:color w:val="auto"/>
        </w:rPr>
      </w:pPr>
    </w:p>
    <w:p>
      <w:pPr>
        <w:jc w:val="both"/>
        <w:ind w:left="680" w:right="180" w:firstLine="446"/>
        <w:spacing w:after="0" w:line="259" w:lineRule="auto"/>
        <w:tabs>
          <w:tab w:leader="none" w:pos="136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Holder represents and warrants that (i) the execution and delivery of this Agreement by it and the consummation by it of the transactions contemplated hereby have been duly authorized by all necessary action on its behalf and (ii) this Agreement has been duly executed and delivered by the Holder and constitutes the valid and binding obligation of the Holder, enforceable against it in accordance with its terms.</w:t>
      </w:r>
    </w:p>
    <w:p>
      <w:pPr>
        <w:spacing w:after="0" w:line="186" w:lineRule="exact"/>
        <w:rPr>
          <w:rFonts w:ascii="Arial" w:cs="Arial" w:eastAsia="Arial" w:hAnsi="Arial"/>
          <w:sz w:val="18"/>
          <w:szCs w:val="18"/>
          <w:color w:val="auto"/>
        </w:rPr>
      </w:pPr>
    </w:p>
    <w:p>
      <w:pPr>
        <w:ind w:left="680" w:right="120" w:firstLine="446"/>
        <w:spacing w:after="0" w:line="302" w:lineRule="auto"/>
        <w:tabs>
          <w:tab w:leader="none" w:pos="137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Holder and the consummation by the Holder of the transactions contemplated hereby do not and will not: (i) conflict with or violate any provision of the Holder’s organizational or charter documents, or (ii) conflict with or result in a violation of any agreement, law, rule, regulation, order, judgment, injunction, decree or other restriction of any court or governmental authority which would interfere with the ability of the Holder to perform its obligations under this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680" w:right="300" w:firstLine="446"/>
        <w:spacing w:after="0" w:line="255" w:lineRule="auto"/>
        <w:tabs>
          <w:tab w:leader="none" w:pos="136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Holder acknowledges that it has had the opportunity to review the reports filed by the Company with the Commission and has been afforded (i) the opportunity to ask such questions as it has deemed necessary of, and to receive answers from, representatives of the Company concerning the terms and conditions of the exercise of the Warrants and the merits and risks of investing in the Warrant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rFonts w:ascii="Arial" w:cs="Arial" w:eastAsia="Arial" w:hAnsi="Arial"/>
          <w:sz w:val="18"/>
          <w:szCs w:val="18"/>
          <w:color w:val="auto"/>
        </w:rPr>
      </w:pPr>
    </w:p>
    <w:p>
      <w:pPr>
        <w:ind w:left="1380" w:hanging="254"/>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Holder Status</w:t>
      </w:r>
      <w:r>
        <w:rPr>
          <w:rFonts w:ascii="Arial" w:cs="Arial" w:eastAsia="Arial" w:hAnsi="Arial"/>
          <w:sz w:val="18"/>
          <w:szCs w:val="18"/>
          <w:color w:val="auto"/>
        </w:rPr>
        <w:t>. The Holder is an “accredited investor” as defined in Rule 501 under the Securities Act.</w:t>
      </w:r>
    </w:p>
    <w:p>
      <w:pPr>
        <w:spacing w:after="0" w:line="225" w:lineRule="exact"/>
        <w:rPr>
          <w:rFonts w:ascii="Arial" w:cs="Arial" w:eastAsia="Arial" w:hAnsi="Arial"/>
          <w:sz w:val="18"/>
          <w:szCs w:val="18"/>
          <w:color w:val="auto"/>
        </w:rPr>
      </w:pPr>
    </w:p>
    <w:p>
      <w:pPr>
        <w:ind w:left="680" w:firstLine="446"/>
        <w:spacing w:after="0" w:line="302" w:lineRule="auto"/>
        <w:tabs>
          <w:tab w:leader="none" w:pos="136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Holder is acquiring the Warrant Shares as principal for its own account and has no direct or indirect arrangement or understandings with any other persons to distribute or regarding the distribution of such Warrant Shares (this representation and warranty not limiting such Holder’s right to sell the Warrant Shares pursuant to the Registration Statements or otherwise in compliance with applicable federal and state securities laws). Such Holder is acquiring the Warrant Shares hereunder in the ordinary course of its business.</w:t>
      </w:r>
    </w:p>
    <w:p>
      <w:pPr>
        <w:spacing w:after="0" w:line="154" w:lineRule="exact"/>
        <w:rPr>
          <w:rFonts w:ascii="Arial" w:cs="Arial" w:eastAsia="Arial" w:hAnsi="Arial"/>
          <w:sz w:val="16"/>
          <w:szCs w:val="16"/>
          <w:color w:val="auto"/>
        </w:rPr>
      </w:pPr>
    </w:p>
    <w:p>
      <w:pPr>
        <w:ind w:left="680" w:right="60" w:firstLine="446"/>
        <w:spacing w:after="0" w:line="277" w:lineRule="auto"/>
        <w:tabs>
          <w:tab w:leader="none" w:pos="13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Title to Warrants</w:t>
      </w:r>
      <w:r>
        <w:rPr>
          <w:rFonts w:ascii="Arial" w:cs="Arial" w:eastAsia="Arial" w:hAnsi="Arial"/>
          <w:sz w:val="18"/>
          <w:szCs w:val="18"/>
          <w:color w:val="auto"/>
        </w:rPr>
        <w:t>. The Holder has good and transferable title to, and is the sole owner of the Warrants, and all of such Warrants are free and clear of liens, claims or encumbrances of any kind.</w:t>
      </w:r>
    </w:p>
    <w:p>
      <w:pPr>
        <w:spacing w:after="0" w:line="170" w:lineRule="exact"/>
        <w:rPr>
          <w:rFonts w:ascii="Arial" w:cs="Arial" w:eastAsia="Arial" w:hAnsi="Arial"/>
          <w:sz w:val="18"/>
          <w:szCs w:val="18"/>
          <w:color w:val="auto"/>
        </w:rPr>
      </w:pPr>
    </w:p>
    <w:p>
      <w:pPr>
        <w:ind w:left="680" w:right="180" w:firstLine="446"/>
        <w:spacing w:after="0" w:line="342" w:lineRule="auto"/>
        <w:tabs>
          <w:tab w:leader="none" w:pos="137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Compliance with Limitations on Exercises</w:t>
      </w:r>
      <w:r>
        <w:rPr>
          <w:rFonts w:ascii="Arial" w:cs="Arial" w:eastAsia="Arial" w:hAnsi="Arial"/>
          <w:sz w:val="16"/>
          <w:szCs w:val="16"/>
          <w:color w:val="auto"/>
        </w:rPr>
        <w:t>. The Holder represents and warrants that as of the First Closing and as of the Second Closing, the portion of the Warrants exercised at each closing do not violate the limitations on exercises set forth in Section 1(f) of each Warrant.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21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The Holder’s obligations to consummate the transactions contemplated hereby are subject to satisfaction or waiver, in the discretion of the Holder, of the following conditions:</w:t>
      </w:r>
    </w:p>
    <w:p>
      <w:pPr>
        <w:spacing w:after="0" w:line="170" w:lineRule="exact"/>
        <w:rPr>
          <w:sz w:val="20"/>
          <w:szCs w:val="20"/>
          <w:color w:val="auto"/>
        </w:rPr>
      </w:pPr>
    </w:p>
    <w:p>
      <w:pPr>
        <w:ind w:left="1380" w:hanging="238"/>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Holder this Agreement;</w:t>
      </w:r>
    </w:p>
    <w:p>
      <w:pPr>
        <w:spacing w:after="0" w:line="225" w:lineRule="exact"/>
        <w:rPr>
          <w:rFonts w:ascii="Arial" w:cs="Arial" w:eastAsia="Arial" w:hAnsi="Arial"/>
          <w:sz w:val="18"/>
          <w:szCs w:val="18"/>
          <w:color w:val="auto"/>
        </w:rPr>
      </w:pPr>
    </w:p>
    <w:p>
      <w:pPr>
        <w:ind w:left="660" w:right="260" w:firstLine="482"/>
        <w:spacing w:after="0" w:line="277" w:lineRule="auto"/>
        <w:tabs>
          <w:tab w:leader="none" w:pos="14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the Warrant Shares to the Holder via the Depository Trust Company Deposit or Withdrawal at Custodian system; and</w:t>
      </w:r>
    </w:p>
    <w:p>
      <w:pPr>
        <w:spacing w:after="0" w:line="170" w:lineRule="exact"/>
        <w:rPr>
          <w:rFonts w:ascii="Arial" w:cs="Arial" w:eastAsia="Arial" w:hAnsi="Arial"/>
          <w:sz w:val="18"/>
          <w:szCs w:val="18"/>
          <w:color w:val="auto"/>
        </w:rPr>
      </w:pPr>
    </w:p>
    <w:p>
      <w:pPr>
        <w:jc w:val="both"/>
        <w:ind w:left="660" w:right="40" w:firstLine="482"/>
        <w:spacing w:after="0" w:line="264" w:lineRule="auto"/>
        <w:tabs>
          <w:tab w:leader="none" w:pos="13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the Holder shall have executed and delivered to the Company this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660" w:right="20" w:firstLine="482"/>
        <w:spacing w:after="0" w:line="264" w:lineRule="auto"/>
        <w:tabs>
          <w:tab w:leader="none" w:pos="14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Holder contained herein (unless as of a specific date therein, in which case they shall be true and correct as of such date); and</w:t>
      </w:r>
    </w:p>
    <w:p>
      <w:pPr>
        <w:spacing w:after="0" w:line="181" w:lineRule="exact"/>
        <w:rPr>
          <w:rFonts w:ascii="Arial" w:cs="Arial" w:eastAsia="Arial" w:hAnsi="Arial"/>
          <w:sz w:val="18"/>
          <w:szCs w:val="18"/>
          <w:color w:val="auto"/>
        </w:rPr>
      </w:pPr>
    </w:p>
    <w:p>
      <w:pPr>
        <w:ind w:left="660" w:right="100" w:firstLine="482"/>
        <w:spacing w:after="0" w:line="277" w:lineRule="auto"/>
        <w:tabs>
          <w:tab w:leader="none" w:pos="14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shall have executed a Voting and Support Agreement with regard to the Company’s anticipated reverse triangular merger with Marker Therapeutics,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Short Sales</w:t>
      </w:r>
      <w:r>
        <w:rPr>
          <w:rFonts w:ascii="Arial" w:cs="Arial" w:eastAsia="Arial" w:hAnsi="Arial"/>
          <w:sz w:val="18"/>
          <w:szCs w:val="18"/>
          <w:color w:val="auto"/>
        </w:rPr>
        <w:t>. After the Closing Date, the Holder covenants that neither it nor any affiliates acting on its behalf or pursuant to any understanding with it will execute any Short Sales (as defined below) during the period from the date hereof until the one year anniversary of the date of this Agreement. “</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18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Other Holders</w:t>
      </w:r>
      <w:r>
        <w:rPr>
          <w:rFonts w:ascii="Arial" w:cs="Arial" w:eastAsia="Arial" w:hAnsi="Arial"/>
          <w:sz w:val="17"/>
          <w:szCs w:val="17"/>
          <w:color w:val="auto"/>
        </w:rPr>
        <w:t>. The Company acknowledges and agrees that the obligations of the Holder under this Agreement are several and not joint with the obligations of any other holder or any other holders of the Series A Warrants, Series A-1 Warrants, Series C Warrants, Series D Warrants, Series D-1 Warrants, Series E Warrants, Series E-1 Warrants, Series F Warrants and Series F-1 Warrants of the Company (each, an “</w:t>
      </w:r>
      <w:r>
        <w:rPr>
          <w:rFonts w:ascii="Arial" w:cs="Arial" w:eastAsia="Arial" w:hAnsi="Arial"/>
          <w:sz w:val="17"/>
          <w:szCs w:val="17"/>
          <w:u w:val="single" w:color="auto"/>
          <w:color w:val="auto"/>
        </w:rPr>
        <w:t>Other Holder</w:t>
      </w:r>
      <w:r>
        <w:rPr>
          <w:rFonts w:ascii="Arial" w:cs="Arial" w:eastAsia="Arial" w:hAnsi="Arial"/>
          <w:sz w:val="17"/>
          <w:szCs w:val="17"/>
          <w:color w:val="auto"/>
        </w:rPr>
        <w:t>”) under any other agreement related to the exercise of such warrants (“</w:t>
      </w:r>
      <w:r>
        <w:rPr>
          <w:rFonts w:ascii="Arial" w:cs="Arial" w:eastAsia="Arial" w:hAnsi="Arial"/>
          <w:sz w:val="17"/>
          <w:szCs w:val="17"/>
          <w:u w:val="single" w:color="auto"/>
          <w:color w:val="auto"/>
        </w:rPr>
        <w:t>Other Warrant Exercise Agreement</w:t>
      </w:r>
      <w:r>
        <w:rPr>
          <w:rFonts w:ascii="Arial" w:cs="Arial" w:eastAsia="Arial" w:hAnsi="Arial"/>
          <w:sz w:val="17"/>
          <w:szCs w:val="17"/>
          <w:color w:val="auto"/>
        </w:rPr>
        <w:t>”), and the Holder shall not be responsible in any way for the performance of the obligations of any Other Holder or under any such Other Warrant Exercise Agreement. Nothing contained in this Agreement, and no action taken by the Holder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Agreement and the Company acknowledges that the Holder and the Other Holders are not acting in concert or as a group with respect to such obligations or the transactions contemplated by this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their rights, including, without limitation, the rights arising out of this Agreement, and it shall not be necessary for any Other Holder to be joined as an additional party in any proceeding for such purpose. The Company hereby represents and warrants as of the date hereof and covenants and agrees from and after the date hereof that none of the terms offered to any Other Holder with respect to any Other Warrant Exercise Agreement (or any amendment, modification or waiver thereof), is or will be more favorable to such Other Holder than those of the Holder pursuant to this Agreement.</w:t>
      </w:r>
    </w:p>
    <w:p>
      <w:pPr>
        <w:spacing w:after="0" w:line="183"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made in accordance with Section 8 of the Warrants.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(as of the date such representations and warranties were made) made herein or in any certificate or other instrument delivered by it or on its behalf under this Agreement shall be considered to have been relied upon by the parties hereto and shall survive the issuance of the Warrant Shares. This Agreement shall inure to the benefit of and be binding upon the successors and permitted assigns of each of the parties; provided however that no party may assign this Agreement or the obligations and rights of such party hereunder without the prior written consent of the other parties hereto.</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jc w:val="both"/>
        <w:ind w:right="60" w:firstLine="441"/>
        <w:spacing w:after="0" w:line="31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pursuant to Section 11 of the Warrants.</w:t>
      </w:r>
    </w:p>
    <w:p>
      <w:pPr>
        <w:spacing w:after="0" w:line="170"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 effective only upon the Company returning a fully-executed copy of this Agreement to the Holder.</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Pages to Follow]</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0" w:name="page61"/>
    <w:bookmarkEnd w:id="60"/>
    <w:p>
      <w:pPr>
        <w:ind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/s/Peter Hoang</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DOMESTIC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485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48525" cy="148590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 Account Number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FOREIGN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751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48525" cy="17513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Number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SWIFT Code</w:t>
      </w: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[Signature Page to Warrant Exercise Agreement (Brio)]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61" w:name="page62"/>
    <w:bookmarkEnd w:id="61"/>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Brio Capital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/s/Shaye Hirsch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Shaye Hirsch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C Warrant Shares Underlying Series C Warrant: 198,333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C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$123,957.50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C Warrant Shares to be Issued Upon Exercise: 49,583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208,333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$130,207.50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52,083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E Warrant Shares Underlying Series E Warrant: 208,333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E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$77,727.50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E Warrant Shares to be Issued Upon Exercise: 31,091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F Warrant Shares Underlying Series F Warrant: 193,333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F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$120,832.50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to be Issued Upon Exercise: 48,333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Replacement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C Warrant Shares at exercise price of $4.00 per share: 148,750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at exercise price of $4.00 per share: 156,250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E Warrant Shares at exercise price of $4.50 per share: 93,278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at exercise price of $4.00 per share: 145,000</w:t>
      </w: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22"/>
          <w:szCs w:val="22"/>
          <w:i w:val="1"/>
          <w:iCs w:val="1"/>
          <w:color w:val="auto"/>
        </w:rPr>
        <w:t>[Signature Page to Warrant Exercise Agreement (Brio)]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EXERCISE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Exercise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May 14, 2018, is by and between TapImmune Inc., a Nevada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holder (the “</w:t>
      </w:r>
      <w:r>
        <w:rPr>
          <w:rFonts w:ascii="Arial" w:cs="Arial" w:eastAsia="Arial" w:hAnsi="Arial"/>
          <w:sz w:val="16"/>
          <w:szCs w:val="16"/>
          <w:u w:val="single" w:color="auto"/>
          <w:color w:val="auto"/>
        </w:rPr>
        <w:t>Holder</w:t>
      </w:r>
      <w:r>
        <w:rPr>
          <w:rFonts w:ascii="Arial" w:cs="Arial" w:eastAsia="Arial" w:hAnsi="Arial"/>
          <w:sz w:val="16"/>
          <w:szCs w:val="16"/>
          <w:color w:val="auto"/>
        </w:rPr>
        <w:t>”) of that certain Series D Warrant to Purchase Common Stock issued by the Company to the 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warrant is exercisable at an exercise price (the “</w:t>
      </w:r>
      <w:r>
        <w:rPr>
          <w:rFonts w:ascii="Arial" w:cs="Arial" w:eastAsia="Arial" w:hAnsi="Arial"/>
          <w:sz w:val="18"/>
          <w:szCs w:val="18"/>
          <w:u w:val="single" w:color="auto"/>
          <w:color w:val="auto"/>
        </w:rPr>
        <w:t>Series D Warrant Exercise Price</w:t>
      </w:r>
      <w:r>
        <w:rPr>
          <w:rFonts w:ascii="Arial" w:cs="Arial" w:eastAsia="Arial" w:hAnsi="Arial"/>
          <w:sz w:val="18"/>
          <w:szCs w:val="18"/>
          <w:color w:val="auto"/>
        </w:rPr>
        <w:t>”) of $9.00 per share (the “</w:t>
      </w:r>
      <w:r>
        <w:rPr>
          <w:rFonts w:ascii="Arial" w:cs="Arial" w:eastAsia="Arial" w:hAnsi="Arial"/>
          <w:sz w:val="18"/>
          <w:szCs w:val="18"/>
          <w:u w:val="single" w:color="auto"/>
          <w:color w:val="auto"/>
        </w:rPr>
        <w:t>Series D Warrant</w:t>
      </w:r>
      <w:r>
        <w:rPr>
          <w:rFonts w:ascii="Arial" w:cs="Arial" w:eastAsia="Arial" w:hAnsi="Arial"/>
          <w:sz w:val="18"/>
          <w:szCs w:val="18"/>
          <w:color w:val="auto"/>
        </w:rPr>
        <w:t>”).</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WHERAS, the Holder’s Series D Warrant is exercisable for a number of shares of Common Stock as set forth on such Holder’s signature page hereto (the “</w:t>
      </w:r>
      <w:r>
        <w:rPr>
          <w:rFonts w:ascii="Arial" w:cs="Arial" w:eastAsia="Arial" w:hAnsi="Arial"/>
          <w:sz w:val="18"/>
          <w:szCs w:val="18"/>
          <w:u w:val="single" w:color="auto"/>
          <w:color w:val="auto"/>
        </w:rPr>
        <w:t>Series D Warrant Shares</w:t>
      </w:r>
      <w:r>
        <w:rPr>
          <w:rFonts w:ascii="Arial" w:cs="Arial" w:eastAsia="Arial" w:hAnsi="Arial"/>
          <w:sz w:val="18"/>
          <w:szCs w:val="18"/>
          <w:color w:val="auto"/>
        </w:rPr>
        <w:t>”) and the Holder desires to fully exercise such Series D Warrant and, immediately prior to such exercise and in consideration of the Holder’s agreement to so exercise such Series D Warrant, the Company has agreed to reduce the Series D Warrant Exercise Price to $2.50 per share (the “</w:t>
      </w:r>
      <w:r>
        <w:rPr>
          <w:rFonts w:ascii="Arial" w:cs="Arial" w:eastAsia="Arial" w:hAnsi="Arial"/>
          <w:sz w:val="18"/>
          <w:szCs w:val="18"/>
          <w:u w:val="single" w:color="auto"/>
          <w:color w:val="auto"/>
        </w:rPr>
        <w:t>Revised Series D Warrant Exercise Price</w:t>
      </w:r>
      <w:r>
        <w:rPr>
          <w:rFonts w:ascii="Arial" w:cs="Arial" w:eastAsia="Arial" w:hAnsi="Arial"/>
          <w:sz w:val="18"/>
          <w:szCs w:val="18"/>
          <w:color w:val="auto"/>
        </w:rPr>
        <w:t>”); and</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good and valuable consideration the receipt and adequacy of which are hereby acknowledged, the Holder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not defined in this Agreement shall have the meanings ascribed to such terms in the Series D Warrant.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EXERCISE PRICES OF WARRANT; CLOSING</w:t>
      </w:r>
    </w:p>
    <w:p>
      <w:pPr>
        <w:spacing w:after="0" w:line="21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Exercise of Series D Warrant</w:t>
      </w:r>
      <w:r>
        <w:rPr>
          <w:rFonts w:ascii="Arial" w:cs="Arial" w:eastAsia="Arial" w:hAnsi="Arial"/>
          <w:sz w:val="18"/>
          <w:szCs w:val="18"/>
          <w:color w:val="auto"/>
        </w:rPr>
        <w:t>. Subject to the satisfaction (or waiver) of the closing conditions set forth in Article IV hereof, upon the Closing, the Company and the Holder hereby agree that the Series D Warrant Exercise Price with respect to the Series D Warrant Shares shall be reduced to the Revised Series D Warrant Exercise Price and the Holder shall fully exercise the Series D Warrant for the number of Series D Warrant Shares underlying such Holder’s Series D Warrant at the Revised Series D Warrant Exercise Price per share, for aggregate cash proceeds to the Company in the amount set forth on the Holder’s signature page hereto, pursuant to the terms of the Series D Warrant. Holder shall execute and deliver the aggregate cash exercise price for such Series D Warrant to the bank account set forth on the Company’s signature page hereto and the Company shall deliver the Series D Warrant Shares to the Holder via the Depository Trust Company Deposit or Withdrawal at Custodian system pursuant to the instructions set forth on the Holder’s signature page hereto.</w:t>
      </w:r>
    </w:p>
    <w:p>
      <w:pPr>
        <w:spacing w:after="0" w:line="19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 Upon the terms and subject to the conditions set forth herein, the closing of this Agreement and the exercise of the Series D Warrant (as amended hereby) contemplated in this Section 2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2:00 p.m., New York time, on the first business day after the satisfaction or waiver of the closing conditions set forth in Article IV at Closing, at the offices of Shumaker, Loop &amp; Kendrick, LLP, 101 E. Kennedy Blvd., Suite 2800, Tampa, Florida, unless another time, date or place is agreed to in writing by the parties. The date on which the Closing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Upon Closing, the Series D Warrant exercised pursuant to this Agreement, shall be deemed automatically and immediately cancelled and retired and shall not be reissued, sold or transferred. Within five (5) business days following the Closing Date, the Holder shall deliver to the Company the original Series D Warrant held by Holder</w:t>
      </w:r>
    </w:p>
    <w:p>
      <w:pPr>
        <w:spacing w:after="0" w:line="18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Filing of Form 8-K and Prospectus Supplement</w:t>
      </w:r>
      <w:r>
        <w:rPr>
          <w:rFonts w:ascii="Arial" w:cs="Arial" w:eastAsia="Arial" w:hAnsi="Arial"/>
          <w:sz w:val="17"/>
          <w:szCs w:val="17"/>
          <w:color w:val="auto"/>
        </w:rPr>
        <w:t>. On or before 9:00 a.m., New York time, on the first (1st) Business Day following the Closing, the Company shall file a Current Report on Form 8-K, including the form of this Agreement (the “</w:t>
      </w:r>
      <w:r>
        <w:rPr>
          <w:rFonts w:ascii="Arial" w:cs="Arial" w:eastAsia="Arial" w:hAnsi="Arial"/>
          <w:sz w:val="17"/>
          <w:szCs w:val="17"/>
          <w:u w:val="single" w:color="auto"/>
          <w:color w:val="auto"/>
        </w:rPr>
        <w:t>8-K Filing</w:t>
      </w:r>
      <w:r>
        <w:rPr>
          <w:rFonts w:ascii="Arial" w:cs="Arial" w:eastAsia="Arial" w:hAnsi="Arial"/>
          <w:sz w:val="17"/>
          <w:szCs w:val="17"/>
          <w:color w:val="auto"/>
        </w:rPr>
        <w:t>”), with the Securities and Exchange Commission (“</w:t>
      </w:r>
      <w:r>
        <w:rPr>
          <w:rFonts w:ascii="Arial" w:cs="Arial" w:eastAsia="Arial" w:hAnsi="Arial"/>
          <w:sz w:val="17"/>
          <w:szCs w:val="17"/>
          <w:u w:val="single" w:color="auto"/>
          <w:color w:val="auto"/>
        </w:rPr>
        <w:t>Commission</w:t>
      </w:r>
      <w:r>
        <w:rPr>
          <w:rFonts w:ascii="Arial" w:cs="Arial" w:eastAsia="Arial" w:hAnsi="Arial"/>
          <w:sz w:val="17"/>
          <w:szCs w:val="17"/>
          <w:color w:val="auto"/>
        </w:rPr>
        <w:t>”) in the form required by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From and after the 8-K Filing, the Company represents to the Holder that it shall have publicly disclosed all material, non-public information delivered to the Holder by the Company, or any of their respective officers, directors, employees or agents. In addition, effective upon the 8-K Filing, the Company acknowledges and agrees that any and all confidentiality or similar obligations under any agreement, whether written or oral, between the Company or any of their respective officers, directors, agents, employees or affiliates on the one hand, and the Holder or any of its affiliates on the other hand, shall terminate.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representations and warranties set forth below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as of the date of its execution of this Agreement and as of the Closing Date:</w:t>
      </w:r>
    </w:p>
    <w:p>
      <w:pPr>
        <w:spacing w:after="0" w:line="211" w:lineRule="exact"/>
        <w:rPr>
          <w:sz w:val="20"/>
          <w:szCs w:val="20"/>
          <w:color w:val="auto"/>
        </w:rPr>
      </w:pPr>
    </w:p>
    <w:p>
      <w:pPr>
        <w:ind w:left="1380" w:hanging="254"/>
        <w:spacing w:after="0"/>
        <w:tabs>
          <w:tab w:leader="none" w:pos="138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duly organized and validly existing corporation in good standing under the laws of the State of Nevada.</w:t>
      </w:r>
    </w:p>
    <w:p>
      <w:pPr>
        <w:spacing w:after="0" w:line="248" w:lineRule="exact"/>
        <w:rPr>
          <w:rFonts w:ascii="Arial" w:cs="Arial" w:eastAsia="Arial" w:hAnsi="Arial"/>
          <w:sz w:val="16"/>
          <w:szCs w:val="16"/>
          <w:color w:val="auto"/>
        </w:rPr>
      </w:pPr>
    </w:p>
    <w:p>
      <w:pPr>
        <w:ind w:left="680" w:firstLine="446"/>
        <w:spacing w:after="0" w:line="284" w:lineRule="auto"/>
        <w:tabs>
          <w:tab w:leader="none" w:pos="137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xml:space="preserve">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such Company and no further action is required by such Company, its board of directors or its stockholders in connection therewith.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1" w:lineRule="exact"/>
        <w:rPr>
          <w:rFonts w:ascii="Arial" w:cs="Arial" w:eastAsia="Arial" w:hAnsi="Arial"/>
          <w:sz w:val="16"/>
          <w:szCs w:val="16"/>
          <w:color w:val="auto"/>
        </w:rPr>
      </w:pPr>
    </w:p>
    <w:p>
      <w:pPr>
        <w:ind w:left="1000" w:hanging="315"/>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insofar as indemnification and contribution provisions may be limited by applicable law.</w:t>
      </w:r>
    </w:p>
    <w:p>
      <w:pPr>
        <w:spacing w:after="0" w:line="210" w:lineRule="exact"/>
        <w:rPr>
          <w:rFonts w:ascii="Arial" w:cs="Arial" w:eastAsia="Arial" w:hAnsi="Arial"/>
          <w:sz w:val="18"/>
          <w:szCs w:val="18"/>
          <w:color w:val="auto"/>
        </w:rPr>
      </w:pPr>
    </w:p>
    <w:p>
      <w:pPr>
        <w:ind w:left="680" w:right="60" w:firstLine="446"/>
        <w:spacing w:after="0" w:line="270" w:lineRule="auto"/>
        <w:tabs>
          <w:tab w:leader="none" w:pos="136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w:t>
      </w:r>
    </w:p>
    <w:p>
      <w:pPr>
        <w:spacing w:after="0" w:line="181" w:lineRule="exact"/>
        <w:rPr>
          <w:rFonts w:ascii="Arial" w:cs="Arial" w:eastAsia="Arial" w:hAnsi="Arial"/>
          <w:sz w:val="17"/>
          <w:szCs w:val="17"/>
          <w:color w:val="auto"/>
        </w:rPr>
      </w:pPr>
    </w:p>
    <w:p>
      <w:pPr>
        <w:ind w:left="680" w:right="40" w:firstLine="446"/>
        <w:spacing w:after="0" w:line="285" w:lineRule="auto"/>
        <w:tabs>
          <w:tab w:leader="none" w:pos="137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Issuance of Series D Warrant Shares; Registration Statement</w:t>
      </w:r>
      <w:r>
        <w:rPr>
          <w:rFonts w:ascii="Arial" w:cs="Arial" w:eastAsia="Arial" w:hAnsi="Arial"/>
          <w:sz w:val="16"/>
          <w:szCs w:val="16"/>
          <w:color w:val="auto"/>
        </w:rPr>
        <w:t>. The Series D Warrant Shares are duly authorized and, when issued and paid for in accordance with the respective terms of the Series D Warrant, will be duly and validly issued, fully paid and nonassessable, free and clear of all liens imposed by the Company. The Company has prepared and filed a registration statement on Form S-1, File No. 333-205757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conformity with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became effective on August 7, 2015 and the combined prospectus for the foregoing Registration Statement File No. 333-220538, which became effective on December 29, 2017 (“</w:t>
      </w:r>
      <w:r>
        <w:rPr>
          <w:rFonts w:ascii="Arial" w:cs="Arial" w:eastAsia="Arial" w:hAnsi="Arial"/>
          <w:sz w:val="16"/>
          <w:szCs w:val="16"/>
          <w:u w:val="single" w:color="auto"/>
          <w:color w:val="auto"/>
        </w:rPr>
        <w:t>Prospectus</w:t>
      </w:r>
      <w:r>
        <w:rPr>
          <w:rFonts w:ascii="Arial" w:cs="Arial" w:eastAsia="Arial" w:hAnsi="Arial"/>
          <w:sz w:val="16"/>
          <w:szCs w:val="16"/>
          <w:color w:val="auto"/>
        </w:rPr>
        <w:t>”), and such amendments and supplements thereto as may have been required to the date of this Agreement. The 8-K Filing shall be incorporated by reference into the Registration Statement, thereby updating the Prospectus included therein. The Series D Warrant Shares are registered for issuance and resale by the Holder on the Registration Statement and the Company knows of no reasons why such Registration Statement shall not remain available for the issuance and resale of such Series D Warrant Shares for the foreseeable future. The Company shall use its reasonable best efforts to keep the Registration Statement effective and available for use by the Holder until all Series D Warrant Shares are sold by the Holder.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At the time the Registration Statement and any amendments thereto became effective and at the date of this Agreement,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as of the date hereof,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ind w:left="680" w:firstLine="446"/>
        <w:spacing w:after="0" w:line="293" w:lineRule="auto"/>
        <w:tabs>
          <w:tab w:leader="none" w:pos="136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of the disclosure furnished by or on behalf of the Company to the Holder regarding the Company and its subsidiaries, their respective businesses and the transactions contemplated hereby, including but not limited to the disclosure set forth in the SEC Reports, is true and correct and does not contain any untrue statement of a material fact or omit to state any material fact necessary in order to make the statements made therein, in light of the circumstances under which they were made, not misleading. As used herein, “</w:t>
      </w:r>
      <w:r>
        <w:rPr>
          <w:rFonts w:ascii="Arial" w:cs="Arial" w:eastAsia="Arial" w:hAnsi="Arial"/>
          <w:sz w:val="16"/>
          <w:szCs w:val="16"/>
          <w:u w:val="single" w:color="auto"/>
          <w:color w:val="auto"/>
        </w:rPr>
        <w:t>SEC Reports</w:t>
      </w:r>
      <w:r>
        <w:rPr>
          <w:rFonts w:ascii="Arial" w:cs="Arial" w:eastAsia="Arial" w:hAnsi="Arial"/>
          <w:sz w:val="16"/>
          <w:szCs w:val="16"/>
          <w:color w:val="auto"/>
        </w:rPr>
        <w:t>” means all reports, schedules, forms, statements and other documents required to be filed by the Company with the Commission pursuant to the reporting requirements of the 1934 Act, including all exhibits included therein and financial statements, notes and schedules thereto and documents incorporated by reference therein.</w:t>
      </w:r>
    </w:p>
    <w:p>
      <w:pPr>
        <w:spacing w:after="0" w:line="16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The Holder hereby makes the representations and warranties set forth below to the Company that as of the date of its execution of this Agreement and as of the Closing Date:</w:t>
      </w:r>
    </w:p>
    <w:p>
      <w:pPr>
        <w:spacing w:after="0" w:line="170" w:lineRule="exact"/>
        <w:rPr>
          <w:sz w:val="20"/>
          <w:szCs w:val="20"/>
          <w:color w:val="auto"/>
        </w:rPr>
      </w:pPr>
    </w:p>
    <w:p>
      <w:pPr>
        <w:jc w:val="both"/>
        <w:ind w:left="680" w:right="160" w:firstLine="446"/>
        <w:spacing w:after="0" w:line="259" w:lineRule="auto"/>
        <w:tabs>
          <w:tab w:leader="none" w:pos="13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Holder represents and warrants that (i) the execution and delivery of this Agreement by it and the consummation by it of the transactions contemplated hereby have been duly authorized by all necessary action on its behalf and (ii) this Agreement has been duly executed and delivered by the Holder and constitutes the valid and binding obligation of the Holder, enforceable against it in accordance with its terms.</w:t>
      </w:r>
    </w:p>
    <w:p>
      <w:pPr>
        <w:spacing w:after="0" w:line="186" w:lineRule="exact"/>
        <w:rPr>
          <w:rFonts w:ascii="Arial" w:cs="Arial" w:eastAsia="Arial" w:hAnsi="Arial"/>
          <w:sz w:val="18"/>
          <w:szCs w:val="18"/>
          <w:color w:val="auto"/>
        </w:rPr>
      </w:pPr>
    </w:p>
    <w:p>
      <w:pPr>
        <w:ind w:left="680" w:right="100" w:firstLine="446"/>
        <w:spacing w:after="0" w:line="302" w:lineRule="auto"/>
        <w:tabs>
          <w:tab w:leader="none" w:pos="137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Holder and the consummation by the Holder of the transactions contemplated hereby do not and will not: (i) conflict with or violate any provision of the Holder’s organizational or charter documents, or (ii) conflict with or result in a violation of any agreement, law, rule, regulation, order, judgment, injunction, decree or other restriction of any court or governmental authority which would interfere with the ability of the Holder to perform its obligations under this Agreement.</w:t>
      </w:r>
    </w:p>
    <w:p>
      <w:pPr>
        <w:spacing w:after="0" w:line="154" w:lineRule="exact"/>
        <w:rPr>
          <w:rFonts w:ascii="Arial" w:cs="Arial" w:eastAsia="Arial" w:hAnsi="Arial"/>
          <w:sz w:val="16"/>
          <w:szCs w:val="16"/>
          <w:color w:val="auto"/>
        </w:rPr>
      </w:pPr>
    </w:p>
    <w:p>
      <w:pPr>
        <w:ind w:left="680" w:right="20" w:firstLine="446"/>
        <w:spacing w:after="0" w:line="255" w:lineRule="auto"/>
        <w:tabs>
          <w:tab w:leader="none" w:pos="13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Holder acknowledges that it has had the opportunity to review the reports filed by the Company with the Commission and has been afforded (i) the opportunity to ask such questions as it has deemed necessary of, and to receive answers from, representatives of the Company concerning the terms and conditions of the exercise of the Series D Warrant and the merits and risks of investing in the Series D Warrant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rFonts w:ascii="Arial" w:cs="Arial" w:eastAsia="Arial" w:hAnsi="Arial"/>
          <w:sz w:val="18"/>
          <w:szCs w:val="18"/>
          <w:color w:val="auto"/>
        </w:rPr>
      </w:pPr>
    </w:p>
    <w:p>
      <w:pPr>
        <w:ind w:left="1380" w:hanging="254"/>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Holder Status</w:t>
      </w:r>
      <w:r>
        <w:rPr>
          <w:rFonts w:ascii="Arial" w:cs="Arial" w:eastAsia="Arial" w:hAnsi="Arial"/>
          <w:sz w:val="18"/>
          <w:szCs w:val="18"/>
          <w:color w:val="auto"/>
        </w:rPr>
        <w:t>. The Holder is an “accredited investor” as defined in Rule 501 under the Securities Act.</w:t>
      </w:r>
    </w:p>
    <w:p>
      <w:pPr>
        <w:spacing w:after="0" w:line="225" w:lineRule="exact"/>
        <w:rPr>
          <w:rFonts w:ascii="Arial" w:cs="Arial" w:eastAsia="Arial" w:hAnsi="Arial"/>
          <w:sz w:val="18"/>
          <w:szCs w:val="18"/>
          <w:color w:val="auto"/>
        </w:rPr>
      </w:pPr>
    </w:p>
    <w:p>
      <w:pPr>
        <w:ind w:left="680" w:right="100" w:firstLine="446"/>
        <w:spacing w:after="0" w:line="257" w:lineRule="auto"/>
        <w:tabs>
          <w:tab w:leader="none" w:pos="13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Understandings or Arrangements</w:t>
      </w:r>
      <w:r>
        <w:rPr>
          <w:rFonts w:ascii="Arial" w:cs="Arial" w:eastAsia="Arial" w:hAnsi="Arial"/>
          <w:sz w:val="18"/>
          <w:szCs w:val="18"/>
          <w:color w:val="auto"/>
        </w:rPr>
        <w:t>. Such Holder is acquiring the Series D Warrant Shares as principal for its own account and has no direct or indirect arrangement or understandings with any other persons to distribute or regarding the distribution of such Series D Warrant Shares (this representation and warranty not limiting such Holder’s right to sell the Series D Warrant Shares pursuant to the Registration Statement or otherwise in compliance with applicable federal and state securities laws). Such Holder is acquiring the Series D Warrant Shares hereunder in the ordinary course of its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ind w:left="680" w:right="60" w:firstLine="446"/>
        <w:spacing w:after="0" w:line="277" w:lineRule="auto"/>
        <w:tabs>
          <w:tab w:leader="none" w:pos="13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good and transferable title to, and is the sole owner of the Series D Warrant, and such Series D Warrant is free and clear of liens, claims or encumbrances of any kind.</w:t>
      </w:r>
    </w:p>
    <w:p>
      <w:pPr>
        <w:spacing w:after="0" w:line="170" w:lineRule="exact"/>
        <w:rPr>
          <w:rFonts w:ascii="Arial" w:cs="Arial" w:eastAsia="Arial" w:hAnsi="Arial"/>
          <w:sz w:val="18"/>
          <w:szCs w:val="18"/>
          <w:color w:val="auto"/>
        </w:rPr>
      </w:pPr>
    </w:p>
    <w:p>
      <w:pPr>
        <w:ind w:left="680" w:right="200" w:firstLine="446"/>
        <w:spacing w:after="0" w:line="277" w:lineRule="auto"/>
        <w:tabs>
          <w:tab w:leader="none" w:pos="137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Limitations on Exercises</w:t>
      </w:r>
      <w:r>
        <w:rPr>
          <w:rFonts w:ascii="Arial" w:cs="Arial" w:eastAsia="Arial" w:hAnsi="Arial"/>
          <w:sz w:val="18"/>
          <w:szCs w:val="18"/>
          <w:color w:val="auto"/>
        </w:rPr>
        <w:t>. The Holder represents and warrants that as of the Closing, the Series D Warrant exercised at the Closing does not violate the limitations on exercises set forth in Section 1(f) of the Series D Warrant.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CLOSING CONDITIONS</w:t>
      </w:r>
    </w:p>
    <w:p>
      <w:pPr>
        <w:spacing w:after="0" w:line="21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The Holder’s obligations to consummate the transactions contemplated hereby are subject to satisfaction or waiver, in the discretion of the Holder, of the following conditions:</w:t>
      </w:r>
    </w:p>
    <w:p>
      <w:pPr>
        <w:spacing w:after="0" w:line="170" w:lineRule="exact"/>
        <w:rPr>
          <w:sz w:val="20"/>
          <w:szCs w:val="20"/>
          <w:color w:val="auto"/>
        </w:rPr>
      </w:pPr>
    </w:p>
    <w:p>
      <w:pPr>
        <w:ind w:left="1380" w:hanging="238"/>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Holder this Agreement;</w:t>
      </w:r>
    </w:p>
    <w:p>
      <w:pPr>
        <w:spacing w:after="0" w:line="225" w:lineRule="exact"/>
        <w:rPr>
          <w:rFonts w:ascii="Arial" w:cs="Arial" w:eastAsia="Arial" w:hAnsi="Arial"/>
          <w:sz w:val="18"/>
          <w:szCs w:val="18"/>
          <w:color w:val="auto"/>
        </w:rPr>
      </w:pPr>
    </w:p>
    <w:p>
      <w:pPr>
        <w:ind w:left="660" w:right="180" w:firstLine="482"/>
        <w:spacing w:after="0" w:line="277" w:lineRule="auto"/>
        <w:tabs>
          <w:tab w:leader="none" w:pos="14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the Series D Warrant Shares to the Holder via the Depository Trust Company Deposit or Withdrawal at Custodian system; and</w:t>
      </w:r>
    </w:p>
    <w:p>
      <w:pPr>
        <w:spacing w:after="0" w:line="170" w:lineRule="exact"/>
        <w:rPr>
          <w:rFonts w:ascii="Arial" w:cs="Arial" w:eastAsia="Arial" w:hAnsi="Arial"/>
          <w:sz w:val="18"/>
          <w:szCs w:val="18"/>
          <w:color w:val="auto"/>
        </w:rPr>
      </w:pPr>
    </w:p>
    <w:p>
      <w:pPr>
        <w:jc w:val="both"/>
        <w:ind w:left="660" w:firstLine="482"/>
        <w:spacing w:after="0" w:line="264" w:lineRule="auto"/>
        <w:tabs>
          <w:tab w:leader="none" w:pos="13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170" w:lineRule="exact"/>
        <w:rPr>
          <w:sz w:val="20"/>
          <w:szCs w:val="20"/>
          <w:color w:val="auto"/>
        </w:rPr>
      </w:pPr>
    </w:p>
    <w:p>
      <w:pPr>
        <w:ind w:left="1440" w:hanging="298"/>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shall have executed and delivered to the Company this Agreement;</w:t>
      </w:r>
    </w:p>
    <w:p>
      <w:pPr>
        <w:spacing w:after="0" w:line="225" w:lineRule="exact"/>
        <w:rPr>
          <w:rFonts w:ascii="Arial" w:cs="Arial" w:eastAsia="Arial" w:hAnsi="Arial"/>
          <w:sz w:val="18"/>
          <w:szCs w:val="18"/>
          <w:color w:val="auto"/>
        </w:rPr>
      </w:pPr>
    </w:p>
    <w:p>
      <w:pPr>
        <w:ind w:left="660" w:firstLine="482"/>
        <w:spacing w:after="0" w:line="264" w:lineRule="auto"/>
        <w:tabs>
          <w:tab w:leader="none" w:pos="14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Holder contained herein (unless as of a specific date therein, in which case they shall be true and correct as of such date); and</w:t>
      </w:r>
    </w:p>
    <w:p>
      <w:pPr>
        <w:spacing w:after="0" w:line="181" w:lineRule="exact"/>
        <w:rPr>
          <w:rFonts w:ascii="Arial" w:cs="Arial" w:eastAsia="Arial" w:hAnsi="Arial"/>
          <w:sz w:val="18"/>
          <w:szCs w:val="18"/>
          <w:color w:val="auto"/>
        </w:rPr>
      </w:pPr>
    </w:p>
    <w:p>
      <w:pPr>
        <w:ind w:left="660" w:right="80" w:firstLine="482"/>
        <w:spacing w:after="0" w:line="277" w:lineRule="auto"/>
        <w:tabs>
          <w:tab w:leader="none" w:pos="14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shall have executed a Voting and Support Agreement with regard to the Company’s anticipated reverse triangular merger with Marker Therapeutics, Inc.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Short Sales</w:t>
      </w:r>
      <w:r>
        <w:rPr>
          <w:rFonts w:ascii="Arial" w:cs="Arial" w:eastAsia="Arial" w:hAnsi="Arial"/>
          <w:sz w:val="18"/>
          <w:szCs w:val="18"/>
          <w:color w:val="auto"/>
        </w:rPr>
        <w:t>. After the Closing Date, the Holder covenants that neither it nor any affiliates acting on its behalf or pursuant to any understanding with it will execute any Short Sales (as defined below) during the period from the date hereof until the one year anniversary of the date of this Agreement. “</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6" w:name="page67"/>
    <w:bookmarkEnd w:id="66"/>
    <w:p>
      <w:pPr>
        <w:ind w:firstLine="441"/>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Other Holders</w:t>
      </w:r>
      <w:r>
        <w:rPr>
          <w:rFonts w:ascii="Arial" w:cs="Arial" w:eastAsia="Arial" w:hAnsi="Arial"/>
          <w:sz w:val="17"/>
          <w:szCs w:val="17"/>
          <w:color w:val="auto"/>
        </w:rPr>
        <w:t>. The Company acknowledges and agrees that the obligations of the Holder under this Agreement are several and not joint with the obligations of any other holder or any other holders of the Series A Warrants, Series A-1 Warrants, Series C Warrants, Series D Warrants, Series D-1 Warrants, Series E Warrants, Series E-1 Warrants, Series F Warrants and Series F-1 Warrants of the Company (each, an “</w:t>
      </w:r>
      <w:r>
        <w:rPr>
          <w:rFonts w:ascii="Arial" w:cs="Arial" w:eastAsia="Arial" w:hAnsi="Arial"/>
          <w:sz w:val="17"/>
          <w:szCs w:val="17"/>
          <w:u w:val="single" w:color="auto"/>
          <w:color w:val="auto"/>
        </w:rPr>
        <w:t>Other Holder</w:t>
      </w:r>
      <w:r>
        <w:rPr>
          <w:rFonts w:ascii="Arial" w:cs="Arial" w:eastAsia="Arial" w:hAnsi="Arial"/>
          <w:sz w:val="17"/>
          <w:szCs w:val="17"/>
          <w:color w:val="auto"/>
        </w:rPr>
        <w:t>”) under any other agreement related to the exercise of such warrants (“</w:t>
      </w:r>
      <w:r>
        <w:rPr>
          <w:rFonts w:ascii="Arial" w:cs="Arial" w:eastAsia="Arial" w:hAnsi="Arial"/>
          <w:sz w:val="17"/>
          <w:szCs w:val="17"/>
          <w:u w:val="single" w:color="auto"/>
          <w:color w:val="auto"/>
        </w:rPr>
        <w:t>Other Warrant Exercise Agreement</w:t>
      </w:r>
      <w:r>
        <w:rPr>
          <w:rFonts w:ascii="Arial" w:cs="Arial" w:eastAsia="Arial" w:hAnsi="Arial"/>
          <w:sz w:val="17"/>
          <w:szCs w:val="17"/>
          <w:color w:val="auto"/>
        </w:rPr>
        <w:t>”), and the Holder shall not be responsible in any way for the performance of the obligations of any Other Holder or under any such Other Warrant Exercise Agreement. Nothing contained in this Agreement, and no action taken by the Holder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Agreement and the Company acknowledges that the Holder and the Other Holders are not acting in concert or as a group with respect to such obligations or the transactions contemplated by this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their rights, including, without limitation, the rights arising out of this Agreement, and it shall not be necessary for any Other Holder to be joined as an additional party in any proceeding for such purpose. The Company hereby represents and warrants as of the date hereof and covenants and agrees from and after the date hereof that none of the terms offered to any Other Holder with respect to any Other Warrant Exercise Agreement (or any amendment, modification or waiver thereof), is or will be more favorable to such Other Holder than those of the Holder pursuant to this Agreement.</w:t>
      </w:r>
    </w:p>
    <w:p>
      <w:pPr>
        <w:spacing w:after="0" w:line="183"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made in accordance with Section 8 of the Series D Warrant.</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(as of the date such representations and warranties were made) made herein or in any certificate or other instrument delivered by it or on its behalf under this Agreement shall be considered to have been relied upon by the parties hereto and shall survive the issuance of the Series D Warrant Shares. This Agreement shall inure to the benefit of and be binding upon the successors and permitted assigns of each of the parties; provided however that no party may assign this Agreement or the obligations and rights of such party hereunder without the prior written consent of the other parties hereto.</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pursuant to Section 11 of the Series D Warrant.</w:t>
      </w:r>
    </w:p>
    <w:p>
      <w:pPr>
        <w:spacing w:after="0" w:line="170"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 effective only upon the Company returning a fully-executed copy of this Agreement to the Holder.</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to Follow]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p>
      <w:pPr>
        <w:ind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/s/Peter Hoang</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DOMESTIC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485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48525" cy="148590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 Account Number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FOREIGN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751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48525" cy="17513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Number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SWIFT Code</w:t>
      </w: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9" w:right="439" w:bottom="1440" w:gutter="0" w:footer="0" w:header="0"/>
        </w:sectPr>
      </w:pPr>
    </w:p>
    <w:bookmarkStart w:id="68" w:name="page69"/>
    <w:bookmarkEnd w:id="68"/>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The Bennett Abbe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496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$1,240.00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496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Series D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69" w:name="page70"/>
    <w:bookmarkEnd w:id="69"/>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Iroquois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7,441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$18,602.50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7,441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Series D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70" w:name="page71"/>
    <w:bookmarkEnd w:id="70"/>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The Merav Abbe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/s/Leo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Leo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1,488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$3,720.50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1,488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Series D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71" w:name="page72"/>
    <w:bookmarkEnd w:id="71"/>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The Samantha Abbe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495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$1,237.50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495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Series D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9" w:right="539" w:bottom="1440" w:gutter="0" w:footer="0" w:header="0"/>
        </w:sectPr>
      </w:pPr>
    </w:p>
    <w:bookmarkStart w:id="72" w:name="page73"/>
    <w:bookmarkEnd w:id="72"/>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The Talia Abbe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D Warrant Shares Underlying Series D Warrant: 495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D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$1,237.50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to be Issued Upon Exercise: 495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Series D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(Iroquois)]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EXERCISE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Exercise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May 14, 2018, is by and between TapImmune Inc., a Nevada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holder (the “</w:t>
      </w:r>
      <w:r>
        <w:rPr>
          <w:rFonts w:ascii="Arial" w:cs="Arial" w:eastAsia="Arial" w:hAnsi="Arial"/>
          <w:sz w:val="16"/>
          <w:szCs w:val="16"/>
          <w:u w:val="single" w:color="auto"/>
          <w:color w:val="auto"/>
        </w:rPr>
        <w:t>Holder</w:t>
      </w:r>
      <w:r>
        <w:rPr>
          <w:rFonts w:ascii="Arial" w:cs="Arial" w:eastAsia="Arial" w:hAnsi="Arial"/>
          <w:sz w:val="16"/>
          <w:szCs w:val="16"/>
          <w:color w:val="auto"/>
        </w:rPr>
        <w:t>”) of that certain Series C Warrant to Purchase Common Stock issued by the Company to the 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warrant is exercisable at an exercise price (the “</w:t>
      </w:r>
      <w:r>
        <w:rPr>
          <w:rFonts w:ascii="Arial" w:cs="Arial" w:eastAsia="Arial" w:hAnsi="Arial"/>
          <w:sz w:val="18"/>
          <w:szCs w:val="18"/>
          <w:u w:val="single" w:color="auto"/>
          <w:color w:val="auto"/>
        </w:rPr>
        <w:t>Series C Warrant Exercise Price</w:t>
      </w:r>
      <w:r>
        <w:rPr>
          <w:rFonts w:ascii="Arial" w:cs="Arial" w:eastAsia="Arial" w:hAnsi="Arial"/>
          <w:sz w:val="18"/>
          <w:szCs w:val="18"/>
          <w:color w:val="auto"/>
        </w:rPr>
        <w:t>”) of $6.00 per share (the “</w:t>
      </w:r>
      <w:r>
        <w:rPr>
          <w:rFonts w:ascii="Arial" w:cs="Arial" w:eastAsia="Arial" w:hAnsi="Arial"/>
          <w:sz w:val="18"/>
          <w:szCs w:val="18"/>
          <w:u w:val="single" w:color="auto"/>
          <w:color w:val="auto"/>
        </w:rPr>
        <w:t>Series C Warrant</w:t>
      </w:r>
      <w:r>
        <w:rPr>
          <w:rFonts w:ascii="Arial" w:cs="Arial" w:eastAsia="Arial" w:hAnsi="Arial"/>
          <w:sz w:val="18"/>
          <w:szCs w:val="18"/>
          <w:color w:val="auto"/>
        </w:rPr>
        <w:t>”).</w:t>
      </w:r>
    </w:p>
    <w:p>
      <w:pPr>
        <w:spacing w:after="0" w:line="21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WHERAS, the Holder’s Series C Warrant is exercisable for a number of shares of Common Stock as set forth on such Holder’s signature page hereto (the “</w:t>
      </w:r>
      <w:r>
        <w:rPr>
          <w:rFonts w:ascii="Arial" w:cs="Arial" w:eastAsia="Arial" w:hAnsi="Arial"/>
          <w:sz w:val="18"/>
          <w:szCs w:val="18"/>
          <w:u w:val="single" w:color="auto"/>
          <w:color w:val="auto"/>
        </w:rPr>
        <w:t>Series C Warrant Shares</w:t>
      </w:r>
      <w:r>
        <w:rPr>
          <w:rFonts w:ascii="Arial" w:cs="Arial" w:eastAsia="Arial" w:hAnsi="Arial"/>
          <w:sz w:val="18"/>
          <w:szCs w:val="18"/>
          <w:color w:val="auto"/>
        </w:rPr>
        <w:t>”) and the Holder desires to fully exercise such Series C Warrant and, immediately prior to such exercise and in consideration of the Holder’s agreement to so exercise such Series C Warrant, the Company has agreed to reduce the Series C Warrant Exercise Price to $2.50 per share (the “</w:t>
      </w:r>
      <w:r>
        <w:rPr>
          <w:rFonts w:ascii="Arial" w:cs="Arial" w:eastAsia="Arial" w:hAnsi="Arial"/>
          <w:sz w:val="18"/>
          <w:szCs w:val="18"/>
          <w:u w:val="single" w:color="auto"/>
          <w:color w:val="auto"/>
        </w:rPr>
        <w:t>Revised Series C Warrant Exercise Price</w:t>
      </w:r>
      <w:r>
        <w:rPr>
          <w:rFonts w:ascii="Arial" w:cs="Arial" w:eastAsia="Arial" w:hAnsi="Arial"/>
          <w:sz w:val="18"/>
          <w:szCs w:val="18"/>
          <w:color w:val="auto"/>
        </w:rPr>
        <w:t>”); and</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good and valuable consideration the receipt and adequacy of which are hereby acknowledged, the Holder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not defined in this Agreement shall have the meanings ascribed to such terms in the Series C Warrant.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EXERCISE PRICES OF WARRANT; CLOSING</w:t>
      </w:r>
    </w:p>
    <w:p>
      <w:pPr>
        <w:spacing w:after="0" w:line="21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Exercise of Series C Warrant</w:t>
      </w:r>
      <w:r>
        <w:rPr>
          <w:rFonts w:ascii="Arial" w:cs="Arial" w:eastAsia="Arial" w:hAnsi="Arial"/>
          <w:sz w:val="18"/>
          <w:szCs w:val="18"/>
          <w:color w:val="auto"/>
        </w:rPr>
        <w:t>. Subject to the satisfaction (or waiver) of the closing conditions set forth in Article IV hereof, upon the Closing, the Company and the Holder hereby agree that the Series C Warrant Exercise Price with respect to the Series C Warrant Shares shall be reduced to the Revised Series C Warrant Exercise Price and the Holder shall fully exercise the Series C Warrant for the number of Series C Warrant Shares underlying such Holder’s Series C Warrant at the Revised Series C Warrant Exercise Price per share, for aggregate cash proceeds to the Company in the amount set forth on the Holder’s signature page hereto, pursuant to the terms of the Series C Warrant. Holder shall execute and deliver the aggregate cash exercise price for such Series C Warrant to the bank account set forth on the Company’s signature page hereto and the Company shall deliver the Series C Warrant Shares to the Holder via the Depository Trust Company Deposit or Withdrawal at Custodian system pursuant to the instructions set forth on the Holder’s signature page hereto.</w:t>
      </w:r>
    </w:p>
    <w:p>
      <w:pPr>
        <w:spacing w:after="0" w:line="19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 Upon the terms and subject to the conditions set forth herein, the closing of this Agreement and the exercise of the Series C Warrant (as amended hereby) contemplated in this Section 2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2:00 p.m., New York time, on the first business day after the satisfaction or waiver of the closing conditions set forth in Article IV at Closing, at the offices of Shumaker, Loop &amp; Kendrick, LLP, 101 E. Kennedy Blvd., Suite 2800, Tampa, Florida, unless another time, date or place is agreed to in writing by the parties. The date on which the Closing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Upon Closing, the Series C Warrant exercised pursuant to this Agreement, shall be deemed automatically and immediately cancelled and retired and shall not be reissued, sold or transferred. Within five (5) business days following the Closing Date, the Holder shall deliver to the Company the original Series C Warrant held by Holder</w:t>
      </w:r>
    </w:p>
    <w:p>
      <w:pPr>
        <w:spacing w:after="0" w:line="18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Filing of Form 8-K and Prospectus Supplement</w:t>
      </w:r>
      <w:r>
        <w:rPr>
          <w:rFonts w:ascii="Arial" w:cs="Arial" w:eastAsia="Arial" w:hAnsi="Arial"/>
          <w:sz w:val="17"/>
          <w:szCs w:val="17"/>
          <w:color w:val="auto"/>
        </w:rPr>
        <w:t>. On or before 9:00 a.m., New York time, on the first (1st) Business Day following the Closing, the Company shall file a Current Report on Form 8-K, including the form of this Agreement (the “</w:t>
      </w:r>
      <w:r>
        <w:rPr>
          <w:rFonts w:ascii="Arial" w:cs="Arial" w:eastAsia="Arial" w:hAnsi="Arial"/>
          <w:sz w:val="17"/>
          <w:szCs w:val="17"/>
          <w:u w:val="single" w:color="auto"/>
          <w:color w:val="auto"/>
        </w:rPr>
        <w:t>8-K Filing</w:t>
      </w:r>
      <w:r>
        <w:rPr>
          <w:rFonts w:ascii="Arial" w:cs="Arial" w:eastAsia="Arial" w:hAnsi="Arial"/>
          <w:sz w:val="17"/>
          <w:szCs w:val="17"/>
          <w:color w:val="auto"/>
        </w:rPr>
        <w:t>”), with the Securities and Exchange Commission (“</w:t>
      </w:r>
      <w:r>
        <w:rPr>
          <w:rFonts w:ascii="Arial" w:cs="Arial" w:eastAsia="Arial" w:hAnsi="Arial"/>
          <w:sz w:val="17"/>
          <w:szCs w:val="17"/>
          <w:u w:val="single" w:color="auto"/>
          <w:color w:val="auto"/>
        </w:rPr>
        <w:t>Commission</w:t>
      </w:r>
      <w:r>
        <w:rPr>
          <w:rFonts w:ascii="Arial" w:cs="Arial" w:eastAsia="Arial" w:hAnsi="Arial"/>
          <w:sz w:val="17"/>
          <w:szCs w:val="17"/>
          <w:color w:val="auto"/>
        </w:rPr>
        <w:t>”) in the form required by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From and after the 8-K Filing, the Company represents to the Holder that it shall have publicly disclosed all material, non-public information delivered to the Holder by the Company, or any of their respective officers, directors, employees or agents. In addition, effective upon the 8-K Filing, the Company acknowledges and agrees that any and all confidentiality or similar obligations under any agreement, whether written or oral, between the Company or any of their respective officers, directors, agents, employees or affiliates on the one hand, and the Holder or any of its affiliates on the other hand, shall terminate.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representations and warranties set forth below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as of the date of its execution of this Agreement and as of the Closing Date:</w:t>
      </w:r>
    </w:p>
    <w:p>
      <w:pPr>
        <w:spacing w:after="0" w:line="211" w:lineRule="exact"/>
        <w:rPr>
          <w:sz w:val="20"/>
          <w:szCs w:val="20"/>
          <w:color w:val="auto"/>
        </w:rPr>
      </w:pPr>
    </w:p>
    <w:p>
      <w:pPr>
        <w:ind w:left="1380" w:hanging="254"/>
        <w:spacing w:after="0"/>
        <w:tabs>
          <w:tab w:leader="none" w:pos="138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duly organized and validly existing corporation in good standing under the laws of the State of Nevada.</w:t>
      </w:r>
    </w:p>
    <w:p>
      <w:pPr>
        <w:spacing w:after="0" w:line="248" w:lineRule="exact"/>
        <w:rPr>
          <w:rFonts w:ascii="Arial" w:cs="Arial" w:eastAsia="Arial" w:hAnsi="Arial"/>
          <w:sz w:val="16"/>
          <w:szCs w:val="16"/>
          <w:color w:val="auto"/>
        </w:rPr>
      </w:pPr>
    </w:p>
    <w:p>
      <w:pPr>
        <w:ind w:left="680" w:firstLine="446"/>
        <w:spacing w:after="0" w:line="284" w:lineRule="auto"/>
        <w:tabs>
          <w:tab w:leader="none" w:pos="1376"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xml:space="preserve">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such Company and no further action is required by such Company, its board of directors or its stockholders in connection therewith.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1" w:lineRule="exact"/>
        <w:rPr>
          <w:rFonts w:ascii="Arial" w:cs="Arial" w:eastAsia="Arial" w:hAnsi="Arial"/>
          <w:sz w:val="16"/>
          <w:szCs w:val="16"/>
          <w:color w:val="auto"/>
        </w:rPr>
      </w:pPr>
    </w:p>
    <w:p>
      <w:pPr>
        <w:ind w:left="1000" w:hanging="315"/>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insofar as indemnification and contribution provisions may be limited by applicable law.</w:t>
      </w:r>
    </w:p>
    <w:p>
      <w:pPr>
        <w:spacing w:after="0" w:line="210" w:lineRule="exact"/>
        <w:rPr>
          <w:rFonts w:ascii="Arial" w:cs="Arial" w:eastAsia="Arial" w:hAnsi="Arial"/>
          <w:sz w:val="18"/>
          <w:szCs w:val="18"/>
          <w:color w:val="auto"/>
        </w:rPr>
      </w:pPr>
    </w:p>
    <w:p>
      <w:pPr>
        <w:ind w:left="680" w:right="60" w:firstLine="446"/>
        <w:spacing w:after="0" w:line="270" w:lineRule="auto"/>
        <w:tabs>
          <w:tab w:leader="none" w:pos="136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w:t>
      </w:r>
    </w:p>
    <w:p>
      <w:pPr>
        <w:spacing w:after="0" w:line="181" w:lineRule="exact"/>
        <w:rPr>
          <w:rFonts w:ascii="Arial" w:cs="Arial" w:eastAsia="Arial" w:hAnsi="Arial"/>
          <w:sz w:val="17"/>
          <w:szCs w:val="17"/>
          <w:color w:val="auto"/>
        </w:rPr>
      </w:pPr>
    </w:p>
    <w:p>
      <w:pPr>
        <w:ind w:left="680" w:right="40" w:firstLine="446"/>
        <w:spacing w:after="0" w:line="285" w:lineRule="auto"/>
        <w:tabs>
          <w:tab w:leader="none" w:pos="137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Issuance of Series C Warrant Shares; Registration Statement</w:t>
      </w:r>
      <w:r>
        <w:rPr>
          <w:rFonts w:ascii="Arial" w:cs="Arial" w:eastAsia="Arial" w:hAnsi="Arial"/>
          <w:sz w:val="16"/>
          <w:szCs w:val="16"/>
          <w:color w:val="auto"/>
        </w:rPr>
        <w:t>. The Series C Warrant Shares are duly authorized and, when issued and paid for in accordance with the respective terms of the Series C Warrant, will be duly and validly issued, fully paid and nonassessable, free and clear of all liens imposed by the Company. The Company has prepared and filed a registration statement on Form S-1, File No. 333-205757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conformity with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became effective on August 7, 2015 and the combined prospectus for the foregoing Registration Statement File No. 333-220538, which became effective on December 29, 2017 (“</w:t>
      </w:r>
      <w:r>
        <w:rPr>
          <w:rFonts w:ascii="Arial" w:cs="Arial" w:eastAsia="Arial" w:hAnsi="Arial"/>
          <w:sz w:val="16"/>
          <w:szCs w:val="16"/>
          <w:u w:val="single" w:color="auto"/>
          <w:color w:val="auto"/>
        </w:rPr>
        <w:t>Prospectus</w:t>
      </w:r>
      <w:r>
        <w:rPr>
          <w:rFonts w:ascii="Arial" w:cs="Arial" w:eastAsia="Arial" w:hAnsi="Arial"/>
          <w:sz w:val="16"/>
          <w:szCs w:val="16"/>
          <w:color w:val="auto"/>
        </w:rPr>
        <w:t>”), and such amendments and supplements thereto as may have been required to the date of this Agreement. The 8-K Filing shall be incorporated by reference into the Registration Statement, thereby updating the Prospectus included therein. The Series C Warrant Shares are registered for issuance and resale by the Holder on the Registration Statement and the Company knows of no reasons why such Registration Statement shall not remain available for the issuance and resale of such Series C Warrant Shares for the foreseeable future. The Company shall use its reasonable best efforts to keep the Registration Statement effective and available for use by the Holder until all Series C Warrant Shares are sold by the Holder.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At the time the Registration Statement and any amendments thereto became effective and at the date of this Agreement,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as of the date hereof,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5" w:name="page76"/>
    <w:bookmarkEnd w:id="75"/>
    <w:p>
      <w:pPr>
        <w:ind w:left="680" w:firstLine="446"/>
        <w:spacing w:after="0" w:line="293" w:lineRule="auto"/>
        <w:tabs>
          <w:tab w:leader="none" w:pos="136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of the disclosure furnished by or on behalf of the Company to the Holder regarding the Company and its subsidiaries, their respective businesses and the transactions contemplated hereby, including but not limited to the disclosure set forth in the SEC Reports, is true and correct and does not contain any untrue statement of a material fact or omit to state any material fact necessary in order to make the statements made therein, in light of the circumstances under which they were made, not misleading. As used herein, “</w:t>
      </w:r>
      <w:r>
        <w:rPr>
          <w:rFonts w:ascii="Arial" w:cs="Arial" w:eastAsia="Arial" w:hAnsi="Arial"/>
          <w:sz w:val="16"/>
          <w:szCs w:val="16"/>
          <w:u w:val="single" w:color="auto"/>
          <w:color w:val="auto"/>
        </w:rPr>
        <w:t>SEC Reports</w:t>
      </w:r>
      <w:r>
        <w:rPr>
          <w:rFonts w:ascii="Arial" w:cs="Arial" w:eastAsia="Arial" w:hAnsi="Arial"/>
          <w:sz w:val="16"/>
          <w:szCs w:val="16"/>
          <w:color w:val="auto"/>
        </w:rPr>
        <w:t>” means all reports, schedules, forms, statements and other documents required to be filed by the Company with the Commission pursuant to the reporting requirements of the 1934 Act, including all exhibits included therein and financial statements, notes and schedules thereto and documents incorporated by reference therein.</w:t>
      </w:r>
    </w:p>
    <w:p>
      <w:pPr>
        <w:spacing w:after="0" w:line="16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The Holder hereby makes the representations and warranties set forth below to the Company that as of the date of its execution of this Agreement and as of the Closing Date:</w:t>
      </w:r>
    </w:p>
    <w:p>
      <w:pPr>
        <w:spacing w:after="0" w:line="170" w:lineRule="exact"/>
        <w:rPr>
          <w:sz w:val="20"/>
          <w:szCs w:val="20"/>
          <w:color w:val="auto"/>
        </w:rPr>
      </w:pPr>
    </w:p>
    <w:p>
      <w:pPr>
        <w:jc w:val="both"/>
        <w:ind w:left="680" w:right="160" w:firstLine="446"/>
        <w:spacing w:after="0" w:line="259" w:lineRule="auto"/>
        <w:tabs>
          <w:tab w:leader="none" w:pos="13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Holder represents and warrants that (i) the execution and delivery of this Agreement by it and the consummation by it of the transactions contemplated hereby have been duly authorized by all necessary action on its behalf and (ii) this Agreement has been duly executed and delivered by the Holder and constitutes the valid and binding obligation of the Holder, enforceable against it in accordance with its terms.</w:t>
      </w:r>
    </w:p>
    <w:p>
      <w:pPr>
        <w:spacing w:after="0" w:line="186" w:lineRule="exact"/>
        <w:rPr>
          <w:rFonts w:ascii="Arial" w:cs="Arial" w:eastAsia="Arial" w:hAnsi="Arial"/>
          <w:sz w:val="18"/>
          <w:szCs w:val="18"/>
          <w:color w:val="auto"/>
        </w:rPr>
      </w:pPr>
    </w:p>
    <w:p>
      <w:pPr>
        <w:ind w:left="680" w:right="100" w:firstLine="446"/>
        <w:spacing w:after="0" w:line="302" w:lineRule="auto"/>
        <w:tabs>
          <w:tab w:leader="none" w:pos="137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Holder and the consummation by the Holder of the transactions contemplated hereby do not and will not: (i) conflict with or violate any provision of the Holder’s organizational or charter documents, or (ii) conflict with or result in a violation of any agreement, law, rule, regulation, order, judgment, injunction, decree or other restriction of any court or governmental authority which would interfere with the ability of the Holder to perform its obligations under this Agreement.</w:t>
      </w:r>
    </w:p>
    <w:p>
      <w:pPr>
        <w:spacing w:after="0" w:line="154" w:lineRule="exact"/>
        <w:rPr>
          <w:rFonts w:ascii="Arial" w:cs="Arial" w:eastAsia="Arial" w:hAnsi="Arial"/>
          <w:sz w:val="16"/>
          <w:szCs w:val="16"/>
          <w:color w:val="auto"/>
        </w:rPr>
      </w:pPr>
    </w:p>
    <w:p>
      <w:pPr>
        <w:ind w:left="680" w:right="20" w:firstLine="446"/>
        <w:spacing w:after="0" w:line="255" w:lineRule="auto"/>
        <w:tabs>
          <w:tab w:leader="none" w:pos="13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Holder acknowledges that it has had the opportunity to review the reports filed by the Company with the Commission and has been afforded (i) the opportunity to ask such questions as it has deemed necessary of, and to receive answers from, representatives of the Company concerning the terms and conditions of the exercise of the Series C Warrant and the merits and risks of investing in the Series C Warrant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rFonts w:ascii="Arial" w:cs="Arial" w:eastAsia="Arial" w:hAnsi="Arial"/>
          <w:sz w:val="18"/>
          <w:szCs w:val="18"/>
          <w:color w:val="auto"/>
        </w:rPr>
      </w:pPr>
    </w:p>
    <w:p>
      <w:pPr>
        <w:ind w:left="1380" w:hanging="254"/>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Holder Status</w:t>
      </w:r>
      <w:r>
        <w:rPr>
          <w:rFonts w:ascii="Arial" w:cs="Arial" w:eastAsia="Arial" w:hAnsi="Arial"/>
          <w:sz w:val="18"/>
          <w:szCs w:val="18"/>
          <w:color w:val="auto"/>
        </w:rPr>
        <w:t>. The Holder is an “accredited investor” as defined in Rule 501 under the Securities Act.</w:t>
      </w:r>
    </w:p>
    <w:p>
      <w:pPr>
        <w:spacing w:after="0" w:line="225" w:lineRule="exact"/>
        <w:rPr>
          <w:rFonts w:ascii="Arial" w:cs="Arial" w:eastAsia="Arial" w:hAnsi="Arial"/>
          <w:sz w:val="18"/>
          <w:szCs w:val="18"/>
          <w:color w:val="auto"/>
        </w:rPr>
      </w:pPr>
    </w:p>
    <w:p>
      <w:pPr>
        <w:ind w:left="680" w:right="100" w:firstLine="446"/>
        <w:spacing w:after="0" w:line="257" w:lineRule="auto"/>
        <w:tabs>
          <w:tab w:leader="none" w:pos="13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Understandings or Arrangements</w:t>
      </w:r>
      <w:r>
        <w:rPr>
          <w:rFonts w:ascii="Arial" w:cs="Arial" w:eastAsia="Arial" w:hAnsi="Arial"/>
          <w:sz w:val="18"/>
          <w:szCs w:val="18"/>
          <w:color w:val="auto"/>
        </w:rPr>
        <w:t>. Such Holder is acquiring the Series C Warrant Shares as principal for its own account and has no direct or indirect arrangement or understandings with any other persons to distribute or regarding the distribution of such Series C Warrant Shares (this representation and warranty not limiting such Holder’s right to sell the Series C Warrant Shares pursuant to the Registration Statement or otherwise in compliance with applicable federal and state securities laws). Such Holder is acquiring the Series C Warrant Shares hereunder in the ordinary course of its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left="680" w:right="80" w:firstLine="446"/>
        <w:spacing w:after="0" w:line="277" w:lineRule="auto"/>
        <w:tabs>
          <w:tab w:leader="none" w:pos="13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has good and transferable title to, and is the sole owner of the Series C Warrant, and such Series C Warrant is free and clear of liens, claims or encumbrances of any kind.</w:t>
      </w:r>
    </w:p>
    <w:p>
      <w:pPr>
        <w:spacing w:after="0" w:line="170" w:lineRule="exact"/>
        <w:rPr>
          <w:rFonts w:ascii="Arial" w:cs="Arial" w:eastAsia="Arial" w:hAnsi="Arial"/>
          <w:sz w:val="18"/>
          <w:szCs w:val="18"/>
          <w:color w:val="auto"/>
        </w:rPr>
      </w:pPr>
    </w:p>
    <w:p>
      <w:pPr>
        <w:ind w:left="680" w:right="220" w:firstLine="446"/>
        <w:spacing w:after="0" w:line="277" w:lineRule="auto"/>
        <w:tabs>
          <w:tab w:leader="none" w:pos="137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Compliance with Limitations on Exercises</w:t>
      </w:r>
      <w:r>
        <w:rPr>
          <w:rFonts w:ascii="Arial" w:cs="Arial" w:eastAsia="Arial" w:hAnsi="Arial"/>
          <w:sz w:val="18"/>
          <w:szCs w:val="18"/>
          <w:color w:val="auto"/>
        </w:rPr>
        <w:t>. The Holder represents and warrants that as of the Closing, the Series C Warrant exercised at the Closing does not violate the limitations on exercises set forth in Section 1(f) of each Warrant..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CLOSING CONDITIONS</w:t>
      </w:r>
    </w:p>
    <w:p>
      <w:pPr>
        <w:spacing w:after="0" w:line="21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The Holder’s obligations to consummate the transactions contemplated hereby are subject to satisfaction or waiver, in the discretion of the Holder, of the following conditions:</w:t>
      </w:r>
    </w:p>
    <w:p>
      <w:pPr>
        <w:spacing w:after="0" w:line="170" w:lineRule="exact"/>
        <w:rPr>
          <w:sz w:val="20"/>
          <w:szCs w:val="20"/>
          <w:color w:val="auto"/>
        </w:rPr>
      </w:pPr>
    </w:p>
    <w:p>
      <w:pPr>
        <w:ind w:left="1380" w:hanging="238"/>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Holder this Agreement;</w:t>
      </w:r>
    </w:p>
    <w:p>
      <w:pPr>
        <w:spacing w:after="0" w:line="225" w:lineRule="exact"/>
        <w:rPr>
          <w:rFonts w:ascii="Arial" w:cs="Arial" w:eastAsia="Arial" w:hAnsi="Arial"/>
          <w:sz w:val="18"/>
          <w:szCs w:val="18"/>
          <w:color w:val="auto"/>
        </w:rPr>
      </w:pPr>
    </w:p>
    <w:p>
      <w:pPr>
        <w:ind w:left="660" w:right="200" w:firstLine="482"/>
        <w:spacing w:after="0" w:line="277" w:lineRule="auto"/>
        <w:tabs>
          <w:tab w:leader="none" w:pos="14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the Series C Warrant Shares to the Holder via the Depository Trust Company Deposit or Withdrawal at Custodian system; and</w:t>
      </w:r>
    </w:p>
    <w:p>
      <w:pPr>
        <w:spacing w:after="0" w:line="170" w:lineRule="exact"/>
        <w:rPr>
          <w:rFonts w:ascii="Arial" w:cs="Arial" w:eastAsia="Arial" w:hAnsi="Arial"/>
          <w:sz w:val="18"/>
          <w:szCs w:val="18"/>
          <w:color w:val="auto"/>
        </w:rPr>
      </w:pPr>
    </w:p>
    <w:p>
      <w:pPr>
        <w:jc w:val="both"/>
        <w:ind w:left="660" w:firstLine="482"/>
        <w:spacing w:after="0" w:line="264" w:lineRule="auto"/>
        <w:tabs>
          <w:tab w:leader="none" w:pos="13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170" w:lineRule="exact"/>
        <w:rPr>
          <w:sz w:val="20"/>
          <w:szCs w:val="20"/>
          <w:color w:val="auto"/>
        </w:rPr>
      </w:pPr>
    </w:p>
    <w:p>
      <w:pPr>
        <w:ind w:left="1440" w:hanging="298"/>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shall have executed and delivered to the Company this Agreement;</w:t>
      </w:r>
    </w:p>
    <w:p>
      <w:pPr>
        <w:spacing w:after="0" w:line="225" w:lineRule="exact"/>
        <w:rPr>
          <w:rFonts w:ascii="Arial" w:cs="Arial" w:eastAsia="Arial" w:hAnsi="Arial"/>
          <w:sz w:val="18"/>
          <w:szCs w:val="18"/>
          <w:color w:val="auto"/>
        </w:rPr>
      </w:pPr>
    </w:p>
    <w:p>
      <w:pPr>
        <w:ind w:left="660" w:firstLine="482"/>
        <w:spacing w:after="0" w:line="264" w:lineRule="auto"/>
        <w:tabs>
          <w:tab w:leader="none" w:pos="14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Holder contained herein (unless as of a specific date therein, in which case they shall be true and correct as of such date); and</w:t>
      </w:r>
    </w:p>
    <w:p>
      <w:pPr>
        <w:spacing w:after="0" w:line="181" w:lineRule="exact"/>
        <w:rPr>
          <w:rFonts w:ascii="Arial" w:cs="Arial" w:eastAsia="Arial" w:hAnsi="Arial"/>
          <w:sz w:val="18"/>
          <w:szCs w:val="18"/>
          <w:color w:val="auto"/>
        </w:rPr>
      </w:pPr>
    </w:p>
    <w:p>
      <w:pPr>
        <w:ind w:left="660" w:right="80" w:firstLine="482"/>
        <w:spacing w:after="0" w:line="277" w:lineRule="auto"/>
        <w:tabs>
          <w:tab w:leader="none" w:pos="14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shall have executed a Voting and Support Agreement with regard to the Company’s anticipated reverse triangular merger with Marker Therapeutics, Inc.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Short Sales</w:t>
      </w:r>
      <w:r>
        <w:rPr>
          <w:rFonts w:ascii="Arial" w:cs="Arial" w:eastAsia="Arial" w:hAnsi="Arial"/>
          <w:sz w:val="18"/>
          <w:szCs w:val="18"/>
          <w:color w:val="auto"/>
        </w:rPr>
        <w:t>. After the Closing Date, the Holder covenants that neither it nor any affiliates acting on its behalf or pursuant to any understanding with it will execute any Short Sales (as defined below) during the period from the date hereof until the one year anniversary of the date of this Agreement. “</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7" w:name="page78"/>
    <w:bookmarkEnd w:id="77"/>
    <w:p>
      <w:pPr>
        <w:ind w:firstLine="441"/>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Other Holders</w:t>
      </w:r>
      <w:r>
        <w:rPr>
          <w:rFonts w:ascii="Arial" w:cs="Arial" w:eastAsia="Arial" w:hAnsi="Arial"/>
          <w:sz w:val="17"/>
          <w:szCs w:val="17"/>
          <w:color w:val="auto"/>
        </w:rPr>
        <w:t>. The Company acknowledges and agrees that the obligations of the Holder under this Agreement are several and not joint with the obligations of any other holder or any other holders of the Series A Warrants, Series A-1 Warrants, Series C Warrants, Series C Warrants, Series C-1 Warrants, Series E Warrants, Series E-1 Warrants, Series F Warrants and Series F-1 Warrants of the Company (each, an “</w:t>
      </w:r>
      <w:r>
        <w:rPr>
          <w:rFonts w:ascii="Arial" w:cs="Arial" w:eastAsia="Arial" w:hAnsi="Arial"/>
          <w:sz w:val="17"/>
          <w:szCs w:val="17"/>
          <w:u w:val="single" w:color="auto"/>
          <w:color w:val="auto"/>
        </w:rPr>
        <w:t>Other Holder</w:t>
      </w:r>
      <w:r>
        <w:rPr>
          <w:rFonts w:ascii="Arial" w:cs="Arial" w:eastAsia="Arial" w:hAnsi="Arial"/>
          <w:sz w:val="17"/>
          <w:szCs w:val="17"/>
          <w:color w:val="auto"/>
        </w:rPr>
        <w:t>”) under any other agreement related to the exercise of such warrants (“</w:t>
      </w:r>
      <w:r>
        <w:rPr>
          <w:rFonts w:ascii="Arial" w:cs="Arial" w:eastAsia="Arial" w:hAnsi="Arial"/>
          <w:sz w:val="17"/>
          <w:szCs w:val="17"/>
          <w:u w:val="single" w:color="auto"/>
          <w:color w:val="auto"/>
        </w:rPr>
        <w:t>Other Warrant Exercise Agreement</w:t>
      </w:r>
      <w:r>
        <w:rPr>
          <w:rFonts w:ascii="Arial" w:cs="Arial" w:eastAsia="Arial" w:hAnsi="Arial"/>
          <w:sz w:val="17"/>
          <w:szCs w:val="17"/>
          <w:color w:val="auto"/>
        </w:rPr>
        <w:t>”), and the Holder shall not be responsible in any way for the performance of the obligations of any Other Holder or under any such Other Warrant Exercise Agreement. Nothing contained in this Agreement, and no action taken by the Holder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Agreement and the Company acknowledges that the Holder and the Other Holders are not acting in concert or as a group with respect to such obligations or the transactions contemplated by this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their rights, including, without limitation, the rights arising out of this Agreement, and it shall not be necessary for any Other Holder to be joined as an additional party in any proceeding for such purpose. The Company hereby represents and warrants as of the date hereof and covenants and agrees from and after the date hereof that none of the terms offered to any Other Holder with respect to any Other Warrant Exercise Agreement (or any amendment, modification or waiver thereof), is or will be more favorable to such Other Holder than those of the Holder pursuant to this Agreement.</w:t>
      </w:r>
    </w:p>
    <w:p>
      <w:pPr>
        <w:spacing w:after="0" w:line="183"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made in accordance with Section 8 of the Series C Warrant.</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(as of the date such representations and warranties were made) made herein or in any certificate or other instrument delivered by it or on its behalf under this Agreement shall be considered to have been relied upon by the parties hereto and shall survive the issuance of the Series C Warrant Shares. This Agreement shall inure to the benefit of and be binding upon the successors and permitted assigns of each of the parties; provided however that no party may assign this Agreement or the obligations and rights of such party hereunder without the prior written consent of the other parties hereto.</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pursuant to Section 11 of the Series C Warrant.</w:t>
      </w:r>
    </w:p>
    <w:p>
      <w:pPr>
        <w:spacing w:after="0" w:line="170"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 effective only upon the Company returning a fully-executed copy of this Agreement to the Holder.</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to Follow]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/s/Peter Hoang</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DOMESTIC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485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48525" cy="148590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 Account Number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FF0000"/>
        </w:rPr>
        <w:t>FOREIGN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17513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48525" cy="17513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Bank Address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Number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(BNF)</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Beneficiary Account Name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SWIFT Code</w:t>
      </w: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Warrant Exercise Agreement (Kensington)]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79" w:name="page80"/>
    <w:bookmarkEnd w:id="79"/>
    <w:p>
      <w:pPr>
        <w:jc w:val="center"/>
        <w:ind w:right="-299"/>
        <w:spacing w:after="0"/>
        <w:rPr>
          <w:sz w:val="20"/>
          <w:szCs w:val="20"/>
          <w:color w:val="auto"/>
        </w:rPr>
      </w:pPr>
      <w:r>
        <w:rPr>
          <w:rFonts w:ascii="Arial" w:cs="Arial" w:eastAsia="Arial" w:hAnsi="Arial"/>
          <w:sz w:val="18"/>
          <w:szCs w:val="18"/>
          <w:color w:val="auto"/>
        </w:rPr>
        <w:t>[HOLDER SIGNATURE PAGE TO</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Kensington Investment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u w:val="single" w:color="auto"/>
          <w:color w:val="auto"/>
        </w:rPr>
        <w:t>Richard Abbe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u w:val="single" w:color="auto"/>
          <w:color w:val="auto"/>
        </w:rPr>
        <w:t>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C Warrant Shares Underlying Series C Warrant: 10,999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C Warrant Exercise Price: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$27,497.50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C Warrant Shares to be Issued Upon Exercise: 10,999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DWAC Instructions for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Warrant Exercise Agreement (Kensington)]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8" w:right="5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2018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465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2018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Loiacono</w:t>
      </w:r>
    </w:p>
    <w:p>
      <w:pPr>
        <w:spacing w:after="0" w:line="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465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Peter L. Hoang, the Chief Executive Officer of TapImmune Inc. (the “Company”) hereby certifies, pursuant to 18 U.S.C. Section 1350, as adopted pursuant to Section 906 of the Sarbanes-Oxley Act of 2002, that the Report on Form 10-Q of TapImmune Inc., for the quarterly period ended March 31, 2018,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-160020</wp:posOffset>
            </wp:positionV>
            <wp:extent cx="16465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March 31, 2018,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-160020</wp:posOffset>
            </wp:positionV>
            <wp:extent cx="16465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o"/>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lvl w:ilvl="1">
      <w:lvlJc w:val="left"/>
      <w:lvlText w:val="(%2)"/>
      <w:numFmt w:val="lowerRoman"/>
      <w:start w:val="1"/>
    </w:lvl>
  </w:abstractNum>
  <w:abstractNum w:abstractNumId="10">
    <w:nsid w:val="737B8DDC"/>
    <w:multiLevelType w:val="hybridMultilevel"/>
    <w:lvl w:ilvl="0">
      <w:lvlJc w:val="left"/>
      <w:lvlText w:val="(%1)"/>
      <w:numFmt w:val="lowerRoman"/>
      <w:start w:val="3"/>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lvl w:ilvl="1">
      <w:lvlJc w:val="left"/>
      <w:lvlText w:val="(%2)"/>
      <w:numFmt w:val="lowerLetter"/>
      <w:start w:val="4"/>
    </w:lvl>
  </w:abstractNum>
  <w:abstractNum w:abstractNumId="13">
    <w:nsid w:val="4516DDE9"/>
    <w:multiLevelType w:val="hybridMultilevel"/>
    <w:lvl w:ilvl="0">
      <w:lvlJc w:val="left"/>
      <w:lvlText w:val="(%1)"/>
      <w:numFmt w:val="lowerLetter"/>
      <w:start w:val="35"/>
    </w:lvl>
    <w:lvl w:ilvl="1">
      <w:lvlJc w:val="left"/>
      <w:lvlText w:val="(%2)"/>
      <w:numFmt w:val="lowerLetter"/>
      <w:start w:val="5"/>
    </w:lvl>
  </w:abstractNum>
  <w:abstractNum w:abstractNumId="14">
    <w:nsid w:val="3006C83E"/>
    <w:multiLevelType w:val="hybridMultilevel"/>
    <w:lvl w:ilvl="0">
      <w:lvlJc w:val="left"/>
      <w:lvlText w:val="(%1)"/>
      <w:numFmt w:val="lowerLetter"/>
      <w:start w:val="8"/>
    </w:lvl>
    <w:lvl w:ilvl="1">
      <w:lvlJc w:val="left"/>
      <w:lvlText w:val="(%2)"/>
      <w:numFmt w:val="lowerRoman"/>
      <w:start w:val="1"/>
    </w:lvl>
  </w:abstractNum>
  <w:abstractNum w:abstractNumId="15">
    <w:nsid w:val="614FD4A1"/>
    <w:multiLevelType w:val="hybridMultilevel"/>
    <w:lvl w:ilvl="0">
      <w:lvlJc w:val="left"/>
      <w:lvlText w:val="(%1)"/>
      <w:numFmt w:val="lowerLetter"/>
      <w:start w:val="9"/>
    </w:lvl>
  </w:abstractNum>
  <w:abstractNum w:abstractNumId="16">
    <w:nsid w:val="419AC241"/>
    <w:multiLevelType w:val="hybridMultilevel"/>
    <w:lvl w:ilvl="0">
      <w:lvlJc w:val="left"/>
      <w:lvlText w:val="(%1)"/>
      <w:numFmt w:val="lowerLetter"/>
      <w:start w:val="13"/>
    </w:lvl>
  </w:abstractNum>
  <w:abstractNum w:abstractNumId="17">
    <w:nsid w:val="5577F8E1"/>
    <w:multiLevelType w:val="hybridMultilevel"/>
    <w:lvl w:ilvl="0">
      <w:lvlJc w:val="left"/>
      <w:lvlText w:val="(%1)"/>
      <w:numFmt w:val="lowerLetter"/>
      <w:start w:val="19"/>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2"/>
    </w:lvl>
  </w:abstractNum>
  <w:abstractNum w:abstractNumId="20">
    <w:nsid w:val="3804823E"/>
    <w:multiLevelType w:val="hybridMultilevel"/>
    <w:lvl w:ilvl="0">
      <w:lvlJc w:val="left"/>
      <w:lvlText w:val="(%1)"/>
      <w:numFmt w:val="lowerLetter"/>
      <w:start w:val="9"/>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2"/>
    </w:lvl>
  </w:abstractNum>
  <w:abstractNum w:abstractNumId="23">
    <w:nsid w:val="5C482A97"/>
    <w:multiLevelType w:val="hybridMultilevel"/>
    <w:lvl w:ilvl="0">
      <w:lvlJc w:val="left"/>
      <w:lvlText w:val="%1"/>
      <w:numFmt w:val="lowerLetter"/>
      <w:start w:val="1"/>
    </w:lvl>
    <w:lvl w:ilvl="1">
      <w:lvlJc w:val="left"/>
      <w:lvlText w:val="(%2)"/>
      <w:numFmt w:val="lowerLetter"/>
      <w:start w:val="2"/>
    </w:lvl>
  </w:abstractNum>
  <w:abstractNum w:abstractNumId="24">
    <w:nsid w:val="2463B9EA"/>
    <w:multiLevelType w:val="hybridMultilevel"/>
    <w:lvl w:ilvl="0">
      <w:lvlJc w:val="left"/>
      <w:lvlText w:val="(%1)"/>
      <w:numFmt w:val="lowerLetter"/>
      <w:start w:val="61"/>
    </w:lvl>
    <w:lvl w:ilvl="1">
      <w:lvlJc w:val="left"/>
      <w:lvlText w:val="(%2)"/>
      <w:numFmt w:val="lowerLetter"/>
      <w:start w:val="3"/>
    </w:lvl>
  </w:abstractNum>
  <w:abstractNum w:abstractNumId="25">
    <w:nsid w:val="5E884ADC"/>
    <w:multiLevelType w:val="hybridMultilevel"/>
    <w:lvl w:ilvl="0">
      <w:lvlJc w:val="left"/>
      <w:lvlText w:val="(%1)"/>
      <w:numFmt w:val="lowerLetter"/>
      <w:start w:val="5"/>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1"/>
    </w:lvl>
    <w:lvl w:ilvl="1">
      <w:lvlJc w:val="left"/>
      <w:lvlText w:val="(%2)"/>
      <w:numFmt w:val="lowerLetter"/>
      <w:start w:val="1"/>
    </w:lvl>
  </w:abstractNum>
  <w:abstractNum w:abstractNumId="30">
    <w:nsid w:val="3855585C"/>
    <w:multiLevelType w:val="hybridMultilevel"/>
    <w:lvl w:ilvl="0">
      <w:lvlJc w:val="left"/>
      <w:lvlText w:val="(%1)"/>
      <w:numFmt w:val="lowerLetter"/>
      <w:start w:val="61"/>
    </w:lvl>
    <w:lvl w:ilvl="1">
      <w:lvlJc w:val="left"/>
      <w:lvlText w:val="(%2)"/>
      <w:numFmt w:val="lowerLetter"/>
      <w:start w:val="3"/>
    </w:lvl>
  </w:abstractNum>
  <w:abstractNum w:abstractNumId="31">
    <w:nsid w:val="70A64E2A"/>
    <w:multiLevelType w:val="hybridMultilevel"/>
    <w:lvl w:ilvl="0">
      <w:lvlJc w:val="left"/>
      <w:lvlText w:val="(%1)"/>
      <w:numFmt w:val="lowerLetter"/>
      <w:start w:val="4"/>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3"/>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1"/>
    </w:lvl>
    <w:lvl w:ilvl="1">
      <w:lvlJc w:val="left"/>
      <w:lvlText w:val="(%2)"/>
      <w:numFmt w:val="lowerLetter"/>
      <w:start w:val="1"/>
    </w:lvl>
  </w:abstractNum>
  <w:abstractNum w:abstractNumId="37">
    <w:nsid w:val="57E4CCAF"/>
    <w:multiLevelType w:val="hybridMultilevel"/>
    <w:lvl w:ilvl="0">
      <w:lvlJc w:val="left"/>
      <w:lvlText w:val="(%1)"/>
      <w:numFmt w:val="lowerLetter"/>
      <w:start w:val="61"/>
    </w:lvl>
    <w:lvl w:ilvl="1">
      <w:lvlJc w:val="left"/>
      <w:lvlText w:val="(%2)"/>
      <w:numFmt w:val="lowerLetter"/>
      <w:start w:val="3"/>
    </w:lvl>
  </w:abstractNum>
  <w:abstractNum w:abstractNumId="38">
    <w:nsid w:val="7A6D8D3C"/>
    <w:multiLevelType w:val="hybridMultilevel"/>
    <w:lvl w:ilvl="0">
      <w:lvlJc w:val="left"/>
      <w:lvlText w:val="(%1)"/>
      <w:numFmt w:val="lowerLetter"/>
      <w:start w:val="5"/>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6"/>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lvl w:ilvl="1">
      <w:lvlJc w:val="left"/>
      <w:lvlText w:val="(%2)"/>
      <w:numFmt w:val="lowerLetter"/>
      <w:start w:val="1"/>
    </w:lvl>
  </w:abstractNum>
  <w:abstractNum w:abstractNumId="44">
    <w:nsid w:val="32FFF902"/>
    <w:multiLevelType w:val="hybridMultilevel"/>
    <w:lvl w:ilvl="0">
      <w:lvlJc w:val="left"/>
      <w:lvlText w:val="(%1)"/>
      <w:numFmt w:val="lowerLetter"/>
      <w:start w:val="61"/>
    </w:lvl>
    <w:lvl w:ilvl="1">
      <w:lvlJc w:val="left"/>
      <w:lvlText w:val="(%2)"/>
      <w:numFmt w:val="lowerLetter"/>
      <w:start w:val="3"/>
    </w:lvl>
  </w:abstractNum>
  <w:abstractNum w:abstractNumId="45">
    <w:nsid w:val="684A481A"/>
    <w:multiLevelType w:val="hybridMultilevel"/>
    <w:lvl w:ilvl="0">
      <w:lvlJc w:val="left"/>
      <w:lvlText w:val="(%1)"/>
      <w:numFmt w:val="lowerLetter"/>
      <w:start w:val="5"/>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6"/>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52" Type="http://schemas.openxmlformats.org/officeDocument/2006/relationships/hyperlink" Target="http://www.sec.gov/Archives/edgar/data/1094038/000114420418028370/tv494002_ex2-1.htm" TargetMode="External"/><Relationship Id="rId53" Type="http://schemas.openxmlformats.org/officeDocument/2006/relationships/hyperlink" Target="http://www.sec.gov/Archives/edgar/data/1094038/000114420416131724/v450946_ex3-1.htm" TargetMode="External"/><Relationship Id="rId54" Type="http://schemas.openxmlformats.org/officeDocument/2006/relationships/hyperlink" Target="http://www.sec.gov/Archives/edgar/data/1094038/000119312516710452/d259737dex31.htm" TargetMode="External"/><Relationship Id="rId55" Type="http://schemas.openxmlformats.org/officeDocument/2006/relationships/hyperlink" Target="http://www.sec.gov/Archives/edgar/data/1094038/000119312516649467/d22618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2020-01-15T11:14:05Z</dcterms:created>
  <dcterms:modified xsi:type="dcterms:W3CDTF">2020-01-15T11:14:05Z</dcterms:modified>
</cp:coreProperties>
</file>