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bookmarkStart w:id="0" w:name="tap09301310q.htm"/>
      <w:bookmarkStart w:id="1" w:name="kstap09301310q"/>
      <w:bookmarkEnd w:id="0"/>
      <w:bookmarkEnd w:id="1"/>
      <w:r>
        <w:rPr>
          <w:rStyle w:val="StrongEmphasis"/>
        </w:rPr>
        <w:t xml:space="preserve">UNITED STATES </w:t>
      </w:r>
    </w:p>
    <w:p>
      <w:pPr>
        <w:pStyle w:val="TextBody"/>
        <w:spacing w:before="0" w:after="0"/>
        <w:ind w:left="0" w:right="0" w:hanging="0"/>
        <w:jc w:val="center"/>
        <w:rPr/>
      </w:pPr>
      <w:r>
        <w:rPr>
          <w:rStyle w:val="StrongEmphasis"/>
        </w:rPr>
        <w:t>SECURITIES AND EXCHANGE COMMISSION</w:t>
        <w:br/>
        <w:t>Washington, D.C. 20549</w:t>
      </w:r>
    </w:p>
    <w:p>
      <w:pPr>
        <w:pStyle w:val="TextBody"/>
        <w:spacing w:before="0" w:after="0"/>
        <w:ind w:left="0" w:right="0" w:hanging="0"/>
        <w:jc w:val="center"/>
        <w:rPr/>
      </w:pPr>
      <w:r>
        <w:rPr/>
      </w:r>
    </w:p>
    <w:p>
      <w:pPr>
        <w:pStyle w:val="TextBody"/>
        <w:spacing w:before="0" w:after="0"/>
        <w:ind w:left="0" w:right="0" w:hanging="0"/>
        <w:jc w:val="center"/>
        <w:rPr>
          <w:b/>
          <w:sz w:val="32"/>
          <w:u w:val="single"/>
        </w:rPr>
      </w:pPr>
      <w:r>
        <w:rPr>
          <w:b/>
          <w:sz w:val="32"/>
          <w:u w:val="single"/>
        </w:rPr>
        <w:t>FORM 10-Q</w:t>
      </w:r>
    </w:p>
    <w:p>
      <w:pPr>
        <w:pStyle w:val="TextBody"/>
        <w:spacing w:before="0" w:after="0"/>
        <w:ind w:left="0" w:right="0" w:hanging="0"/>
        <w:jc w:val="center"/>
        <w:rPr/>
      </w:pPr>
      <w:r>
        <w:rPr/>
      </w:r>
    </w:p>
    <w:p>
      <w:pPr>
        <w:pStyle w:val="TextBody"/>
        <w:jc w:val="center"/>
        <w:rPr/>
      </w:pPr>
      <w:r>
        <w:rPr/>
        <w:t> </w:t>
      </w:r>
    </w:p>
    <w:p>
      <w:pPr>
        <w:pStyle w:val="TextBody"/>
        <w:spacing w:before="0" w:after="0"/>
        <w:ind w:left="0" w:right="0" w:hanging="30"/>
        <w:jc w:val="center"/>
        <w:rPr/>
      </w:pPr>
      <w:r>
        <w:rPr>
          <w:rStyle w:val="StrongEmphasis"/>
          <w:rFonts w:ascii="Wingdings" w:hAnsi="Wingdings"/>
        </w:rPr>
        <w:t xml:space="preserve">x </w:t>
      </w:r>
      <w:r>
        <w:rPr>
          <w:rStyle w:val="StrongEmphasis"/>
          <w:rFonts w:ascii="Times New Roman" w:hAnsi="Times New Roman"/>
        </w:rPr>
        <w:t>QUARTERLY REPORT PURSUANT TO SECTION 13 OR 15(d) OF THE SECURITIES EXCHANGE ACT OF 1934</w:t>
      </w:r>
    </w:p>
    <w:p>
      <w:pPr>
        <w:pStyle w:val="TextBody"/>
        <w:spacing w:before="0" w:after="0"/>
        <w:ind w:left="0" w:right="0" w:hanging="30"/>
        <w:jc w:val="center"/>
        <w:rPr/>
      </w:pPr>
      <w:r>
        <w:rPr/>
        <w:t> </w:t>
      </w:r>
    </w:p>
    <w:p>
      <w:pPr>
        <w:pStyle w:val="TextBody"/>
        <w:spacing w:before="0" w:after="0"/>
        <w:ind w:left="0" w:right="0" w:hanging="30"/>
        <w:jc w:val="center"/>
        <w:rPr/>
      </w:pPr>
      <w:r>
        <w:rPr/>
        <w:t> </w:t>
      </w:r>
      <w:r>
        <w:rPr/>
        <w:t xml:space="preserve">For the quarterly period ended </w:t>
      </w:r>
      <w:r>
        <w:rPr>
          <w:b/>
          <w:u w:val="single"/>
        </w:rPr>
        <w:t>September 30, 2013</w:t>
      </w:r>
    </w:p>
    <w:p>
      <w:pPr>
        <w:pStyle w:val="TextBody"/>
        <w:spacing w:before="0" w:after="0"/>
        <w:ind w:left="0" w:right="0" w:hanging="30"/>
        <w:jc w:val="center"/>
        <w:rPr/>
      </w:pPr>
      <w:r>
        <w:rPr/>
        <w:t> </w:t>
      </w:r>
    </w:p>
    <w:p>
      <w:pPr>
        <w:pStyle w:val="TextBody"/>
        <w:spacing w:before="0" w:after="0"/>
        <w:ind w:left="0" w:right="0" w:hanging="0"/>
        <w:jc w:val="center"/>
        <w:rPr/>
      </w:pPr>
      <w:r>
        <w:rPr>
          <w:rStyle w:val="StrongEmphasis"/>
        </w:rPr>
        <w:t>OR</w:t>
      </w:r>
    </w:p>
    <w:p>
      <w:pPr>
        <w:pStyle w:val="TextBody"/>
        <w:spacing w:before="0" w:after="0"/>
        <w:ind w:left="0" w:right="0" w:hanging="0"/>
        <w:jc w:val="center"/>
        <w:rPr/>
      </w:pPr>
      <w:r>
        <w:rPr/>
        <w:t> </w:t>
      </w:r>
    </w:p>
    <w:p>
      <w:pPr>
        <w:pStyle w:val="TextBody"/>
        <w:spacing w:before="0" w:after="0"/>
        <w:ind w:left="0" w:right="0" w:hanging="0"/>
        <w:jc w:val="center"/>
        <w:rPr>
          <w:b/>
        </w:rPr>
      </w:pPr>
      <w:r>
        <w:rPr>
          <w:rFonts w:ascii="Wingdings" w:hAnsi="Wingdings"/>
          <w:b/>
        </w:rPr>
        <w:t xml:space="preserve">o </w:t>
      </w:r>
      <w:r>
        <w:rPr>
          <w:b/>
        </w:rPr>
        <w:t>TRANSITIONAL REPORT 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t>For the transition period from ___________ to _____________</w:t>
      </w:r>
    </w:p>
    <w:p>
      <w:pPr>
        <w:pStyle w:val="TextBody"/>
        <w:spacing w:before="0" w:after="0"/>
        <w:ind w:left="0" w:right="0" w:hanging="0"/>
        <w:jc w:val="center"/>
        <w:rPr/>
      </w:pPr>
      <w:r>
        <w:rPr/>
      </w:r>
    </w:p>
    <w:p>
      <w:pPr>
        <w:pStyle w:val="TextBody"/>
        <w:spacing w:before="0" w:after="0"/>
        <w:ind w:left="0" w:right="0" w:hanging="0"/>
        <w:jc w:val="center"/>
        <w:rPr>
          <w:u w:val="single"/>
        </w:rPr>
      </w:pPr>
      <w:r>
        <w:rPr>
          <w:u w:val="single"/>
        </w:rPr>
        <w:t>Commission file number: 000-27239</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b/>
          <w:sz w:val="36"/>
          <w:u w:val="single"/>
        </w:rPr>
      </w:pPr>
      <w:r>
        <w:rPr>
          <w:b/>
          <w:sz w:val="36"/>
          <w:u w:val="single"/>
        </w:rPr>
        <w:t>TAPIMMUNE INC.</w:t>
      </w:r>
    </w:p>
    <w:p>
      <w:pPr>
        <w:pStyle w:val="TextBody"/>
        <w:spacing w:before="0" w:after="0"/>
        <w:ind w:left="0" w:right="0" w:hanging="0"/>
        <w:jc w:val="center"/>
        <w:rPr/>
      </w:pPr>
      <w:r>
        <w:rPr/>
        <w:t>(Name of Registrant as specified in its charter)</w:t>
      </w:r>
    </w:p>
    <w:p>
      <w:pPr>
        <w:pStyle w:val="TextBody"/>
        <w:spacing w:before="0" w:after="0"/>
        <w:ind w:left="0" w:right="0" w:hanging="0"/>
        <w:jc w:val="center"/>
        <w:rPr/>
      </w:pPr>
      <w:r>
        <w:rPr/>
      </w:r>
    </w:p>
    <w:tbl>
      <w:tblPr>
        <w:tblW w:w="10205" w:type="dxa"/>
        <w:jc w:val="center"/>
        <w:tblInd w:w="0" w:type="dxa"/>
        <w:tblCellMar>
          <w:top w:w="0" w:type="dxa"/>
          <w:left w:w="0" w:type="dxa"/>
          <w:bottom w:w="0" w:type="dxa"/>
          <w:right w:w="0" w:type="dxa"/>
        </w:tblCellMar>
      </w:tblPr>
      <w:tblGrid>
        <w:gridCol w:w="5288"/>
        <w:gridCol w:w="293"/>
        <w:gridCol w:w="3414"/>
        <w:gridCol w:w="1210"/>
      </w:tblGrid>
      <w:tr>
        <w:trPr/>
        <w:tc>
          <w:tcPr>
            <w:tcW w:w="5288" w:type="dxa"/>
            <w:tcBorders/>
            <w:shd w:fill="auto" w:val="clear"/>
          </w:tcPr>
          <w:p>
            <w:pPr>
              <w:pStyle w:val="TableContents"/>
              <w:spacing w:before="0" w:after="0"/>
              <w:ind w:left="0" w:right="0" w:hanging="0"/>
              <w:jc w:val="center"/>
              <w:rPr/>
            </w:pPr>
            <w:r>
              <w:rPr>
                <w:rStyle w:val="StrongEmphasis"/>
                <w:u w:val="single"/>
              </w:rPr>
              <w:t>Nevada</w:t>
              <w:br/>
            </w:r>
            <w:r>
              <w:rPr/>
              <w:t>(State or Other Jurisdiction of Incorporation or Organization)</w:t>
            </w:r>
          </w:p>
        </w:tc>
        <w:tc>
          <w:tcPr>
            <w:tcW w:w="293" w:type="dxa"/>
            <w:tcBorders/>
            <w:shd w:fill="auto" w:val="clear"/>
            <w:vAlign w:val="center"/>
          </w:tcPr>
          <w:p>
            <w:pPr>
              <w:pStyle w:val="TableContents"/>
              <w:spacing w:before="0" w:after="283"/>
              <w:rPr/>
            </w:pPr>
            <w:r>
              <w:rPr/>
              <w:t xml:space="preserve">     </w:t>
            </w:r>
          </w:p>
        </w:tc>
        <w:tc>
          <w:tcPr>
            <w:tcW w:w="3414" w:type="dxa"/>
            <w:tcBorders/>
            <w:shd w:fill="auto" w:val="clear"/>
          </w:tcPr>
          <w:p>
            <w:pPr>
              <w:pStyle w:val="TableContents"/>
              <w:spacing w:before="0" w:after="0"/>
              <w:ind w:left="0" w:right="0" w:hanging="0"/>
              <w:jc w:val="center"/>
              <w:rPr/>
            </w:pPr>
            <w:r>
              <w:rPr>
                <w:u w:val="single"/>
              </w:rPr>
              <w:t> </w:t>
            </w:r>
            <w:r>
              <w:rPr>
                <w:rStyle w:val="StrongEmphasis"/>
                <w:u w:val="single"/>
              </w:rPr>
              <w:t>88-0277072</w:t>
            </w:r>
          </w:p>
          <w:p>
            <w:pPr>
              <w:pStyle w:val="TableContents"/>
              <w:spacing w:before="0" w:after="0"/>
              <w:ind w:left="0" w:right="0" w:hanging="0"/>
              <w:jc w:val="center"/>
              <w:rPr/>
            </w:pPr>
            <w:r>
              <w:rPr/>
              <w:t> </w:t>
            </w:r>
            <w:r>
              <w:rPr>
                <w:sz w:val="22"/>
              </w:rPr>
              <w:t>(IRS Employer Identification Number)</w:t>
            </w:r>
          </w:p>
        </w:tc>
        <w:tc>
          <w:tcPr>
            <w:tcW w:w="1210" w:type="dxa"/>
            <w:tcBorders/>
            <w:shd w:fill="auto" w:val="clear"/>
            <w:vAlign w:val="center"/>
          </w:tcPr>
          <w:p>
            <w:pPr>
              <w:pStyle w:val="TableContents"/>
              <w:spacing w:before="0" w:after="283"/>
              <w:rPr/>
            </w:pPr>
            <w:r>
              <w:rPr/>
              <w:t xml:space="preserve">                    </w:t>
            </w:r>
          </w:p>
        </w:tc>
      </w:tr>
    </w:tbl>
    <w:p>
      <w:pPr>
        <w:pStyle w:val="TextBody"/>
        <w:spacing w:before="0" w:after="0"/>
        <w:ind w:left="0" w:right="0" w:hanging="0"/>
        <w:jc w:val="center"/>
        <w:rPr/>
      </w:pPr>
      <w:r>
        <w:rPr/>
      </w:r>
    </w:p>
    <w:p>
      <w:pPr>
        <w:pStyle w:val="TextBody"/>
        <w:spacing w:before="0" w:after="0"/>
        <w:ind w:left="0" w:right="0" w:hanging="0"/>
        <w:jc w:val="center"/>
        <w:rPr>
          <w:rFonts w:ascii="Times New Roman Bold;Times New Roman" w:hAnsi="Times New Roman Bold;Times New Roman"/>
          <w:highlight w:val="white"/>
        </w:rPr>
      </w:pPr>
      <w:r>
        <w:rPr>
          <w:rFonts w:ascii="Times New Roman Bold;Times New Roman" w:hAnsi="Times New Roman Bold;Times New Roman"/>
          <w:highlight w:val="white"/>
        </w:rPr>
        <w:t>1551 Eastlake Avenue East, Suite 100</w:t>
      </w:r>
    </w:p>
    <w:p>
      <w:pPr>
        <w:pStyle w:val="TextBody"/>
        <w:spacing w:before="0" w:after="0"/>
        <w:ind w:left="0" w:right="0" w:hanging="0"/>
        <w:jc w:val="center"/>
        <w:rPr>
          <w:highlight w:val="white"/>
          <w:u w:val="single"/>
        </w:rPr>
      </w:pPr>
      <w:r>
        <w:rPr>
          <w:highlight w:val="white"/>
          <w:u w:val="single"/>
        </w:rPr>
        <w:t>Seattle, Washington, 98102</w:t>
      </w:r>
    </w:p>
    <w:p>
      <w:pPr>
        <w:pStyle w:val="TextBody"/>
        <w:spacing w:before="0" w:after="0"/>
        <w:ind w:left="0" w:right="0" w:hanging="0"/>
        <w:jc w:val="center"/>
        <w:rPr/>
      </w:pPr>
      <w:r>
        <w:rPr/>
        <w:t>(Address of principal executive offices)</w:t>
      </w:r>
    </w:p>
    <w:p>
      <w:pPr>
        <w:pStyle w:val="TextBody"/>
        <w:spacing w:before="0" w:after="0"/>
        <w:ind w:left="0" w:right="0" w:hanging="0"/>
        <w:jc w:val="center"/>
        <w:rPr/>
      </w:pPr>
      <w:r>
        <w:rPr/>
      </w:r>
    </w:p>
    <w:p>
      <w:pPr>
        <w:pStyle w:val="TextBody"/>
        <w:spacing w:before="0" w:after="0"/>
        <w:ind w:left="0" w:right="0" w:hanging="0"/>
        <w:jc w:val="center"/>
        <w:rPr>
          <w:u w:val="single"/>
        </w:rPr>
      </w:pPr>
      <w:r>
        <w:rPr>
          <w:u w:val="single"/>
        </w:rPr>
        <w:t xml:space="preserve">Phone number: </w:t>
      </w:r>
      <w:r>
        <w:rPr>
          <w:highlight w:val="white"/>
          <w:u w:val="single"/>
        </w:rPr>
        <w:t>(206) 504-7278</w:t>
      </w:r>
    </w:p>
    <w:p>
      <w:pPr>
        <w:pStyle w:val="TextBody"/>
        <w:spacing w:before="0" w:after="0"/>
        <w:ind w:left="0" w:right="0" w:hanging="0"/>
        <w:jc w:val="center"/>
        <w:rPr/>
      </w:pPr>
      <w:r>
        <w:rPr/>
        <w:t>(Registrants telephone number)</w:t>
      </w:r>
    </w:p>
    <w:p>
      <w:pPr>
        <w:pStyle w:val="TextBody"/>
        <w:spacing w:before="0" w:after="0"/>
        <w:jc w:val="both"/>
        <w:rPr/>
      </w:pPr>
      <w:r>
        <w:rPr/>
        <w:t> </w:t>
      </w:r>
    </w:p>
    <w:p>
      <w:pPr>
        <w:pStyle w:val="TextBody"/>
        <w:spacing w:before="0" w:after="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w:hAnsi="Wingdings"/>
          <w:sz w:val="20"/>
        </w:rPr>
        <w:t>x</w:t>
      </w:r>
      <w:r>
        <w:rPr>
          <w:rFonts w:ascii="Times New Roman" w:hAnsi="Times New Roman"/>
          <w:sz w:val="20"/>
        </w:rPr>
        <w:t>    No </w:t>
      </w:r>
      <w:r>
        <w:rPr>
          <w:rFonts w:ascii="Wingdings" w:hAnsi="Wingdings"/>
          <w:sz w:val="20"/>
        </w:rPr>
        <w:t>o</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rFonts w:ascii="Times New Roman" w:hAnsi="Times New Roman"/>
          <w:sz w:val="20"/>
        </w:rPr>
        <w:t>   No  </w:t>
      </w:r>
      <w:r>
        <w:rPr>
          <w:rFonts w:ascii="Wingdings" w:hAnsi="Wingdings"/>
          <w:sz w:val="20"/>
        </w:rPr>
        <w:t>o</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before="0" w:after="0"/>
        <w:ind w:left="0" w:right="0" w:hanging="0"/>
        <w:jc w:val="both"/>
        <w:rPr/>
      </w:pPr>
      <w:r>
        <w:rPr/>
        <w:t> </w:t>
      </w:r>
    </w:p>
    <w:tbl>
      <w:tblPr>
        <w:tblW w:w="5000" w:type="pct"/>
        <w:jc w:val="center"/>
        <w:tblInd w:w="0" w:type="dxa"/>
        <w:shd w:fill="FFFFFF" w:val="clear"/>
        <w:tblCellMar>
          <w:top w:w="0" w:type="dxa"/>
          <w:left w:w="0" w:type="dxa"/>
          <w:bottom w:w="0" w:type="dxa"/>
          <w:right w:w="0" w:type="dxa"/>
        </w:tblCellMar>
      </w:tblPr>
      <w:tblGrid>
        <w:gridCol w:w="5102"/>
        <w:gridCol w:w="203"/>
        <w:gridCol w:w="4900"/>
      </w:tblGrid>
      <w:tr>
        <w:trPr/>
        <w:tc>
          <w:tcPr>
            <w:tcW w:w="5102" w:type="dxa"/>
            <w:tcBorders/>
            <w:shd w:fill="FFFFFF" w:val="clear"/>
            <w:vAlign w:val="center"/>
          </w:tcPr>
          <w:p>
            <w:pPr>
              <w:pStyle w:val="TableContents"/>
              <w:spacing w:before="0" w:after="283"/>
              <w:rPr>
                <w:rFonts w:ascii="times new roman" w:hAnsi="times new roman"/>
                <w:sz w:val="20"/>
              </w:rPr>
            </w:pPr>
            <w:r>
              <w:rPr>
                <w:rFonts w:ascii="Wingdings" w:hAnsi="Wingdings"/>
                <w:sz w:val="20"/>
              </w:rPr>
              <w:t xml:space="preserve">o </w:t>
            </w:r>
            <w:r>
              <w:rPr>
                <w:rFonts w:ascii="times new roman" w:hAnsi="times new roman"/>
                <w:sz w:val="20"/>
              </w:rPr>
              <w:t>Large accelerated filer   </w:t>
            </w:r>
          </w:p>
        </w:tc>
        <w:tc>
          <w:tcPr>
            <w:tcW w:w="203" w:type="dxa"/>
            <w:tcBorders/>
            <w:shd w:fill="FFFFFF" w:val="clear"/>
            <w:vAlign w:val="center"/>
          </w:tcPr>
          <w:p>
            <w:pPr>
              <w:pStyle w:val="TableContents"/>
              <w:spacing w:before="0" w:after="283"/>
              <w:rPr/>
            </w:pPr>
            <w:r>
              <w:rPr/>
              <w:t> </w:t>
            </w:r>
          </w:p>
        </w:tc>
        <w:tc>
          <w:tcPr>
            <w:tcW w:w="4900" w:type="dxa"/>
            <w:tcBorders/>
            <w:shd w:fill="FFFFFF" w:val="clear"/>
            <w:vAlign w:val="center"/>
          </w:tcPr>
          <w:p>
            <w:pPr>
              <w:pStyle w:val="TableContents"/>
              <w:spacing w:before="0" w:after="283"/>
              <w:rPr>
                <w:rFonts w:ascii="times new roman" w:hAnsi="times new roman"/>
                <w:sz w:val="20"/>
              </w:rPr>
            </w:pPr>
            <w:r>
              <w:rPr>
                <w:rFonts w:ascii="Wingdings" w:hAnsi="Wingdings"/>
                <w:sz w:val="20"/>
              </w:rPr>
              <w:t xml:space="preserve">o </w:t>
            </w:r>
            <w:r>
              <w:rPr>
                <w:rFonts w:ascii="times new roman" w:hAnsi="times new roman"/>
                <w:sz w:val="20"/>
              </w:rPr>
              <w:t>Accelerated filer</w:t>
            </w:r>
          </w:p>
        </w:tc>
      </w:tr>
      <w:tr>
        <w:trPr/>
        <w:tc>
          <w:tcPr>
            <w:tcW w:w="5102"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4900" w:type="dxa"/>
            <w:tcBorders/>
            <w:shd w:fill="FFFFFF" w:val="clear"/>
            <w:vAlign w:val="center"/>
          </w:tcPr>
          <w:p>
            <w:pPr>
              <w:pStyle w:val="TableContents"/>
              <w:spacing w:before="0" w:after="283"/>
              <w:rPr/>
            </w:pPr>
            <w:r>
              <w:rPr/>
              <w:t>  </w:t>
            </w:r>
          </w:p>
        </w:tc>
      </w:tr>
      <w:tr>
        <w:trPr/>
        <w:tc>
          <w:tcPr>
            <w:tcW w:w="5102" w:type="dxa"/>
            <w:tcBorders/>
            <w:shd w:fill="FFFFFF" w:val="clear"/>
            <w:vAlign w:val="center"/>
          </w:tcPr>
          <w:p>
            <w:pPr>
              <w:pStyle w:val="TableContents"/>
              <w:spacing w:before="0" w:after="283"/>
              <w:rPr>
                <w:rFonts w:ascii="times new roman" w:hAnsi="times new roman"/>
                <w:sz w:val="20"/>
              </w:rPr>
            </w:pPr>
            <w:r>
              <w:rPr>
                <w:rFonts w:ascii="Wingdings" w:hAnsi="Wingdings"/>
                <w:sz w:val="20"/>
              </w:rPr>
              <w:t xml:space="preserve">o </w:t>
            </w:r>
            <w:r>
              <w:rPr>
                <w:rFonts w:ascii="times new roman" w:hAnsi="times new roman"/>
                <w:sz w:val="20"/>
              </w:rPr>
              <w:t>Non-accelerated filer (Do not check if smaller reporting company) </w:t>
            </w:r>
          </w:p>
        </w:tc>
        <w:tc>
          <w:tcPr>
            <w:tcW w:w="203" w:type="dxa"/>
            <w:tcBorders/>
            <w:shd w:fill="FFFFFF" w:val="clear"/>
            <w:vAlign w:val="center"/>
          </w:tcPr>
          <w:p>
            <w:pPr>
              <w:pStyle w:val="TableContents"/>
              <w:spacing w:before="0" w:after="283"/>
              <w:ind w:left="0" w:right="0" w:hanging="0"/>
              <w:rPr/>
            </w:pPr>
            <w:r>
              <w:rPr/>
              <w:t> </w:t>
            </w:r>
          </w:p>
        </w:tc>
        <w:tc>
          <w:tcPr>
            <w:tcW w:w="4900" w:type="dxa"/>
            <w:tcBorders/>
            <w:shd w:fill="FFFFFF" w:val="clear"/>
            <w:vAlign w:val="center"/>
          </w:tcPr>
          <w:p>
            <w:pPr>
              <w:pStyle w:val="TableContents"/>
              <w:spacing w:before="0" w:after="283"/>
              <w:jc w:val="left"/>
              <w:rPr>
                <w:rFonts w:ascii="Wingdings" w:hAnsi="Wingdings"/>
                <w:sz w:val="20"/>
              </w:rPr>
            </w:pPr>
            <w:r>
              <w:rPr>
                <w:rFonts w:ascii="Wingdings" w:hAnsi="Wingdings"/>
                <w:sz w:val="20"/>
              </w:rPr>
              <w:t xml:space="preserve">x </w:t>
            </w:r>
            <w:r>
              <w:rPr>
                <w:rFonts w:ascii="Times New Roman" w:hAnsi="Times New Roman"/>
                <w:sz w:val="20"/>
              </w:rPr>
              <w:t>Smaller reporting company</w:t>
            </w:r>
            <w:r>
              <w:rPr>
                <w:rFonts w:ascii="Wingdings" w:hAnsi="Wingdings"/>
                <w:sz w:val="20"/>
              </w:rPr>
              <w:t> </w:t>
            </w:r>
          </w:p>
        </w:tc>
      </w:tr>
    </w:tbl>
    <w:p>
      <w:pPr>
        <w:pStyle w:val="TextBody"/>
        <w:spacing w:before="0" w:after="0"/>
        <w:jc w:val="both"/>
        <w:rPr/>
      </w:pPr>
      <w:r>
        <w:rPr/>
        <w:t> </w:t>
      </w:r>
    </w:p>
    <w:p>
      <w:pPr>
        <w:pStyle w:val="TextBody"/>
        <w:spacing w:before="0" w:after="0"/>
        <w:ind w:left="0" w:right="0" w:hanging="0"/>
        <w:jc w:val="both"/>
        <w:rPr/>
      </w:pPr>
      <w:r>
        <w:rPr>
          <w:rFonts w:ascii="Times New Roman" w:hAnsi="Times New Roman"/>
          <w:sz w:val="20"/>
        </w:rPr>
        <w:t>Indicate by check mark whether the registrant is a shell company (as defined in Rule 12b-2 of the Exchange Act). Yes  </w:t>
      </w:r>
      <w:r>
        <w:rPr>
          <w:rFonts w:ascii="Wingdings" w:hAnsi="Wingdings"/>
          <w:sz w:val="20"/>
        </w:rPr>
        <w:t>o</w:t>
      </w:r>
      <w:r>
        <w:rPr>
          <w:rFonts w:ascii="Times New Roman" w:hAnsi="Times New Roman"/>
          <w:sz w:val="20"/>
        </w:rPr>
        <w:t>   No  </w:t>
      </w:r>
      <w:r>
        <w:rPr>
          <w:rFonts w:ascii="Wingdings" w:hAnsi="Wingdings"/>
          <w:sz w:val="20"/>
        </w:rPr>
        <w:t>x</w:t>
      </w:r>
    </w:p>
    <w:p>
      <w:pPr>
        <w:pStyle w:val="TextBody"/>
        <w:spacing w:before="0" w:after="0"/>
        <w:ind w:left="0" w:right="0" w:hanging="0"/>
        <w:jc w:val="both"/>
        <w:rPr/>
      </w:pPr>
      <w:r>
        <w:rPr/>
        <w:t> </w:t>
      </w:r>
    </w:p>
    <w:p>
      <w:pPr>
        <w:pStyle w:val="TextBody"/>
        <w:ind w:left="0" w:right="0" w:hanging="0"/>
        <w:jc w:val="both"/>
        <w:rPr>
          <w:rFonts w:ascii="Times New Roman" w:hAnsi="Times New Roman"/>
          <w:sz w:val="20"/>
        </w:rPr>
      </w:pPr>
      <w:r>
        <w:rPr>
          <w:rFonts w:ascii="Times New Roman" w:hAnsi="Times New Roman"/>
          <w:sz w:val="20"/>
        </w:rPr>
        <w:t>As of November 19, 2013, the Company had 145,383,515 shares of common stock issued and outstanding.</w:t>
      </w:r>
    </w:p>
    <w:p>
      <w:pPr>
        <w:pStyle w:val="TextBody"/>
        <w:spacing w:before="90" w:after="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r>
    </w:p>
    <w:p>
      <w:pPr>
        <w:pStyle w:val="TextBody"/>
        <w:spacing w:before="0" w:after="0"/>
        <w:ind w:left="0" w:right="0" w:hanging="0"/>
        <w:jc w:val="center"/>
        <w:rPr>
          <w:b/>
          <w:sz w:val="20"/>
          <w:u w:val="single"/>
        </w:rPr>
      </w:pPr>
      <w:r>
        <w:rPr>
          <w:b/>
          <w:sz w:val="20"/>
          <w:u w:val="single"/>
        </w:rPr>
        <w:t>TABLE OF CONTENTS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100"/>
        <w:gridCol w:w="8534"/>
        <w:gridCol w:w="571"/>
      </w:tblGrid>
      <w:tr>
        <w:trPr/>
        <w:tc>
          <w:tcPr>
            <w:tcW w:w="1100" w:type="dxa"/>
            <w:tcBorders/>
            <w:shd w:fill="auto" w:val="clear"/>
            <w:vAlign w:val="center"/>
          </w:tcPr>
          <w:p>
            <w:pPr>
              <w:pStyle w:val="TableContents"/>
              <w:spacing w:before="0" w:after="283"/>
              <w:rPr>
                <w:sz w:val="4"/>
                <w:szCs w:val="4"/>
              </w:rPr>
            </w:pPr>
            <w:r>
              <w:rPr>
                <w:sz w:val="4"/>
                <w:szCs w:val="4"/>
              </w:rPr>
            </w:r>
          </w:p>
        </w:tc>
        <w:tc>
          <w:tcPr>
            <w:tcW w:w="8534"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9634" w:type="dxa"/>
            <w:gridSpan w:val="2"/>
            <w:tcBorders/>
            <w:shd w:fill="auto" w:val="clear"/>
          </w:tcPr>
          <w:p>
            <w:pPr>
              <w:pStyle w:val="TableContents"/>
              <w:spacing w:before="0" w:after="0"/>
              <w:ind w:left="0" w:right="0" w:hanging="0"/>
              <w:rPr>
                <w:b/>
              </w:rPr>
            </w:pPr>
            <w:r>
              <w:rPr>
                <w:b/>
              </w:rPr>
              <w:t>PART I  FINANCIAL INFORMATION</w:t>
            </w:r>
          </w:p>
        </w:tc>
        <w:tc>
          <w:tcPr>
            <w:tcW w:w="571" w:type="dxa"/>
            <w:tcBorders>
              <w:bottom w:val="single" w:sz="12" w:space="0" w:color="000000"/>
            </w:tcBorders>
            <w:shd w:fill="auto" w:val="clear"/>
            <w:tcMar>
              <w:bottom w:w="28" w:type="dxa"/>
            </w:tcMar>
          </w:tcPr>
          <w:p>
            <w:pPr>
              <w:pStyle w:val="TableContents"/>
              <w:spacing w:before="0" w:after="0"/>
              <w:ind w:left="0" w:right="0" w:hanging="0"/>
              <w:jc w:val="center"/>
              <w:rPr/>
            </w:pPr>
            <w:r>
              <w:rPr/>
              <w:t>Page</w:t>
            </w:r>
          </w:p>
        </w:tc>
      </w:tr>
      <w:tr>
        <w:trPr/>
        <w:tc>
          <w:tcPr>
            <w:tcW w:w="1100" w:type="dxa"/>
            <w:tcBorders/>
            <w:shd w:fill="auto" w:val="clear"/>
          </w:tcPr>
          <w:p>
            <w:pPr>
              <w:pStyle w:val="TableContents"/>
              <w:spacing w:before="0" w:after="0"/>
              <w:ind w:left="0" w:right="0" w:hanging="0"/>
              <w:rPr/>
            </w:pPr>
            <w:r>
              <w:rPr/>
              <w:t>  </w:t>
            </w:r>
          </w:p>
        </w:tc>
        <w:tc>
          <w:tcPr>
            <w:tcW w:w="8534" w:type="dxa"/>
            <w:tcBorders/>
            <w:shd w:fill="auto" w:val="clear"/>
          </w:tcPr>
          <w:p>
            <w:pPr>
              <w:pStyle w:val="TableContents"/>
              <w:spacing w:before="0" w:after="0"/>
              <w:ind w:left="0" w:right="0" w:hanging="0"/>
              <w:rPr/>
            </w:pPr>
            <w:r>
              <w:rPr/>
              <w:t>  </w:t>
            </w:r>
          </w:p>
        </w:tc>
        <w:tc>
          <w:tcPr>
            <w:tcW w:w="571" w:type="dxa"/>
            <w:tcBorders/>
            <w:shd w:fill="auto" w:val="clear"/>
          </w:tcPr>
          <w:p>
            <w:pPr>
              <w:pStyle w:val="TableContents"/>
              <w:spacing w:before="0" w:after="0"/>
              <w:ind w:left="0" w:right="0" w:hanging="0"/>
              <w:rPr/>
            </w:pPr>
            <w:r>
              <w:rPr/>
              <w:t>  </w:t>
            </w:r>
          </w:p>
        </w:tc>
      </w:tr>
      <w:tr>
        <w:trPr/>
        <w:tc>
          <w:tcPr>
            <w:tcW w:w="1100" w:type="dxa"/>
            <w:tcBorders/>
            <w:shd w:fill="CCEEFF" w:val="clear"/>
          </w:tcPr>
          <w:p>
            <w:pPr>
              <w:pStyle w:val="TableContents"/>
              <w:spacing w:before="0" w:after="0"/>
              <w:ind w:left="0" w:right="0" w:hanging="0"/>
              <w:rPr/>
            </w:pPr>
            <w:r>
              <w:rPr/>
              <w:t>ITEM 1</w:t>
            </w:r>
          </w:p>
        </w:tc>
        <w:tc>
          <w:tcPr>
            <w:tcW w:w="8534" w:type="dxa"/>
            <w:tcBorders/>
            <w:shd w:fill="CCEEFF" w:val="clear"/>
          </w:tcPr>
          <w:p>
            <w:pPr>
              <w:pStyle w:val="TableContents"/>
              <w:spacing w:before="0" w:after="0"/>
              <w:ind w:left="0" w:right="0" w:hanging="0"/>
              <w:rPr/>
            </w:pPr>
            <w:r>
              <w:rPr/>
              <w:t>Financial Statements</w:t>
            </w:r>
          </w:p>
        </w:tc>
        <w:tc>
          <w:tcPr>
            <w:tcW w:w="571" w:type="dxa"/>
            <w:tcBorders/>
            <w:shd w:fill="CCEEFF" w:val="clear"/>
          </w:tcPr>
          <w:p>
            <w:pPr>
              <w:pStyle w:val="TableContents"/>
              <w:spacing w:before="0" w:after="0"/>
              <w:ind w:left="0" w:right="0" w:hanging="0"/>
              <w:jc w:val="center"/>
              <w:rPr>
                <w:color w:val="000000"/>
              </w:rPr>
            </w:pPr>
            <w:r>
              <w:rPr>
                <w:color w:val="000000"/>
              </w:rPr>
              <w:t>3</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2</w:t>
            </w:r>
          </w:p>
        </w:tc>
        <w:tc>
          <w:tcPr>
            <w:tcW w:w="8534" w:type="dxa"/>
            <w:tcBorders/>
            <w:shd w:fill="CCEEFF" w:val="clear"/>
          </w:tcPr>
          <w:p>
            <w:pPr>
              <w:pStyle w:val="TableContents"/>
              <w:spacing w:before="0" w:after="0"/>
              <w:ind w:left="0" w:right="0" w:hanging="0"/>
              <w:rPr>
                <w:color w:val="000000"/>
              </w:rPr>
            </w:pPr>
            <w:r>
              <w:rPr>
                <w:color w:val="000000"/>
              </w:rPr>
              <w:t>Managements Discussion and Analysis of Financial Condition and Results of Operations.</w:t>
            </w:r>
          </w:p>
        </w:tc>
        <w:tc>
          <w:tcPr>
            <w:tcW w:w="571" w:type="dxa"/>
            <w:tcBorders/>
            <w:shd w:fill="CCEEFF" w:val="clear"/>
          </w:tcPr>
          <w:p>
            <w:pPr>
              <w:pStyle w:val="TableContents"/>
              <w:spacing w:before="0" w:after="0"/>
              <w:ind w:left="0" w:right="0" w:hanging="0"/>
              <w:jc w:val="center"/>
              <w:rPr>
                <w:color w:val="000000"/>
              </w:rPr>
            </w:pPr>
            <w:r>
              <w:rPr>
                <w:color w:val="000000"/>
              </w:rPr>
              <w:t>4</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3</w:t>
            </w:r>
          </w:p>
        </w:tc>
        <w:tc>
          <w:tcPr>
            <w:tcW w:w="8534" w:type="dxa"/>
            <w:tcBorders/>
            <w:shd w:fill="CCEEFF" w:val="clear"/>
          </w:tcPr>
          <w:p>
            <w:pPr>
              <w:pStyle w:val="TableContents"/>
              <w:spacing w:before="0" w:after="0"/>
              <w:ind w:left="0" w:right="0" w:hanging="0"/>
              <w:rPr>
                <w:color w:val="000000"/>
              </w:rPr>
            </w:pPr>
            <w:r>
              <w:rPr>
                <w:color w:val="000000"/>
              </w:rPr>
              <w:t>Quantitative and Qualitative Disclosures About Market Risk</w:t>
            </w:r>
          </w:p>
        </w:tc>
        <w:tc>
          <w:tcPr>
            <w:tcW w:w="571" w:type="dxa"/>
            <w:tcBorders/>
            <w:shd w:fill="CCEEFF" w:val="clear"/>
          </w:tcPr>
          <w:p>
            <w:pPr>
              <w:pStyle w:val="TableContents"/>
              <w:spacing w:before="0" w:after="0"/>
              <w:ind w:left="0" w:right="0" w:hanging="0"/>
              <w:jc w:val="center"/>
              <w:rPr>
                <w:color w:val="000000"/>
              </w:rPr>
            </w:pPr>
            <w:r>
              <w:rPr>
                <w:color w:val="000000"/>
              </w:rPr>
              <w:t>22</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4</w:t>
            </w:r>
          </w:p>
        </w:tc>
        <w:tc>
          <w:tcPr>
            <w:tcW w:w="8534" w:type="dxa"/>
            <w:tcBorders/>
            <w:shd w:fill="CCEEFF" w:val="clear"/>
          </w:tcPr>
          <w:p>
            <w:pPr>
              <w:pStyle w:val="TableContents"/>
              <w:spacing w:before="0" w:after="0"/>
              <w:ind w:left="0" w:right="0" w:hanging="0"/>
              <w:rPr>
                <w:color w:val="000000"/>
              </w:rPr>
            </w:pPr>
            <w:r>
              <w:rPr>
                <w:color w:val="000000"/>
              </w:rPr>
              <w:t>Controls and Procedures</w:t>
            </w:r>
          </w:p>
        </w:tc>
        <w:tc>
          <w:tcPr>
            <w:tcW w:w="571" w:type="dxa"/>
            <w:tcBorders/>
            <w:shd w:fill="CCEEFF" w:val="clear"/>
          </w:tcPr>
          <w:p>
            <w:pPr>
              <w:pStyle w:val="TableContents"/>
              <w:spacing w:before="0" w:after="0"/>
              <w:ind w:left="0" w:right="0" w:hanging="0"/>
              <w:jc w:val="center"/>
              <w:rPr>
                <w:color w:val="000000"/>
              </w:rPr>
            </w:pPr>
            <w:r>
              <w:rPr>
                <w:color w:val="000000"/>
              </w:rPr>
              <w:t>23</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9634" w:type="dxa"/>
            <w:gridSpan w:val="2"/>
            <w:tcBorders/>
            <w:shd w:fill="FFFFFF" w:val="clear"/>
          </w:tcPr>
          <w:p>
            <w:pPr>
              <w:pStyle w:val="TableContents"/>
              <w:spacing w:before="0" w:after="0"/>
              <w:ind w:left="0" w:right="0" w:hanging="0"/>
              <w:rPr>
                <w:b/>
                <w:color w:val="000000"/>
              </w:rPr>
            </w:pPr>
            <w:r>
              <w:rPr>
                <w:b/>
                <w:color w:val="000000"/>
              </w:rPr>
              <w:t>PART II  OTHER INFORMATION</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1</w:t>
            </w:r>
          </w:p>
        </w:tc>
        <w:tc>
          <w:tcPr>
            <w:tcW w:w="8534" w:type="dxa"/>
            <w:tcBorders/>
            <w:shd w:fill="CCEEFF" w:val="clear"/>
          </w:tcPr>
          <w:p>
            <w:pPr>
              <w:pStyle w:val="TableContents"/>
              <w:spacing w:before="0" w:after="0"/>
              <w:ind w:left="0" w:right="0" w:hanging="0"/>
              <w:rPr>
                <w:color w:val="000000"/>
              </w:rPr>
            </w:pPr>
            <w:r>
              <w:rPr>
                <w:color w:val="000000"/>
              </w:rPr>
              <w:t>Legal Proceedings</w:t>
            </w:r>
          </w:p>
        </w:tc>
        <w:tc>
          <w:tcPr>
            <w:tcW w:w="571" w:type="dxa"/>
            <w:tcBorders/>
            <w:shd w:fill="CCEEFF" w:val="clear"/>
          </w:tcPr>
          <w:p>
            <w:pPr>
              <w:pStyle w:val="TableContents"/>
              <w:spacing w:before="0" w:after="0"/>
              <w:ind w:left="0" w:right="0" w:hanging="0"/>
              <w:jc w:val="center"/>
              <w:rPr>
                <w:color w:val="000000"/>
              </w:rPr>
            </w:pPr>
            <w:r>
              <w:rPr>
                <w:color w:val="000000"/>
              </w:rPr>
              <w:t>25</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1A</w:t>
            </w:r>
          </w:p>
        </w:tc>
        <w:tc>
          <w:tcPr>
            <w:tcW w:w="8534" w:type="dxa"/>
            <w:tcBorders/>
            <w:shd w:fill="CCEEFF" w:val="clear"/>
          </w:tcPr>
          <w:p>
            <w:pPr>
              <w:pStyle w:val="TableContents"/>
              <w:spacing w:before="0" w:after="0"/>
              <w:ind w:left="0" w:right="0" w:hanging="0"/>
              <w:rPr>
                <w:color w:val="000000"/>
              </w:rPr>
            </w:pPr>
            <w:r>
              <w:rPr>
                <w:color w:val="000000"/>
              </w:rPr>
              <w:t>Risk Factors</w:t>
            </w:r>
          </w:p>
        </w:tc>
        <w:tc>
          <w:tcPr>
            <w:tcW w:w="571" w:type="dxa"/>
            <w:tcBorders/>
            <w:shd w:fill="CCEEFF" w:val="clear"/>
          </w:tcPr>
          <w:p>
            <w:pPr>
              <w:pStyle w:val="TableContents"/>
              <w:spacing w:before="0" w:after="0"/>
              <w:ind w:left="0" w:right="0" w:hanging="0"/>
              <w:jc w:val="center"/>
              <w:rPr>
                <w:color w:val="000000"/>
              </w:rPr>
            </w:pPr>
            <w:r>
              <w:rPr>
                <w:color w:val="000000"/>
              </w:rPr>
              <w:t>25</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2</w:t>
            </w:r>
          </w:p>
        </w:tc>
        <w:tc>
          <w:tcPr>
            <w:tcW w:w="8534" w:type="dxa"/>
            <w:tcBorders/>
            <w:shd w:fill="CCEEFF" w:val="clear"/>
          </w:tcPr>
          <w:p>
            <w:pPr>
              <w:pStyle w:val="TableContents"/>
              <w:spacing w:before="0" w:after="0"/>
              <w:ind w:left="0" w:right="0" w:hanging="0"/>
              <w:rPr>
                <w:color w:val="000000"/>
              </w:rPr>
            </w:pPr>
            <w:r>
              <w:rPr>
                <w:color w:val="000000"/>
              </w:rPr>
              <w:t>Unregistered Sales of Equity Securities and Use of Proceeds</w:t>
            </w:r>
          </w:p>
        </w:tc>
        <w:tc>
          <w:tcPr>
            <w:tcW w:w="571" w:type="dxa"/>
            <w:tcBorders/>
            <w:shd w:fill="CCEEFF" w:val="clear"/>
          </w:tcPr>
          <w:p>
            <w:pPr>
              <w:pStyle w:val="TableContents"/>
              <w:spacing w:before="0" w:after="0"/>
              <w:ind w:left="0" w:right="0" w:hanging="0"/>
              <w:jc w:val="center"/>
              <w:rPr>
                <w:color w:val="000000"/>
              </w:rPr>
            </w:pPr>
            <w:r>
              <w:rPr>
                <w:color w:val="000000"/>
              </w:rPr>
              <w:t>26</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3</w:t>
            </w:r>
          </w:p>
        </w:tc>
        <w:tc>
          <w:tcPr>
            <w:tcW w:w="8534" w:type="dxa"/>
            <w:tcBorders/>
            <w:shd w:fill="CCEEFF" w:val="clear"/>
          </w:tcPr>
          <w:p>
            <w:pPr>
              <w:pStyle w:val="TableContents"/>
              <w:spacing w:before="0" w:after="0"/>
              <w:ind w:left="0" w:right="0" w:hanging="0"/>
              <w:rPr>
                <w:color w:val="000000"/>
              </w:rPr>
            </w:pPr>
            <w:r>
              <w:rPr>
                <w:color w:val="000000"/>
              </w:rPr>
              <w:t>Defaults Upon Senior Securities</w:t>
            </w:r>
          </w:p>
        </w:tc>
        <w:tc>
          <w:tcPr>
            <w:tcW w:w="571" w:type="dxa"/>
            <w:tcBorders/>
            <w:shd w:fill="CCEEFF" w:val="clear"/>
          </w:tcPr>
          <w:p>
            <w:pPr>
              <w:pStyle w:val="TableContents"/>
              <w:spacing w:before="0" w:after="0"/>
              <w:ind w:left="0" w:right="0" w:hanging="0"/>
              <w:jc w:val="center"/>
              <w:rPr>
                <w:color w:val="000000"/>
              </w:rPr>
            </w:pPr>
            <w:r>
              <w:rPr>
                <w:color w:val="000000"/>
              </w:rPr>
              <w:t>27</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4</w:t>
            </w:r>
          </w:p>
        </w:tc>
        <w:tc>
          <w:tcPr>
            <w:tcW w:w="8534" w:type="dxa"/>
            <w:tcBorders/>
            <w:shd w:fill="CCEEFF" w:val="clear"/>
          </w:tcPr>
          <w:p>
            <w:pPr>
              <w:pStyle w:val="TableContents"/>
              <w:spacing w:before="0" w:after="0"/>
              <w:ind w:left="0" w:right="0" w:hanging="0"/>
              <w:rPr>
                <w:color w:val="000000"/>
              </w:rPr>
            </w:pPr>
            <w:r>
              <w:rPr>
                <w:color w:val="000000"/>
              </w:rPr>
              <w:t>Mine Safety Disclosures</w:t>
            </w:r>
          </w:p>
        </w:tc>
        <w:tc>
          <w:tcPr>
            <w:tcW w:w="571" w:type="dxa"/>
            <w:tcBorders/>
            <w:shd w:fill="CCEEFF" w:val="clear"/>
          </w:tcPr>
          <w:p>
            <w:pPr>
              <w:pStyle w:val="TableContents"/>
              <w:spacing w:before="0" w:after="0"/>
              <w:ind w:left="0" w:right="0" w:hanging="0"/>
              <w:jc w:val="center"/>
              <w:rPr>
                <w:color w:val="000000"/>
              </w:rPr>
            </w:pPr>
            <w:r>
              <w:rPr>
                <w:color w:val="000000"/>
              </w:rPr>
              <w:t>27</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5</w:t>
            </w:r>
          </w:p>
        </w:tc>
        <w:tc>
          <w:tcPr>
            <w:tcW w:w="8534" w:type="dxa"/>
            <w:tcBorders/>
            <w:shd w:fill="CCEEFF" w:val="clear"/>
          </w:tcPr>
          <w:p>
            <w:pPr>
              <w:pStyle w:val="TableContents"/>
              <w:spacing w:before="0" w:after="0"/>
              <w:ind w:left="0" w:right="0" w:hanging="0"/>
              <w:rPr>
                <w:color w:val="000000"/>
              </w:rPr>
            </w:pPr>
            <w:r>
              <w:rPr>
                <w:color w:val="000000"/>
              </w:rPr>
              <w:t>Other Information</w:t>
            </w:r>
          </w:p>
        </w:tc>
        <w:tc>
          <w:tcPr>
            <w:tcW w:w="571" w:type="dxa"/>
            <w:tcBorders/>
            <w:shd w:fill="CCEEFF" w:val="clear"/>
          </w:tcPr>
          <w:p>
            <w:pPr>
              <w:pStyle w:val="TableContents"/>
              <w:spacing w:before="0" w:after="0"/>
              <w:ind w:left="0" w:right="0" w:hanging="0"/>
              <w:jc w:val="center"/>
              <w:rPr>
                <w:color w:val="000000"/>
              </w:rPr>
            </w:pPr>
            <w:r>
              <w:rPr>
                <w:color w:val="000000"/>
              </w:rPr>
              <w:t>27</w:t>
            </w:r>
          </w:p>
        </w:tc>
      </w:tr>
      <w:tr>
        <w:trPr/>
        <w:tc>
          <w:tcPr>
            <w:tcW w:w="1100" w:type="dxa"/>
            <w:tcBorders/>
            <w:shd w:fill="FFFFFF" w:val="clear"/>
          </w:tcPr>
          <w:p>
            <w:pPr>
              <w:pStyle w:val="TableContents"/>
              <w:spacing w:before="0" w:after="0"/>
              <w:ind w:left="0" w:right="0" w:hanging="0"/>
              <w:rPr>
                <w:color w:val="000000"/>
              </w:rPr>
            </w:pPr>
            <w:r>
              <w:rPr>
                <w:color w:val="000000"/>
              </w:rPr>
              <w:t>  </w:t>
            </w:r>
          </w:p>
        </w:tc>
        <w:tc>
          <w:tcPr>
            <w:tcW w:w="8534" w:type="dxa"/>
            <w:tcBorders/>
            <w:shd w:fill="FFFFFF" w:val="clear"/>
          </w:tcPr>
          <w:p>
            <w:pPr>
              <w:pStyle w:val="TableContents"/>
              <w:spacing w:before="0" w:after="0"/>
              <w:ind w:left="0" w:right="0" w:hanging="0"/>
              <w:rPr>
                <w:color w:val="000000"/>
              </w:rPr>
            </w:pPr>
            <w:r>
              <w:rPr>
                <w:color w:val="000000"/>
              </w:rPr>
              <w:t>  </w:t>
            </w:r>
          </w:p>
        </w:tc>
        <w:tc>
          <w:tcPr>
            <w:tcW w:w="571" w:type="dxa"/>
            <w:tcBorders/>
            <w:shd w:fill="FFFFFF" w:val="clear"/>
          </w:tcPr>
          <w:p>
            <w:pPr>
              <w:pStyle w:val="TableContents"/>
              <w:spacing w:before="0" w:after="0"/>
              <w:ind w:left="0" w:right="0" w:hanging="0"/>
              <w:rPr>
                <w:color w:val="000000"/>
              </w:rPr>
            </w:pPr>
            <w:r>
              <w:rPr>
                <w:color w:val="000000"/>
              </w:rPr>
              <w:t>  </w:t>
            </w:r>
          </w:p>
        </w:tc>
      </w:tr>
      <w:tr>
        <w:trPr/>
        <w:tc>
          <w:tcPr>
            <w:tcW w:w="1100" w:type="dxa"/>
            <w:tcBorders/>
            <w:shd w:fill="CCEEFF" w:val="clear"/>
          </w:tcPr>
          <w:p>
            <w:pPr>
              <w:pStyle w:val="TableContents"/>
              <w:spacing w:before="0" w:after="0"/>
              <w:ind w:left="0" w:right="0" w:hanging="0"/>
              <w:rPr>
                <w:color w:val="000000"/>
              </w:rPr>
            </w:pPr>
            <w:r>
              <w:rPr>
                <w:color w:val="000000"/>
              </w:rPr>
              <w:t>ITEM 6</w:t>
            </w:r>
          </w:p>
        </w:tc>
        <w:tc>
          <w:tcPr>
            <w:tcW w:w="8534" w:type="dxa"/>
            <w:tcBorders/>
            <w:shd w:fill="CCEEFF" w:val="clear"/>
          </w:tcPr>
          <w:p>
            <w:pPr>
              <w:pStyle w:val="TableContents"/>
              <w:spacing w:before="0" w:after="0"/>
              <w:ind w:left="0" w:right="0" w:hanging="0"/>
              <w:rPr>
                <w:color w:val="000000"/>
              </w:rPr>
            </w:pPr>
            <w:r>
              <w:rPr>
                <w:color w:val="000000"/>
              </w:rPr>
              <w:t>Exhibits</w:t>
            </w:r>
          </w:p>
        </w:tc>
        <w:tc>
          <w:tcPr>
            <w:tcW w:w="571" w:type="dxa"/>
            <w:tcBorders/>
            <w:shd w:fill="CCEEFF" w:val="clear"/>
          </w:tcPr>
          <w:p>
            <w:pPr>
              <w:pStyle w:val="TableContents"/>
              <w:spacing w:before="0" w:after="0"/>
              <w:ind w:left="0" w:right="0" w:hanging="0"/>
              <w:jc w:val="center"/>
              <w:rPr>
                <w:color w:val="000000"/>
              </w:rPr>
            </w:pPr>
            <w:r>
              <w:rPr>
                <w:color w:val="000000"/>
              </w:rPr>
              <w:t>28</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sz w:val="20"/>
        </w:rPr>
        <w:t>PART I - FINANCIAL INFORMATION</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TAPIMMUNE INC.</w:t>
      </w:r>
    </w:p>
    <w:p>
      <w:pPr>
        <w:pStyle w:val="TextBody"/>
        <w:spacing w:before="0" w:after="0"/>
        <w:ind w:left="0" w:right="0" w:hanging="0"/>
        <w:jc w:val="center"/>
        <w:rPr/>
      </w:pPr>
      <w:r>
        <w:rPr>
          <w:rStyle w:val="StrongEmphasis"/>
          <w:sz w:val="20"/>
        </w:rPr>
        <w:t>(A DEVELOPMENT STAGE COMPANY)</w:t>
        <w:br/>
        <w:br/>
        <w:t>Financial Statements</w:t>
        <w:br/>
        <w:br/>
        <w:t>SEPTEMBER 30, 2013</w:t>
      </w:r>
    </w:p>
    <w:p>
      <w:pPr>
        <w:pStyle w:val="TextBody"/>
        <w:spacing w:before="0" w:after="0"/>
        <w:ind w:left="0" w:right="0" w:hanging="30"/>
        <w:jc w:val="both"/>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63817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Item 1.</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1.</w:t>
                      </w:r>
                    </w:p>
                  </w:txbxContent>
                </v:textbox>
                <w10:wrap type="square" side="right"/>
              </v:rect>
            </w:pict>
          </mc:Fallback>
        </mc:AlternateConten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674"/>
        <w:gridCol w:w="531"/>
      </w:tblGrid>
      <w:tr>
        <w:trPr/>
        <w:tc>
          <w:tcPr>
            <w:tcW w:w="9674"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9674" w:type="dxa"/>
            <w:tcBorders>
              <w:bottom w:val="single" w:sz="2" w:space="0" w:color="000000"/>
            </w:tcBorders>
            <w:shd w:fill="auto" w:val="clear"/>
            <w:tcMar>
              <w:bottom w:w="28" w:type="dxa"/>
            </w:tcMar>
          </w:tcPr>
          <w:p>
            <w:pPr>
              <w:pStyle w:val="TableContents"/>
              <w:spacing w:before="0" w:after="0"/>
              <w:ind w:left="0" w:right="0" w:hanging="0"/>
              <w:rPr>
                <w:b/>
                <w:u w:val="single"/>
              </w:rPr>
            </w:pPr>
            <w:r>
              <w:rPr>
                <w:b/>
                <w:u w:val="single"/>
              </w:rPr>
              <w:t>Description</w:t>
            </w:r>
          </w:p>
        </w:tc>
        <w:tc>
          <w:tcPr>
            <w:tcW w:w="531" w:type="dxa"/>
            <w:tcBorders>
              <w:bottom w:val="single" w:sz="2" w:space="0" w:color="000000"/>
            </w:tcBorders>
            <w:shd w:fill="auto" w:val="clear"/>
            <w:tcMar>
              <w:bottom w:w="28" w:type="dxa"/>
            </w:tcMar>
          </w:tcPr>
          <w:p>
            <w:pPr>
              <w:pStyle w:val="TableContents"/>
              <w:spacing w:before="0" w:after="0"/>
              <w:ind w:left="0" w:right="0" w:hanging="0"/>
              <w:rPr>
                <w:b/>
                <w:u w:val="single"/>
              </w:rPr>
            </w:pPr>
            <w:r>
              <w:rPr>
                <w:b/>
                <w:u w:val="single"/>
              </w:rPr>
              <w:t>Page</w:t>
            </w:r>
          </w:p>
        </w:tc>
      </w:tr>
      <w:tr>
        <w:trPr/>
        <w:tc>
          <w:tcPr>
            <w:tcW w:w="9674" w:type="dxa"/>
            <w:tcBorders/>
            <w:shd w:fill="auto" w:val="clear"/>
          </w:tcPr>
          <w:p>
            <w:pPr>
              <w:pStyle w:val="TableContents"/>
              <w:pBdr/>
              <w:spacing w:before="0" w:after="0"/>
              <w:ind w:left="0" w:right="0" w:hanging="0"/>
              <w:rPr/>
            </w:pPr>
            <w:r>
              <w:rPr/>
              <w:t> </w:t>
            </w:r>
          </w:p>
        </w:tc>
        <w:tc>
          <w:tcPr>
            <w:tcW w:w="531" w:type="dxa"/>
            <w:tcBorders/>
            <w:shd w:fill="auto" w:val="clear"/>
          </w:tcPr>
          <w:p>
            <w:pPr>
              <w:pStyle w:val="TableContents"/>
              <w:pBdr/>
              <w:spacing w:before="0" w:after="0"/>
              <w:ind w:left="0" w:right="0" w:hanging="0"/>
              <w:rPr/>
            </w:pPr>
            <w:r>
              <w:rPr/>
              <w:t> </w:t>
            </w:r>
          </w:p>
        </w:tc>
      </w:tr>
      <w:tr>
        <w:trPr/>
        <w:tc>
          <w:tcPr>
            <w:tcW w:w="9674" w:type="dxa"/>
            <w:tcBorders/>
            <w:shd w:fill="auto" w:val="clear"/>
          </w:tcPr>
          <w:p>
            <w:pPr>
              <w:pStyle w:val="TableContents"/>
              <w:spacing w:before="0" w:after="0"/>
              <w:ind w:left="0" w:right="0" w:hanging="0"/>
              <w:rPr/>
            </w:pPr>
            <w:r>
              <w:rPr/>
              <w:t xml:space="preserve">Consolidated Balance Sheets as of September 30, 2013 (Unaudited) and December 31, 2012 </w:t>
            </w:r>
          </w:p>
        </w:tc>
        <w:tc>
          <w:tcPr>
            <w:tcW w:w="531" w:type="dxa"/>
            <w:tcBorders/>
            <w:shd w:fill="auto" w:val="clear"/>
            <w:vAlign w:val="bottom"/>
          </w:tcPr>
          <w:p>
            <w:pPr>
              <w:pStyle w:val="TableContents"/>
              <w:spacing w:before="0" w:after="0"/>
              <w:ind w:left="0" w:right="0" w:hanging="0"/>
              <w:jc w:val="center"/>
              <w:rPr/>
            </w:pPr>
            <w:r>
              <w:rPr/>
              <w:t>F-1</w:t>
            </w:r>
          </w:p>
        </w:tc>
      </w:tr>
      <w:tr>
        <w:trPr/>
        <w:tc>
          <w:tcPr>
            <w:tcW w:w="9674" w:type="dxa"/>
            <w:tcBorders/>
            <w:shd w:fill="auto" w:val="clear"/>
          </w:tcPr>
          <w:p>
            <w:pPr>
              <w:pStyle w:val="TableContents"/>
              <w:pBdr/>
              <w:spacing w:before="0" w:after="0"/>
              <w:ind w:left="0" w:right="0" w:hanging="0"/>
              <w:rPr/>
            </w:pPr>
            <w:r>
              <w:rPr/>
              <w:t> </w:t>
            </w:r>
          </w:p>
        </w:tc>
        <w:tc>
          <w:tcPr>
            <w:tcW w:w="531" w:type="dxa"/>
            <w:tcBorders/>
            <w:shd w:fill="auto" w:val="clear"/>
            <w:vAlign w:val="bottom"/>
          </w:tcPr>
          <w:p>
            <w:pPr>
              <w:pStyle w:val="TableContents"/>
              <w:pBdr/>
              <w:spacing w:before="0" w:after="0"/>
              <w:ind w:left="0" w:right="0" w:hanging="0"/>
              <w:rPr/>
            </w:pPr>
            <w:r>
              <w:rPr/>
              <w:t> </w:t>
            </w:r>
          </w:p>
        </w:tc>
      </w:tr>
      <w:tr>
        <w:trPr/>
        <w:tc>
          <w:tcPr>
            <w:tcW w:w="9674" w:type="dxa"/>
            <w:tcBorders/>
            <w:shd w:fill="auto" w:val="clear"/>
          </w:tcPr>
          <w:p>
            <w:pPr>
              <w:pStyle w:val="TableContents"/>
              <w:spacing w:before="0" w:after="0"/>
              <w:ind w:left="0" w:right="0" w:hanging="0"/>
              <w:rPr/>
            </w:pPr>
            <w:r>
              <w:rPr/>
              <w:t>Interim Consolidated Statements of Operations for the Nine Months Ended September 30, 2013 and 2012 and for the Period from July 27, 1999 (Date of Inception) to September 30, 2013 (Unaudited)</w:t>
            </w:r>
          </w:p>
        </w:tc>
        <w:tc>
          <w:tcPr>
            <w:tcW w:w="531" w:type="dxa"/>
            <w:tcBorders/>
            <w:shd w:fill="auto" w:val="clear"/>
            <w:vAlign w:val="bottom"/>
          </w:tcPr>
          <w:p>
            <w:pPr>
              <w:pStyle w:val="TableContents"/>
              <w:spacing w:before="0" w:after="0"/>
              <w:ind w:left="0" w:right="0" w:hanging="0"/>
              <w:jc w:val="center"/>
              <w:rPr/>
            </w:pPr>
            <w:r>
              <w:rPr/>
              <w:t>F-2</w:t>
            </w:r>
          </w:p>
        </w:tc>
      </w:tr>
      <w:tr>
        <w:trPr/>
        <w:tc>
          <w:tcPr>
            <w:tcW w:w="9674" w:type="dxa"/>
            <w:tcBorders/>
            <w:shd w:fill="auto" w:val="clear"/>
          </w:tcPr>
          <w:p>
            <w:pPr>
              <w:pStyle w:val="TableContents"/>
              <w:pBdr/>
              <w:spacing w:before="0" w:after="0"/>
              <w:ind w:left="0" w:right="0" w:hanging="0"/>
              <w:rPr/>
            </w:pPr>
            <w:r>
              <w:rPr/>
              <w:t> </w:t>
            </w:r>
          </w:p>
        </w:tc>
        <w:tc>
          <w:tcPr>
            <w:tcW w:w="531" w:type="dxa"/>
            <w:tcBorders/>
            <w:shd w:fill="auto" w:val="clear"/>
            <w:vAlign w:val="bottom"/>
          </w:tcPr>
          <w:p>
            <w:pPr>
              <w:pStyle w:val="TableContents"/>
              <w:pBdr/>
              <w:spacing w:before="0" w:after="0"/>
              <w:ind w:left="0" w:right="0" w:hanging="0"/>
              <w:rPr/>
            </w:pPr>
            <w:r>
              <w:rPr/>
              <w:t> </w:t>
            </w:r>
          </w:p>
        </w:tc>
      </w:tr>
      <w:tr>
        <w:trPr/>
        <w:tc>
          <w:tcPr>
            <w:tcW w:w="9674" w:type="dxa"/>
            <w:tcBorders/>
            <w:shd w:fill="auto" w:val="clear"/>
          </w:tcPr>
          <w:p>
            <w:pPr>
              <w:pStyle w:val="TableContents"/>
              <w:spacing w:before="0" w:after="0"/>
              <w:ind w:left="0" w:right="0" w:hanging="0"/>
              <w:rPr/>
            </w:pPr>
            <w:r>
              <w:rPr/>
              <w:t>Interim Consolidated Statements of Cash Flows for the Nine Months Ended September 30, 2013 and 2012 and for the Period from July 27, 1999 (Date of Inception) to September 30, 2013 (Unaudited)</w:t>
            </w:r>
          </w:p>
        </w:tc>
        <w:tc>
          <w:tcPr>
            <w:tcW w:w="531" w:type="dxa"/>
            <w:tcBorders/>
            <w:shd w:fill="auto" w:val="clear"/>
            <w:vAlign w:val="bottom"/>
          </w:tcPr>
          <w:p>
            <w:pPr>
              <w:pStyle w:val="TableContents"/>
              <w:spacing w:before="0" w:after="0"/>
              <w:ind w:left="0" w:right="0" w:hanging="0"/>
              <w:jc w:val="center"/>
              <w:rPr/>
            </w:pPr>
            <w:r>
              <w:rPr/>
              <w:t>F-3</w:t>
            </w:r>
          </w:p>
        </w:tc>
      </w:tr>
      <w:tr>
        <w:trPr/>
        <w:tc>
          <w:tcPr>
            <w:tcW w:w="9674" w:type="dxa"/>
            <w:tcBorders/>
            <w:shd w:fill="auto" w:val="clear"/>
          </w:tcPr>
          <w:p>
            <w:pPr>
              <w:pStyle w:val="TableContents"/>
              <w:pBdr/>
              <w:spacing w:before="0" w:after="0"/>
              <w:ind w:left="0" w:right="0" w:hanging="0"/>
              <w:rPr/>
            </w:pPr>
            <w:r>
              <w:rPr/>
              <w:t> </w:t>
            </w:r>
          </w:p>
        </w:tc>
        <w:tc>
          <w:tcPr>
            <w:tcW w:w="531" w:type="dxa"/>
            <w:tcBorders/>
            <w:shd w:fill="auto" w:val="clear"/>
            <w:vAlign w:val="bottom"/>
          </w:tcPr>
          <w:p>
            <w:pPr>
              <w:pStyle w:val="TableContents"/>
              <w:pBdr/>
              <w:spacing w:before="0" w:after="0"/>
              <w:ind w:left="0" w:right="0" w:hanging="0"/>
              <w:rPr/>
            </w:pPr>
            <w:r>
              <w:rPr/>
              <w:t> </w:t>
            </w:r>
          </w:p>
        </w:tc>
      </w:tr>
      <w:tr>
        <w:trPr/>
        <w:tc>
          <w:tcPr>
            <w:tcW w:w="9674" w:type="dxa"/>
            <w:tcBorders/>
            <w:shd w:fill="auto" w:val="clear"/>
          </w:tcPr>
          <w:p>
            <w:pPr>
              <w:pStyle w:val="TableContents"/>
              <w:spacing w:before="0" w:after="0"/>
              <w:ind w:left="0" w:right="0" w:hanging="0"/>
              <w:rPr/>
            </w:pPr>
            <w:r>
              <w:rPr/>
              <w:t>Notes to the Interim Consolidated Financial Statements (Unaudited)</w:t>
            </w:r>
          </w:p>
        </w:tc>
        <w:tc>
          <w:tcPr>
            <w:tcW w:w="531" w:type="dxa"/>
            <w:tcBorders/>
            <w:shd w:fill="auto" w:val="clear"/>
            <w:vAlign w:val="bottom"/>
          </w:tcPr>
          <w:p>
            <w:pPr>
              <w:pStyle w:val="TableContents"/>
              <w:spacing w:before="0" w:after="0"/>
              <w:ind w:left="0" w:right="0" w:hanging="0"/>
              <w:jc w:val="center"/>
              <w:rPr/>
            </w:pPr>
            <w:r>
              <w:rPr/>
              <w:t>F-4</w:t>
            </w:r>
          </w:p>
        </w:tc>
      </w:tr>
      <w:tr>
        <w:trPr/>
        <w:tc>
          <w:tcPr>
            <w:tcW w:w="9674"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531" w:type="dxa"/>
            <w:tcBorders>
              <w:bottom w:val="single" w:sz="2" w:space="0" w:color="000000"/>
            </w:tcBorders>
            <w:shd w:fill="auto" w:val="clear"/>
            <w:tcMar>
              <w:bottom w:w="28" w:type="dxa"/>
            </w:tcMar>
          </w:tcPr>
          <w:p>
            <w:pPr>
              <w:pStyle w:val="TableContents"/>
              <w:pBdr/>
              <w:spacing w:before="0" w:after="0"/>
              <w:ind w:left="0" w:right="0" w:hanging="0"/>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r>
        <w:br w:type="page"/>
      </w:r>
    </w:p>
    <w:p>
      <w:pPr>
        <w:pStyle w:val="TextBody"/>
        <w:spacing w:before="0" w:after="0"/>
        <w:ind w:left="0" w:right="0" w:hanging="0"/>
        <w:jc w:val="center"/>
        <w:rPr>
          <w:b/>
        </w:rPr>
      </w:pPr>
      <w:r>
        <w:rPr>
          <w:b/>
        </w:rPr>
        <w:t>TAPIMMUNE INC.</w:t>
      </w:r>
    </w:p>
    <w:p>
      <w:pPr>
        <w:pStyle w:val="TextBody"/>
        <w:spacing w:before="0" w:after="0"/>
        <w:ind w:left="0" w:right="0" w:hanging="0"/>
        <w:jc w:val="center"/>
        <w:rPr/>
      </w:pPr>
      <w:r>
        <w:rPr/>
        <w:t>(A Development Stage Company)</w:t>
      </w:r>
    </w:p>
    <w:p>
      <w:pPr>
        <w:pStyle w:val="TextBody"/>
        <w:spacing w:before="0" w:after="0"/>
        <w:ind w:left="0" w:right="0" w:hanging="0"/>
        <w:jc w:val="center"/>
        <w:rPr>
          <w:b/>
        </w:rPr>
      </w:pPr>
      <w:r>
        <w:rPr>
          <w:b/>
        </w:rPr>
        <w:t>CONSOLIDATED BALANCE SHEETS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7147"/>
        <w:gridCol w:w="1537"/>
        <w:gridCol w:w="1521"/>
      </w:tblGrid>
      <w:tr>
        <w:trPr/>
        <w:tc>
          <w:tcPr>
            <w:tcW w:w="714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r>
      <w:tr>
        <w:trPr/>
        <w:tc>
          <w:tcPr>
            <w:tcW w:w="7147"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537" w:type="dxa"/>
            <w:tcBorders>
              <w:top w:val="single" w:sz="1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pPr>
            <w:r>
              <w:rPr/>
              <w:t>September 30,</w:t>
            </w:r>
          </w:p>
          <w:p>
            <w:pPr>
              <w:pStyle w:val="TableContents"/>
              <w:spacing w:before="0" w:after="0"/>
              <w:ind w:left="0" w:right="0" w:hanging="0"/>
              <w:jc w:val="center"/>
              <w:rPr/>
            </w:pPr>
            <w:r>
              <w:rPr/>
              <w:t>2013</w:t>
            </w:r>
          </w:p>
        </w:tc>
        <w:tc>
          <w:tcPr>
            <w:tcW w:w="1521"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December 31,</w:t>
            </w:r>
          </w:p>
          <w:p>
            <w:pPr>
              <w:pStyle w:val="TableContents"/>
              <w:spacing w:before="0" w:after="0"/>
              <w:ind w:left="0" w:right="0" w:hanging="0"/>
              <w:jc w:val="center"/>
              <w:rPr/>
            </w:pPr>
            <w:r>
              <w:rPr/>
              <w:t>2012</w:t>
            </w:r>
          </w:p>
        </w:tc>
      </w:tr>
      <w:tr>
        <w:trPr/>
        <w:tc>
          <w:tcPr>
            <w:tcW w:w="7147" w:type="dxa"/>
            <w:tcBorders/>
            <w:shd w:fill="auto" w:val="clear"/>
            <w:vAlign w:val="bottom"/>
          </w:tcPr>
          <w:p>
            <w:pPr>
              <w:pStyle w:val="TableContents"/>
              <w:pBdr/>
              <w:spacing w:before="0" w:after="0"/>
              <w:ind w:left="0" w:right="0" w:hanging="0"/>
              <w:rPr/>
            </w:pPr>
            <w:r>
              <w:rPr/>
              <w:t> </w:t>
            </w:r>
          </w:p>
        </w:tc>
        <w:tc>
          <w:tcPr>
            <w:tcW w:w="1537" w:type="dxa"/>
            <w:tcBorders/>
            <w:shd w:fill="auto" w:val="clear"/>
            <w:vAlign w:val="bottom"/>
          </w:tcPr>
          <w:p>
            <w:pPr>
              <w:pStyle w:val="TableContents"/>
              <w:spacing w:before="0" w:after="0"/>
              <w:ind w:left="0" w:right="0" w:hanging="0"/>
              <w:jc w:val="right"/>
              <w:rPr/>
            </w:pPr>
            <w:r>
              <w:rPr/>
              <w:t>(Unaudited)</w:t>
            </w:r>
          </w:p>
        </w:tc>
        <w:tc>
          <w:tcPr>
            <w:tcW w:w="1521" w:type="dxa"/>
            <w:tcBorders/>
            <w:shd w:fill="auto" w:val="clear"/>
          </w:tcPr>
          <w:p>
            <w:pPr>
              <w:pStyle w:val="TableContents"/>
              <w:spacing w:before="0" w:after="0"/>
              <w:ind w:left="0" w:right="0" w:hanging="0"/>
              <w:jc w:val="center"/>
              <w:rPr/>
            </w:pPr>
            <w:r>
              <w:rPr/>
              <w:t>(As restated)</w:t>
            </w:r>
          </w:p>
        </w:tc>
      </w:tr>
      <w:tr>
        <w:trPr/>
        <w:tc>
          <w:tcPr>
            <w:tcW w:w="10205" w:type="dxa"/>
            <w:gridSpan w:val="3"/>
            <w:tcBorders/>
            <w:shd w:fill="auto" w:val="clear"/>
            <w:vAlign w:val="bottom"/>
          </w:tcPr>
          <w:p>
            <w:pPr>
              <w:pStyle w:val="TableContents"/>
              <w:spacing w:before="0" w:after="0"/>
              <w:ind w:left="0" w:right="0" w:hanging="0"/>
              <w:jc w:val="center"/>
              <w:rPr>
                <w:b/>
              </w:rPr>
            </w:pPr>
            <w:r>
              <w:rPr>
                <w:b/>
              </w:rPr>
              <w:t>ASSETS</w:t>
            </w:r>
          </w:p>
        </w:tc>
      </w:tr>
      <w:tr>
        <w:trPr/>
        <w:tc>
          <w:tcPr>
            <w:tcW w:w="7147" w:type="dxa"/>
            <w:tcBorders/>
            <w:shd w:fill="auto" w:val="clear"/>
            <w:vAlign w:val="bottom"/>
          </w:tcPr>
          <w:p>
            <w:pPr>
              <w:pStyle w:val="TableContents"/>
              <w:spacing w:before="0" w:after="0"/>
              <w:ind w:left="0" w:right="0" w:hanging="0"/>
              <w:rPr>
                <w:b/>
              </w:rPr>
            </w:pPr>
            <w:r>
              <w:rPr>
                <w:b/>
              </w:rPr>
              <w:t>Current Assets</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pPr>
            <w:r>
              <w:rPr/>
              <w:t>  </w:t>
            </w:r>
            <w:r>
              <w:rPr/>
              <w:t>Cash</w:t>
            </w:r>
          </w:p>
        </w:tc>
        <w:tc>
          <w:tcPr>
            <w:tcW w:w="1537" w:type="dxa"/>
            <w:tcBorders/>
            <w:shd w:fill="auto" w:val="clear"/>
            <w:vAlign w:val="bottom"/>
          </w:tcPr>
          <w:p>
            <w:pPr>
              <w:pStyle w:val="TableContents"/>
              <w:spacing w:before="0" w:after="0"/>
              <w:ind w:left="0" w:right="0" w:hanging="0"/>
              <w:jc w:val="right"/>
              <w:rPr/>
            </w:pPr>
            <w:r>
              <w:rPr/>
              <w:t>$     4,933 </w:t>
            </w:r>
          </w:p>
        </w:tc>
        <w:tc>
          <w:tcPr>
            <w:tcW w:w="1521" w:type="dxa"/>
            <w:tcBorders/>
            <w:shd w:fill="auto" w:val="clear"/>
            <w:vAlign w:val="bottom"/>
          </w:tcPr>
          <w:p>
            <w:pPr>
              <w:pStyle w:val="TableContents"/>
              <w:spacing w:before="0" w:after="0"/>
              <w:ind w:left="0" w:right="0" w:hanging="0"/>
              <w:jc w:val="right"/>
              <w:rPr/>
            </w:pPr>
            <w:r>
              <w:rPr/>
              <w:t>$  33,839 </w:t>
            </w:r>
          </w:p>
        </w:tc>
      </w:tr>
      <w:tr>
        <w:trPr/>
        <w:tc>
          <w:tcPr>
            <w:tcW w:w="7147" w:type="dxa"/>
            <w:tcBorders/>
            <w:shd w:fill="auto" w:val="clear"/>
            <w:vAlign w:val="bottom"/>
          </w:tcPr>
          <w:p>
            <w:pPr>
              <w:pStyle w:val="TableContents"/>
              <w:spacing w:before="0" w:after="0"/>
              <w:ind w:left="0" w:right="0" w:hanging="0"/>
              <w:rPr/>
            </w:pPr>
            <w:r>
              <w:rPr/>
              <w:t>  </w:t>
            </w:r>
            <w:r>
              <w:rPr/>
              <w:t>Due from government agency</w:t>
            </w:r>
          </w:p>
        </w:tc>
        <w:tc>
          <w:tcPr>
            <w:tcW w:w="1537" w:type="dxa"/>
            <w:tcBorders/>
            <w:shd w:fill="auto" w:val="clear"/>
            <w:vAlign w:val="bottom"/>
          </w:tcPr>
          <w:p>
            <w:pPr>
              <w:pStyle w:val="TableContents"/>
              <w:spacing w:before="0" w:after="0"/>
              <w:ind w:left="0" w:right="0" w:hanging="0"/>
              <w:jc w:val="right"/>
              <w:rPr/>
            </w:pPr>
            <w:r>
              <w:rPr/>
              <w:t>1,050 </w:t>
            </w:r>
          </w:p>
        </w:tc>
        <w:tc>
          <w:tcPr>
            <w:tcW w:w="1521" w:type="dxa"/>
            <w:tcBorders/>
            <w:shd w:fill="auto" w:val="clear"/>
            <w:vAlign w:val="bottom"/>
          </w:tcPr>
          <w:p>
            <w:pPr>
              <w:pStyle w:val="TableContents"/>
              <w:spacing w:before="0" w:after="0"/>
              <w:ind w:left="0" w:right="0" w:hanging="0"/>
              <w:jc w:val="right"/>
              <w:rPr/>
            </w:pPr>
            <w:r>
              <w:rPr/>
              <w:t>1,077 </w:t>
            </w:r>
          </w:p>
        </w:tc>
      </w:tr>
      <w:tr>
        <w:trPr/>
        <w:tc>
          <w:tcPr>
            <w:tcW w:w="7147" w:type="dxa"/>
            <w:tcBorders/>
            <w:shd w:fill="auto" w:val="clear"/>
            <w:vAlign w:val="bottom"/>
          </w:tcPr>
          <w:p>
            <w:pPr>
              <w:pStyle w:val="TableContents"/>
              <w:spacing w:before="0" w:after="0"/>
              <w:ind w:left="0" w:right="0" w:hanging="0"/>
              <w:rPr/>
            </w:pPr>
            <w:r>
              <w:rPr/>
              <w:t>  </w:t>
            </w:r>
            <w:r>
              <w:rPr/>
              <w:t xml:space="preserve">Prepaid expenses and deposits </w:t>
            </w:r>
          </w:p>
        </w:tc>
        <w:tc>
          <w:tcPr>
            <w:tcW w:w="1537" w:type="dxa"/>
            <w:tcBorders/>
            <w:shd w:fill="auto" w:val="clear"/>
            <w:vAlign w:val="bottom"/>
          </w:tcPr>
          <w:p>
            <w:pPr>
              <w:pStyle w:val="TableContents"/>
              <w:spacing w:before="0" w:after="0"/>
              <w:ind w:left="0" w:right="0" w:hanging="0"/>
              <w:jc w:val="right"/>
              <w:rPr/>
            </w:pPr>
            <w:r>
              <w:rPr/>
              <w:t>118,954 </w:t>
            </w:r>
          </w:p>
        </w:tc>
        <w:tc>
          <w:tcPr>
            <w:tcW w:w="1521" w:type="dxa"/>
            <w:tcBorders/>
            <w:shd w:fill="auto" w:val="clear"/>
            <w:vAlign w:val="bottom"/>
          </w:tcPr>
          <w:p>
            <w:pPr>
              <w:pStyle w:val="TableContents"/>
              <w:spacing w:before="0" w:after="0"/>
              <w:ind w:left="0" w:right="0" w:hanging="0"/>
              <w:jc w:val="right"/>
              <w:rPr/>
            </w:pPr>
            <w:r>
              <w:rPr/>
              <w:t>15,004 </w:t>
            </w:r>
          </w:p>
        </w:tc>
      </w:tr>
      <w:tr>
        <w:trPr/>
        <w:tc>
          <w:tcPr>
            <w:tcW w:w="7147"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Deferred financing costs (Note 5)</w:t>
            </w:r>
          </w:p>
        </w:tc>
        <w:tc>
          <w:tcPr>
            <w:tcW w:w="153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25,084 </w:t>
            </w:r>
          </w:p>
        </w:tc>
        <w:tc>
          <w:tcPr>
            <w:tcW w:w="152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37,452 </w:t>
            </w:r>
          </w:p>
        </w:tc>
      </w:tr>
      <w:tr>
        <w:trPr/>
        <w:tc>
          <w:tcPr>
            <w:tcW w:w="714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53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521"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7147"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153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150,021 </w:t>
            </w:r>
          </w:p>
        </w:tc>
        <w:tc>
          <w:tcPr>
            <w:tcW w:w="152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87,372 </w:t>
            </w:r>
          </w:p>
        </w:tc>
      </w:tr>
      <w:tr>
        <w:trPr/>
        <w:tc>
          <w:tcPr>
            <w:tcW w:w="7147" w:type="dxa"/>
            <w:tcBorders/>
            <w:shd w:fill="auto" w:val="clear"/>
            <w:vAlign w:val="bottom"/>
          </w:tcPr>
          <w:p>
            <w:pPr>
              <w:pStyle w:val="TableContents"/>
              <w:pBdr/>
              <w:spacing w:before="0" w:after="0"/>
              <w:ind w:left="0" w:right="0" w:hanging="0"/>
              <w:rPr/>
            </w:pPr>
            <w:r>
              <w:rPr/>
              <w:t> </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10205" w:type="dxa"/>
            <w:gridSpan w:val="3"/>
            <w:tcBorders/>
            <w:shd w:fill="auto" w:val="clear"/>
            <w:vAlign w:val="bottom"/>
          </w:tcPr>
          <w:p>
            <w:pPr>
              <w:pStyle w:val="TableContents"/>
              <w:spacing w:before="0" w:after="0"/>
              <w:ind w:left="0" w:right="0" w:hanging="0"/>
              <w:jc w:val="center"/>
              <w:rPr>
                <w:b/>
              </w:rPr>
            </w:pPr>
            <w:r>
              <w:rPr>
                <w:b/>
              </w:rPr>
              <w:t>LIABILITIES AND STOCKHOLDERS DEFICIT</w:t>
            </w:r>
          </w:p>
        </w:tc>
      </w:tr>
      <w:tr>
        <w:trPr/>
        <w:tc>
          <w:tcPr>
            <w:tcW w:w="7147" w:type="dxa"/>
            <w:tcBorders/>
            <w:shd w:fill="auto" w:val="clear"/>
            <w:vAlign w:val="bottom"/>
          </w:tcPr>
          <w:p>
            <w:pPr>
              <w:pStyle w:val="TableContents"/>
              <w:spacing w:before="0" w:after="0"/>
              <w:ind w:left="0" w:right="0" w:hanging="0"/>
              <w:rPr>
                <w:b/>
              </w:rPr>
            </w:pPr>
            <w:r>
              <w:rPr>
                <w:b/>
              </w:rPr>
              <w:t>Current Liabilities</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pPr>
            <w:r>
              <w:rPr/>
              <w:t>  </w:t>
            </w:r>
            <w:r>
              <w:rPr/>
              <w:t>Accounts payable and accrued liabilities (Note 12)</w:t>
            </w:r>
          </w:p>
        </w:tc>
        <w:tc>
          <w:tcPr>
            <w:tcW w:w="1537" w:type="dxa"/>
            <w:tcBorders/>
            <w:shd w:fill="auto" w:val="clear"/>
            <w:vAlign w:val="bottom"/>
          </w:tcPr>
          <w:p>
            <w:pPr>
              <w:pStyle w:val="TableContents"/>
              <w:spacing w:before="0" w:after="0"/>
              <w:ind w:left="0" w:right="0" w:hanging="0"/>
              <w:jc w:val="right"/>
              <w:rPr/>
            </w:pPr>
            <w:r>
              <w:rPr/>
              <w:t>$  1,457,298 </w:t>
            </w:r>
          </w:p>
        </w:tc>
        <w:tc>
          <w:tcPr>
            <w:tcW w:w="1521" w:type="dxa"/>
            <w:tcBorders/>
            <w:shd w:fill="auto" w:val="clear"/>
            <w:vAlign w:val="bottom"/>
          </w:tcPr>
          <w:p>
            <w:pPr>
              <w:pStyle w:val="TableContents"/>
              <w:spacing w:before="0" w:after="0"/>
              <w:ind w:left="0" w:right="0" w:hanging="0"/>
              <w:jc w:val="right"/>
              <w:rPr/>
            </w:pPr>
            <w:r>
              <w:rPr/>
              <w:t>$  1,941,716 </w:t>
            </w:r>
          </w:p>
        </w:tc>
      </w:tr>
      <w:tr>
        <w:trPr/>
        <w:tc>
          <w:tcPr>
            <w:tcW w:w="7147" w:type="dxa"/>
            <w:tcBorders/>
            <w:shd w:fill="auto" w:val="clear"/>
            <w:vAlign w:val="bottom"/>
          </w:tcPr>
          <w:p>
            <w:pPr>
              <w:pStyle w:val="TableContents"/>
              <w:spacing w:before="0" w:after="0"/>
              <w:ind w:left="0" w:right="0" w:hanging="0"/>
              <w:rPr/>
            </w:pPr>
            <w:r>
              <w:rPr/>
              <w:t>  </w:t>
            </w:r>
            <w:r>
              <w:rPr/>
              <w:t>Research agreement obligations (Note 3)</w:t>
            </w:r>
          </w:p>
        </w:tc>
        <w:tc>
          <w:tcPr>
            <w:tcW w:w="1537" w:type="dxa"/>
            <w:tcBorders/>
            <w:shd w:fill="auto" w:val="clear"/>
            <w:vAlign w:val="bottom"/>
          </w:tcPr>
          <w:p>
            <w:pPr>
              <w:pStyle w:val="TableContents"/>
              <w:spacing w:before="0" w:after="0"/>
              <w:ind w:left="0" w:right="0" w:hanging="0"/>
              <w:jc w:val="right"/>
              <w:rPr/>
            </w:pPr>
            <w:r>
              <w:rPr/>
              <w:t>492,365 </w:t>
            </w:r>
          </w:p>
        </w:tc>
        <w:tc>
          <w:tcPr>
            <w:tcW w:w="1521" w:type="dxa"/>
            <w:tcBorders/>
            <w:shd w:fill="auto" w:val="clear"/>
            <w:vAlign w:val="bottom"/>
          </w:tcPr>
          <w:p>
            <w:pPr>
              <w:pStyle w:val="TableContents"/>
              <w:spacing w:before="0" w:after="0"/>
              <w:ind w:left="0" w:right="0" w:hanging="0"/>
              <w:jc w:val="right"/>
              <w:rPr/>
            </w:pPr>
            <w:r>
              <w:rPr/>
              <w:t>415,998 </w:t>
            </w:r>
          </w:p>
        </w:tc>
      </w:tr>
      <w:tr>
        <w:trPr/>
        <w:tc>
          <w:tcPr>
            <w:tcW w:w="7147" w:type="dxa"/>
            <w:tcBorders/>
            <w:shd w:fill="auto" w:val="clear"/>
            <w:vAlign w:val="bottom"/>
          </w:tcPr>
          <w:p>
            <w:pPr>
              <w:pStyle w:val="TableContents"/>
              <w:spacing w:before="0" w:after="0"/>
              <w:ind w:left="0" w:right="0" w:hanging="0"/>
              <w:rPr/>
            </w:pPr>
            <w:r>
              <w:rPr/>
              <w:t>  </w:t>
            </w:r>
            <w:r>
              <w:rPr/>
              <w:t>Derivative liability  conversion option (Note 4)</w:t>
            </w:r>
          </w:p>
        </w:tc>
        <w:tc>
          <w:tcPr>
            <w:tcW w:w="1537" w:type="dxa"/>
            <w:tcBorders/>
            <w:shd w:fill="auto" w:val="clear"/>
            <w:vAlign w:val="bottom"/>
          </w:tcPr>
          <w:p>
            <w:pPr>
              <w:pStyle w:val="TableContents"/>
              <w:spacing w:before="0" w:after="0"/>
              <w:ind w:left="0" w:right="0" w:hanging="0"/>
              <w:jc w:val="right"/>
              <w:rPr/>
            </w:pPr>
            <w:r>
              <w:rPr/>
              <w:t>195,300 </w:t>
            </w:r>
          </w:p>
        </w:tc>
        <w:tc>
          <w:tcPr>
            <w:tcW w:w="1521" w:type="dxa"/>
            <w:tcBorders/>
            <w:shd w:fill="auto" w:val="clear"/>
            <w:vAlign w:val="bottom"/>
          </w:tcPr>
          <w:p>
            <w:pPr>
              <w:pStyle w:val="TableContents"/>
              <w:spacing w:before="0" w:after="0"/>
              <w:ind w:left="0" w:right="0" w:hanging="0"/>
              <w:jc w:val="right"/>
              <w:rPr/>
            </w:pPr>
            <w:r>
              <w:rPr/>
              <w:t>867,575 </w:t>
            </w:r>
          </w:p>
        </w:tc>
      </w:tr>
      <w:tr>
        <w:trPr/>
        <w:tc>
          <w:tcPr>
            <w:tcW w:w="7147" w:type="dxa"/>
            <w:tcBorders/>
            <w:shd w:fill="auto" w:val="clear"/>
            <w:vAlign w:val="bottom"/>
          </w:tcPr>
          <w:p>
            <w:pPr>
              <w:pStyle w:val="TableContents"/>
              <w:spacing w:before="0" w:after="0"/>
              <w:ind w:left="0" w:right="0" w:hanging="0"/>
              <w:rPr/>
            </w:pPr>
            <w:r>
              <w:rPr/>
              <w:t>  </w:t>
            </w:r>
            <w:r>
              <w:rPr/>
              <w:t>Derivative liability  warrants (Note 4)</w:t>
            </w:r>
          </w:p>
        </w:tc>
        <w:tc>
          <w:tcPr>
            <w:tcW w:w="1537" w:type="dxa"/>
            <w:tcBorders/>
            <w:shd w:fill="auto" w:val="clear"/>
            <w:vAlign w:val="bottom"/>
          </w:tcPr>
          <w:p>
            <w:pPr>
              <w:pStyle w:val="TableContents"/>
              <w:spacing w:before="0" w:after="0"/>
              <w:ind w:left="0" w:right="0" w:hanging="0"/>
              <w:jc w:val="right"/>
              <w:rPr/>
            </w:pPr>
            <w:r>
              <w:rPr/>
              <w:t>89,195 </w:t>
            </w:r>
          </w:p>
        </w:tc>
        <w:tc>
          <w:tcPr>
            <w:tcW w:w="1521" w:type="dxa"/>
            <w:tcBorders/>
            <w:shd w:fill="auto" w:val="clear"/>
            <w:vAlign w:val="bottom"/>
          </w:tcPr>
          <w:p>
            <w:pPr>
              <w:pStyle w:val="TableContents"/>
              <w:spacing w:before="0" w:after="0"/>
              <w:ind w:left="0" w:right="0" w:hanging="0"/>
              <w:jc w:val="right"/>
              <w:rPr/>
            </w:pPr>
            <w:r>
              <w:rPr/>
              <w:t>977,086 </w:t>
            </w:r>
          </w:p>
        </w:tc>
      </w:tr>
      <w:tr>
        <w:trPr/>
        <w:tc>
          <w:tcPr>
            <w:tcW w:w="7147" w:type="dxa"/>
            <w:tcBorders/>
            <w:shd w:fill="auto" w:val="clear"/>
            <w:vAlign w:val="bottom"/>
          </w:tcPr>
          <w:p>
            <w:pPr>
              <w:pStyle w:val="TableContents"/>
              <w:spacing w:before="0" w:after="0"/>
              <w:ind w:left="0" w:right="0" w:hanging="0"/>
              <w:rPr/>
            </w:pPr>
            <w:r>
              <w:rPr/>
              <w:t>  </w:t>
            </w:r>
            <w:r>
              <w:rPr/>
              <w:t>Convertible notes payable (Note 5)</w:t>
            </w:r>
          </w:p>
        </w:tc>
        <w:tc>
          <w:tcPr>
            <w:tcW w:w="1537" w:type="dxa"/>
            <w:tcBorders/>
            <w:shd w:fill="auto" w:val="clear"/>
            <w:vAlign w:val="bottom"/>
          </w:tcPr>
          <w:p>
            <w:pPr>
              <w:pStyle w:val="TableContents"/>
              <w:spacing w:before="0" w:after="0"/>
              <w:ind w:left="0" w:right="0" w:hanging="0"/>
              <w:jc w:val="right"/>
              <w:rPr/>
            </w:pPr>
            <w:r>
              <w:rPr/>
              <w:t>2,348,756 </w:t>
            </w:r>
          </w:p>
        </w:tc>
        <w:tc>
          <w:tcPr>
            <w:tcW w:w="1521" w:type="dxa"/>
            <w:tcBorders/>
            <w:shd w:fill="auto" w:val="clear"/>
            <w:vAlign w:val="bottom"/>
          </w:tcPr>
          <w:p>
            <w:pPr>
              <w:pStyle w:val="TableContents"/>
              <w:spacing w:before="0" w:after="0"/>
              <w:ind w:left="0" w:right="0" w:hanging="0"/>
              <w:jc w:val="right"/>
              <w:rPr/>
            </w:pPr>
            <w:r>
              <w:rPr/>
              <w:t>1,376,230 </w:t>
            </w:r>
          </w:p>
        </w:tc>
      </w:tr>
      <w:tr>
        <w:trPr/>
        <w:tc>
          <w:tcPr>
            <w:tcW w:w="7147" w:type="dxa"/>
            <w:tcBorders/>
            <w:shd w:fill="auto" w:val="clear"/>
            <w:vAlign w:val="bottom"/>
          </w:tcPr>
          <w:p>
            <w:pPr>
              <w:pStyle w:val="TableContents"/>
              <w:spacing w:before="0" w:after="0"/>
              <w:ind w:left="0" w:right="0" w:hanging="0"/>
              <w:rPr/>
            </w:pPr>
            <w:r>
              <w:rPr/>
              <w:t>  </w:t>
            </w:r>
            <w:r>
              <w:rPr/>
              <w:t>Loans payable (Note 6)</w:t>
            </w:r>
          </w:p>
        </w:tc>
        <w:tc>
          <w:tcPr>
            <w:tcW w:w="1537" w:type="dxa"/>
            <w:tcBorders/>
            <w:shd w:fill="auto" w:val="clear"/>
            <w:vAlign w:val="bottom"/>
          </w:tcPr>
          <w:p>
            <w:pPr>
              <w:pStyle w:val="TableContents"/>
              <w:spacing w:before="0" w:after="0"/>
              <w:ind w:left="0" w:right="0" w:hanging="0"/>
              <w:jc w:val="right"/>
              <w:rPr/>
            </w:pPr>
            <w:r>
              <w:rPr/>
              <w:t>10,000 </w:t>
            </w:r>
          </w:p>
        </w:tc>
        <w:tc>
          <w:tcPr>
            <w:tcW w:w="1521" w:type="dxa"/>
            <w:tcBorders/>
            <w:shd w:fill="auto" w:val="clear"/>
            <w:vAlign w:val="bottom"/>
          </w:tcPr>
          <w:p>
            <w:pPr>
              <w:pStyle w:val="TableContents"/>
              <w:spacing w:before="0" w:after="0"/>
              <w:ind w:left="0" w:right="0" w:hanging="0"/>
              <w:jc w:val="right"/>
              <w:rPr/>
            </w:pPr>
            <w:r>
              <w:rPr/>
              <w:t>10,000 </w:t>
            </w:r>
          </w:p>
        </w:tc>
      </w:tr>
      <w:tr>
        <w:trPr/>
        <w:tc>
          <w:tcPr>
            <w:tcW w:w="7147" w:type="dxa"/>
            <w:tcBorders/>
            <w:shd w:fill="auto" w:val="clear"/>
            <w:vAlign w:val="bottom"/>
          </w:tcPr>
          <w:p>
            <w:pPr>
              <w:pStyle w:val="TableContents"/>
              <w:spacing w:before="0" w:after="0"/>
              <w:ind w:left="0" w:right="0" w:hanging="0"/>
              <w:rPr/>
            </w:pPr>
            <w:r>
              <w:rPr/>
              <w:t>  </w:t>
            </w:r>
            <w:r>
              <w:rPr/>
              <w:t>Promissory notes (Note 7)</w:t>
            </w:r>
          </w:p>
        </w:tc>
        <w:tc>
          <w:tcPr>
            <w:tcW w:w="1537" w:type="dxa"/>
            <w:tcBorders/>
            <w:shd w:fill="auto" w:val="clear"/>
            <w:vAlign w:val="bottom"/>
          </w:tcPr>
          <w:p>
            <w:pPr>
              <w:pStyle w:val="TableContents"/>
              <w:spacing w:before="0" w:after="0"/>
              <w:ind w:left="0" w:right="0" w:hanging="0"/>
              <w:jc w:val="right"/>
              <w:rPr/>
            </w:pPr>
            <w:r>
              <w:rPr/>
              <w:t>277,942 </w:t>
            </w:r>
          </w:p>
        </w:tc>
        <w:tc>
          <w:tcPr>
            <w:tcW w:w="1521" w:type="dxa"/>
            <w:tcBorders/>
            <w:shd w:fill="auto" w:val="clear"/>
            <w:vAlign w:val="bottom"/>
          </w:tcPr>
          <w:p>
            <w:pPr>
              <w:pStyle w:val="TableContents"/>
              <w:spacing w:before="0" w:after="0"/>
              <w:ind w:left="0" w:right="0" w:hanging="0"/>
              <w:jc w:val="right"/>
              <w:rPr/>
            </w:pPr>
            <w:r>
              <w:rPr/>
              <w:t>167,942 </w:t>
            </w:r>
          </w:p>
        </w:tc>
      </w:tr>
      <w:tr>
        <w:trPr/>
        <w:tc>
          <w:tcPr>
            <w:tcW w:w="7147"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Due to related parties (Note 8)</w:t>
            </w:r>
          </w:p>
        </w:tc>
        <w:tc>
          <w:tcPr>
            <w:tcW w:w="153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381,846 </w:t>
            </w:r>
          </w:p>
        </w:tc>
        <w:tc>
          <w:tcPr>
            <w:tcW w:w="152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373,346 </w:t>
            </w:r>
          </w:p>
        </w:tc>
      </w:tr>
      <w:tr>
        <w:trPr/>
        <w:tc>
          <w:tcPr>
            <w:tcW w:w="7147" w:type="dxa"/>
            <w:tcBorders/>
            <w:shd w:fill="auto" w:val="clear"/>
            <w:vAlign w:val="bottom"/>
          </w:tcPr>
          <w:p>
            <w:pPr>
              <w:pStyle w:val="TableContents"/>
              <w:pBdr/>
              <w:spacing w:before="0" w:after="0"/>
              <w:ind w:left="0" w:right="0" w:hanging="0"/>
              <w:rPr/>
            </w:pPr>
            <w:r>
              <w:rPr/>
              <w:t> </w:t>
            </w:r>
          </w:p>
        </w:tc>
        <w:tc>
          <w:tcPr>
            <w:tcW w:w="1537" w:type="dxa"/>
            <w:tcBorders/>
            <w:shd w:fill="auto" w:val="clear"/>
            <w:vAlign w:val="bottom"/>
          </w:tcPr>
          <w:p>
            <w:pPr>
              <w:pStyle w:val="TableContents"/>
              <w:spacing w:before="0" w:after="0"/>
              <w:ind w:left="0" w:right="0" w:hanging="0"/>
              <w:jc w:val="right"/>
              <w:rPr/>
            </w:pPr>
            <w:r>
              <w:rPr/>
              <w:t>5,252,702 </w:t>
            </w:r>
          </w:p>
        </w:tc>
        <w:tc>
          <w:tcPr>
            <w:tcW w:w="1521" w:type="dxa"/>
            <w:tcBorders/>
            <w:shd w:fill="auto" w:val="clear"/>
            <w:vAlign w:val="bottom"/>
          </w:tcPr>
          <w:p>
            <w:pPr>
              <w:pStyle w:val="TableContents"/>
              <w:spacing w:before="0" w:after="0"/>
              <w:ind w:left="0" w:right="0" w:hanging="0"/>
              <w:jc w:val="right"/>
              <w:rPr/>
            </w:pPr>
            <w:r>
              <w:rPr/>
              <w:t>6,129,893 </w:t>
            </w:r>
          </w:p>
        </w:tc>
      </w:tr>
      <w:tr>
        <w:trPr/>
        <w:tc>
          <w:tcPr>
            <w:tcW w:w="714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53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521"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b/>
              </w:rPr>
            </w:pPr>
            <w:r>
              <w:rPr>
                <w:b/>
              </w:rPr>
              <w:t>Stockholders Deficit</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pPr>
            <w:r>
              <w:rPr/>
              <w:t>  </w:t>
            </w:r>
            <w:r>
              <w:rPr/>
              <w:t>Capital stock (Note 9)</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pPr>
            <w:r>
              <w:rPr/>
              <w:t>    </w:t>
            </w:r>
            <w:r>
              <w:rPr/>
              <w:t>Common stock, $0.001 par value, 150,000,000 shares authorized</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shd w:fill="auto" w:val="clear"/>
            <w:vAlign w:val="bottom"/>
          </w:tcPr>
          <w:p>
            <w:pPr>
              <w:pStyle w:val="TableContents"/>
              <w:spacing w:before="0" w:after="0"/>
              <w:ind w:left="0" w:right="0" w:hanging="0"/>
              <w:rPr/>
            </w:pPr>
            <w:r>
              <w:rPr/>
              <w:t>    </w:t>
            </w:r>
            <w:r>
              <w:rPr/>
              <w:t>139,308,515 shares issued and outstanding (2012  76,402,958)</w:t>
            </w:r>
          </w:p>
        </w:tc>
        <w:tc>
          <w:tcPr>
            <w:tcW w:w="1537" w:type="dxa"/>
            <w:tcBorders/>
            <w:shd w:fill="auto" w:val="clear"/>
            <w:vAlign w:val="bottom"/>
          </w:tcPr>
          <w:p>
            <w:pPr>
              <w:pStyle w:val="TableContents"/>
              <w:spacing w:before="0" w:after="0"/>
              <w:ind w:left="0" w:right="0" w:hanging="0"/>
              <w:jc w:val="right"/>
              <w:rPr/>
            </w:pPr>
            <w:r>
              <w:rPr/>
              <w:t>142,410 </w:t>
            </w:r>
          </w:p>
        </w:tc>
        <w:tc>
          <w:tcPr>
            <w:tcW w:w="1521" w:type="dxa"/>
            <w:tcBorders/>
            <w:shd w:fill="auto" w:val="clear"/>
            <w:vAlign w:val="bottom"/>
          </w:tcPr>
          <w:p>
            <w:pPr>
              <w:pStyle w:val="TableContents"/>
              <w:spacing w:before="0" w:after="0"/>
              <w:ind w:left="0" w:right="0" w:hanging="0"/>
              <w:jc w:val="right"/>
              <w:rPr/>
            </w:pPr>
            <w:r>
              <w:rPr/>
              <w:t>76,404 </w:t>
            </w:r>
          </w:p>
        </w:tc>
      </w:tr>
      <w:tr>
        <w:trPr/>
        <w:tc>
          <w:tcPr>
            <w:tcW w:w="7147" w:type="dxa"/>
            <w:tcBorders/>
            <w:shd w:fill="auto" w:val="clear"/>
            <w:vAlign w:val="bottom"/>
          </w:tcPr>
          <w:p>
            <w:pPr>
              <w:pStyle w:val="TableContents"/>
              <w:spacing w:before="0" w:after="0"/>
              <w:ind w:left="0" w:right="0" w:hanging="0"/>
              <w:rPr/>
            </w:pPr>
            <w:r>
              <w:rPr/>
              <w:t>  </w:t>
            </w:r>
            <w:r>
              <w:rPr/>
              <w:t>Additional paid-in capital</w:t>
            </w:r>
          </w:p>
        </w:tc>
        <w:tc>
          <w:tcPr>
            <w:tcW w:w="1537" w:type="dxa"/>
            <w:tcBorders/>
            <w:shd w:fill="auto" w:val="clear"/>
            <w:vAlign w:val="bottom"/>
          </w:tcPr>
          <w:p>
            <w:pPr>
              <w:pStyle w:val="TableContents"/>
              <w:spacing w:before="0" w:after="0"/>
              <w:ind w:left="0" w:right="0" w:hanging="0"/>
              <w:jc w:val="right"/>
              <w:rPr/>
            </w:pPr>
            <w:r>
              <w:rPr/>
              <w:t>46,381,379 </w:t>
            </w:r>
          </w:p>
        </w:tc>
        <w:tc>
          <w:tcPr>
            <w:tcW w:w="1521" w:type="dxa"/>
            <w:tcBorders/>
            <w:shd w:fill="auto" w:val="clear"/>
            <w:vAlign w:val="bottom"/>
          </w:tcPr>
          <w:p>
            <w:pPr>
              <w:pStyle w:val="TableContents"/>
              <w:spacing w:before="0" w:after="0"/>
              <w:ind w:left="0" w:right="0" w:hanging="0"/>
              <w:jc w:val="right"/>
              <w:rPr/>
            </w:pPr>
            <w:r>
              <w:rPr/>
              <w:t>43,483,947 </w:t>
            </w:r>
          </w:p>
        </w:tc>
      </w:tr>
      <w:tr>
        <w:trPr/>
        <w:tc>
          <w:tcPr>
            <w:tcW w:w="7147" w:type="dxa"/>
            <w:tcBorders/>
            <w:shd w:fill="auto" w:val="clear"/>
            <w:vAlign w:val="bottom"/>
          </w:tcPr>
          <w:p>
            <w:pPr>
              <w:pStyle w:val="TableContents"/>
              <w:spacing w:before="0" w:after="0"/>
              <w:ind w:left="0" w:right="0" w:hanging="0"/>
              <w:rPr/>
            </w:pPr>
            <w:r>
              <w:rPr/>
              <w:t>  </w:t>
            </w:r>
            <w:r>
              <w:rPr/>
              <w:t>Shares and warrants to be issued (Note 9)</w:t>
            </w:r>
          </w:p>
        </w:tc>
        <w:tc>
          <w:tcPr>
            <w:tcW w:w="1537" w:type="dxa"/>
            <w:tcBorders/>
            <w:shd w:fill="auto" w:val="clear"/>
            <w:vAlign w:val="bottom"/>
          </w:tcPr>
          <w:p>
            <w:pPr>
              <w:pStyle w:val="TableContents"/>
              <w:spacing w:before="0" w:after="0"/>
              <w:ind w:left="0" w:right="0" w:hanging="0"/>
              <w:jc w:val="right"/>
              <w:rPr/>
            </w:pPr>
            <w:r>
              <w:rPr/>
              <w:t>384,343 </w:t>
            </w:r>
          </w:p>
        </w:tc>
        <w:tc>
          <w:tcPr>
            <w:tcW w:w="1521" w:type="dxa"/>
            <w:tcBorders/>
            <w:shd w:fill="auto" w:val="clear"/>
            <w:vAlign w:val="bottom"/>
          </w:tcPr>
          <w:p>
            <w:pPr>
              <w:pStyle w:val="TableContents"/>
              <w:spacing w:before="0" w:after="0"/>
              <w:ind w:left="0" w:right="0" w:hanging="0"/>
              <w:jc w:val="right"/>
              <w:rPr/>
            </w:pPr>
            <w:r>
              <w:rPr/>
              <w:t>352,859 </w:t>
            </w:r>
          </w:p>
        </w:tc>
      </w:tr>
      <w:tr>
        <w:trPr/>
        <w:tc>
          <w:tcPr>
            <w:tcW w:w="7147" w:type="dxa"/>
            <w:tcBorders/>
            <w:shd w:fill="auto" w:val="clear"/>
            <w:vAlign w:val="bottom"/>
          </w:tcPr>
          <w:p>
            <w:pPr>
              <w:pStyle w:val="TableContents"/>
              <w:spacing w:before="0" w:after="0"/>
              <w:ind w:left="0" w:right="0" w:hanging="0"/>
              <w:rPr/>
            </w:pPr>
            <w:r>
              <w:rPr/>
              <w:t>  </w:t>
            </w:r>
            <w:r>
              <w:rPr/>
              <w:t>Deficit accumulated during the development stage</w:t>
            </w:r>
          </w:p>
        </w:tc>
        <w:tc>
          <w:tcPr>
            <w:tcW w:w="1537" w:type="dxa"/>
            <w:tcBorders/>
            <w:shd w:fill="auto" w:val="clear"/>
            <w:vAlign w:val="bottom"/>
          </w:tcPr>
          <w:p>
            <w:pPr>
              <w:pStyle w:val="TableContents"/>
              <w:spacing w:before="0" w:after="0"/>
              <w:ind w:left="0" w:right="0" w:hanging="0"/>
              <w:jc w:val="right"/>
              <w:rPr/>
            </w:pPr>
            <w:r>
              <w:rPr/>
              <w:t>(51,950,968)</w:t>
            </w:r>
          </w:p>
        </w:tc>
        <w:tc>
          <w:tcPr>
            <w:tcW w:w="1521" w:type="dxa"/>
            <w:tcBorders/>
            <w:shd w:fill="auto" w:val="clear"/>
            <w:vAlign w:val="bottom"/>
          </w:tcPr>
          <w:p>
            <w:pPr>
              <w:pStyle w:val="TableContents"/>
              <w:spacing w:before="0" w:after="0"/>
              <w:ind w:left="0" w:right="0" w:hanging="0"/>
              <w:jc w:val="right"/>
              <w:rPr/>
            </w:pPr>
            <w:r>
              <w:rPr/>
              <w:t>(49,894,083)</w:t>
            </w:r>
          </w:p>
        </w:tc>
      </w:tr>
      <w:tr>
        <w:trPr/>
        <w:tc>
          <w:tcPr>
            <w:tcW w:w="7147"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Accumulated other comprehensive loss</w:t>
            </w:r>
          </w:p>
        </w:tc>
        <w:tc>
          <w:tcPr>
            <w:tcW w:w="153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(59,845)</w:t>
            </w:r>
          </w:p>
        </w:tc>
        <w:tc>
          <w:tcPr>
            <w:tcW w:w="152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(61,648)</w:t>
            </w:r>
          </w:p>
        </w:tc>
      </w:tr>
      <w:tr>
        <w:trPr/>
        <w:tc>
          <w:tcPr>
            <w:tcW w:w="7147"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153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(102,681)</w:t>
            </w:r>
          </w:p>
        </w:tc>
        <w:tc>
          <w:tcPr>
            <w:tcW w:w="152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(6,042,521)</w:t>
            </w:r>
          </w:p>
        </w:tc>
      </w:tr>
      <w:tr>
        <w:trPr/>
        <w:tc>
          <w:tcPr>
            <w:tcW w:w="7147" w:type="dxa"/>
            <w:tcBorders/>
            <w:shd w:fill="auto" w:val="clear"/>
            <w:vAlign w:val="bottom"/>
          </w:tcPr>
          <w:p>
            <w:pPr>
              <w:pStyle w:val="TableContents"/>
              <w:pBdr/>
              <w:spacing w:before="0" w:after="0"/>
              <w:ind w:left="0" w:right="0" w:hanging="0"/>
              <w:rPr/>
            </w:pPr>
            <w:r>
              <w:rPr/>
              <w:t> </w:t>
            </w:r>
          </w:p>
        </w:tc>
        <w:tc>
          <w:tcPr>
            <w:tcW w:w="1537" w:type="dxa"/>
            <w:tcBorders/>
            <w:shd w:fill="auto" w:val="clear"/>
            <w:vAlign w:val="bottom"/>
          </w:tcPr>
          <w:p>
            <w:pPr>
              <w:pStyle w:val="TableContents"/>
              <w:pBdr/>
              <w:spacing w:before="0" w:after="0"/>
              <w:ind w:left="0" w:right="0" w:hanging="0"/>
              <w:rPr/>
            </w:pPr>
            <w:r>
              <w:rPr/>
              <w:t> </w:t>
            </w:r>
          </w:p>
        </w:tc>
        <w:tc>
          <w:tcPr>
            <w:tcW w:w="1521" w:type="dxa"/>
            <w:tcBorders/>
            <w:shd w:fill="auto" w:val="clear"/>
            <w:vAlign w:val="bottom"/>
          </w:tcPr>
          <w:p>
            <w:pPr>
              <w:pStyle w:val="TableContents"/>
              <w:pBdr/>
              <w:spacing w:before="0" w:after="0"/>
              <w:ind w:left="0" w:right="0" w:hanging="0"/>
              <w:rPr/>
            </w:pPr>
            <w:r>
              <w:rPr/>
              <w:t> </w:t>
            </w:r>
          </w:p>
        </w:tc>
      </w:tr>
      <w:tr>
        <w:trPr/>
        <w:tc>
          <w:tcPr>
            <w:tcW w:w="7147"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153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150,021 </w:t>
            </w:r>
          </w:p>
        </w:tc>
        <w:tc>
          <w:tcPr>
            <w:tcW w:w="152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87,372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b/>
        </w:rPr>
        <w:t>CONTINGENCIES AND COMMITMENTS</w:t>
      </w:r>
      <w:r>
        <w:rPr/>
        <w:t xml:space="preserve"> (Notes 1, 3, 5 and 11)</w:t>
      </w:r>
    </w:p>
    <w:p>
      <w:pPr>
        <w:pStyle w:val="TextBody"/>
        <w:spacing w:before="0" w:after="0"/>
        <w:ind w:left="0" w:right="0" w:hanging="0"/>
        <w:jc w:val="both"/>
        <w:rPr/>
      </w:pPr>
      <w:r>
        <w:rPr/>
      </w:r>
    </w:p>
    <w:p>
      <w:pPr>
        <w:pStyle w:val="TextBody"/>
        <w:spacing w:before="0" w:after="0"/>
        <w:ind w:left="0" w:right="0" w:hanging="0"/>
        <w:jc w:val="center"/>
        <w:rPr/>
      </w:pPr>
      <w:r>
        <w:rPr/>
        <w:t>The accompanying notes are an integral part of these interim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center"/>
        <w:rPr>
          <w:b/>
        </w:rPr>
      </w:pPr>
      <w:r>
        <w:rPr>
          <w:b/>
        </w:rPr>
        <w:t>TAPIMMUNE INC.</w:t>
      </w:r>
    </w:p>
    <w:p>
      <w:pPr>
        <w:pStyle w:val="TextBody"/>
        <w:spacing w:before="0" w:after="0"/>
        <w:ind w:left="0" w:right="0" w:hanging="0"/>
        <w:jc w:val="center"/>
        <w:rPr/>
      </w:pPr>
      <w:r>
        <w:rPr/>
        <w:t>(A Development Stage Company)</w:t>
      </w:r>
    </w:p>
    <w:p>
      <w:pPr>
        <w:pStyle w:val="TextBody"/>
        <w:spacing w:before="0" w:after="0"/>
        <w:ind w:left="0" w:right="0" w:hanging="0"/>
        <w:jc w:val="center"/>
        <w:rPr>
          <w:b/>
        </w:rPr>
      </w:pPr>
      <w:r>
        <w:rPr>
          <w:b/>
        </w:rPr>
        <w:t>INTERIM CONSOLIDATED STATEMENTS OF OPERATIONS</w:t>
      </w:r>
    </w:p>
    <w:p>
      <w:pPr>
        <w:pStyle w:val="TextBody"/>
        <w:spacing w:before="0" w:after="0"/>
        <w:ind w:left="0" w:right="0" w:hanging="0"/>
        <w:jc w:val="center"/>
        <w:rPr>
          <w:b/>
        </w:rPr>
      </w:pPr>
      <w:r>
        <w:rPr>
          <w:b/>
        </w:rPr>
        <w:t>(UNAUDITED)</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4067"/>
        <w:gridCol w:w="1092"/>
        <w:gridCol w:w="1092"/>
        <w:gridCol w:w="1272"/>
        <w:gridCol w:w="1272"/>
        <w:gridCol w:w="1410"/>
      </w:tblGrid>
      <w:tr>
        <w:trPr/>
        <w:tc>
          <w:tcPr>
            <w:tcW w:w="4067"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r>
      <w:tr>
        <w:trPr/>
        <w:tc>
          <w:tcPr>
            <w:tcW w:w="4067" w:type="dxa"/>
            <w:tcBorders>
              <w:top w:val="single" w:sz="12" w:space="0" w:color="000000"/>
            </w:tcBorders>
            <w:shd w:fill="auto" w:val="clear"/>
            <w:tcMar>
              <w:top w:w="28" w:type="dxa"/>
            </w:tcMar>
            <w:vAlign w:val="bottom"/>
          </w:tcPr>
          <w:p>
            <w:pPr>
              <w:pStyle w:val="TableContents"/>
              <w:pBdr/>
              <w:spacing w:before="0" w:after="0"/>
              <w:ind w:left="0" w:right="0" w:hanging="0"/>
              <w:rPr/>
            </w:pPr>
            <w:r>
              <w:rPr/>
              <w:t> </w:t>
            </w:r>
          </w:p>
        </w:tc>
        <w:tc>
          <w:tcPr>
            <w:tcW w:w="2184" w:type="dxa"/>
            <w:gridSpan w:val="2"/>
            <w:tcBorders>
              <w:top w:val="single" w:sz="12" w:space="0" w:color="000000"/>
            </w:tcBorders>
            <w:shd w:fill="auto" w:val="clear"/>
            <w:tcMar>
              <w:top w:w="28" w:type="dxa"/>
            </w:tcMar>
            <w:vAlign w:val="bottom"/>
          </w:tcPr>
          <w:p>
            <w:pPr>
              <w:pStyle w:val="TableContents"/>
              <w:spacing w:before="0" w:after="0"/>
              <w:ind w:left="0" w:right="0" w:hanging="0"/>
              <w:jc w:val="center"/>
              <w:rPr/>
            </w:pPr>
            <w:r>
              <w:rPr/>
              <w:t>Three Months Ended</w:t>
            </w:r>
          </w:p>
          <w:p>
            <w:pPr>
              <w:pStyle w:val="TableContents"/>
              <w:spacing w:before="0" w:after="0"/>
              <w:ind w:left="0" w:right="0" w:hanging="0"/>
              <w:jc w:val="center"/>
              <w:rPr/>
            </w:pPr>
            <w:r>
              <w:rPr/>
              <w:t>September 30,</w:t>
            </w:r>
          </w:p>
        </w:tc>
        <w:tc>
          <w:tcPr>
            <w:tcW w:w="2544" w:type="dxa"/>
            <w:gridSpan w:val="2"/>
            <w:tcBorders>
              <w:top w:val="single" w:sz="12" w:space="0" w:color="000000"/>
            </w:tcBorders>
            <w:shd w:fill="auto" w:val="clear"/>
            <w:tcMar>
              <w:top w:w="28" w:type="dxa"/>
            </w:tcMar>
            <w:vAlign w:val="bottom"/>
          </w:tcPr>
          <w:p>
            <w:pPr>
              <w:pStyle w:val="TableContents"/>
              <w:spacing w:before="0" w:after="0"/>
              <w:ind w:left="0" w:right="0" w:hanging="0"/>
              <w:jc w:val="center"/>
              <w:rPr/>
            </w:pPr>
            <w:r>
              <w:rPr/>
              <w:t>Nine Months Ended</w:t>
            </w:r>
          </w:p>
          <w:p>
            <w:pPr>
              <w:pStyle w:val="TableContents"/>
              <w:spacing w:before="0" w:after="0"/>
              <w:ind w:left="0" w:right="0" w:hanging="0"/>
              <w:jc w:val="center"/>
              <w:rPr/>
            </w:pPr>
            <w:r>
              <w:rPr/>
              <w:t>September 30,</w:t>
            </w:r>
          </w:p>
        </w:tc>
        <w:tc>
          <w:tcPr>
            <w:tcW w:w="1410" w:type="dxa"/>
            <w:tcBorders>
              <w:top w:val="single" w:sz="12" w:space="0" w:color="000000"/>
            </w:tcBorders>
            <w:shd w:fill="auto" w:val="clear"/>
            <w:tcMar>
              <w:top w:w="28" w:type="dxa"/>
            </w:tcMar>
            <w:vAlign w:val="bottom"/>
          </w:tcPr>
          <w:p>
            <w:pPr>
              <w:pStyle w:val="TableContents"/>
              <w:spacing w:before="0" w:after="0"/>
              <w:ind w:left="0" w:right="0" w:hanging="0"/>
              <w:jc w:val="center"/>
              <w:rPr/>
            </w:pPr>
            <w:r>
              <w:rPr/>
              <w:t>July 27, 1999</w:t>
            </w:r>
          </w:p>
          <w:p>
            <w:pPr>
              <w:pStyle w:val="TableContents"/>
              <w:spacing w:before="0" w:after="0"/>
              <w:ind w:left="0" w:right="0" w:hanging="0"/>
              <w:jc w:val="center"/>
              <w:rPr/>
            </w:pPr>
            <w:r>
              <w:rPr/>
              <w:t>(inception) to</w:t>
            </w:r>
          </w:p>
          <w:p>
            <w:pPr>
              <w:pStyle w:val="TableContents"/>
              <w:spacing w:before="0" w:after="0"/>
              <w:ind w:left="0" w:right="0" w:hanging="0"/>
              <w:jc w:val="center"/>
              <w:rPr/>
            </w:pPr>
            <w:r>
              <w:rPr/>
              <w:t>September 30,</w:t>
            </w:r>
          </w:p>
        </w:tc>
      </w:tr>
      <w:tr>
        <w:trPr/>
        <w:tc>
          <w:tcPr>
            <w:tcW w:w="4067"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spacing w:before="0" w:after="0"/>
              <w:ind w:left="0" w:right="0" w:hanging="0"/>
              <w:jc w:val="center"/>
              <w:rPr/>
            </w:pPr>
            <w:r>
              <w:rPr/>
              <w:t>2013</w:t>
            </w:r>
          </w:p>
        </w:tc>
        <w:tc>
          <w:tcPr>
            <w:tcW w:w="1092" w:type="dxa"/>
            <w:tcBorders/>
            <w:shd w:fill="auto" w:val="clear"/>
            <w:vAlign w:val="bottom"/>
          </w:tcPr>
          <w:p>
            <w:pPr>
              <w:pStyle w:val="TableContents"/>
              <w:spacing w:before="0" w:after="0"/>
              <w:ind w:left="0" w:right="0" w:hanging="0"/>
              <w:jc w:val="center"/>
              <w:rPr/>
            </w:pPr>
            <w:r>
              <w:rPr/>
              <w:t>2012</w:t>
            </w:r>
          </w:p>
        </w:tc>
        <w:tc>
          <w:tcPr>
            <w:tcW w:w="1272" w:type="dxa"/>
            <w:tcBorders/>
            <w:shd w:fill="auto" w:val="clear"/>
            <w:vAlign w:val="bottom"/>
          </w:tcPr>
          <w:p>
            <w:pPr>
              <w:pStyle w:val="TableContents"/>
              <w:spacing w:before="0" w:after="0"/>
              <w:ind w:left="0" w:right="0" w:hanging="0"/>
              <w:jc w:val="center"/>
              <w:rPr/>
            </w:pPr>
            <w:r>
              <w:rPr/>
              <w:t>2013</w:t>
            </w:r>
          </w:p>
        </w:tc>
        <w:tc>
          <w:tcPr>
            <w:tcW w:w="1272" w:type="dxa"/>
            <w:tcBorders/>
            <w:shd w:fill="auto" w:val="clear"/>
            <w:vAlign w:val="bottom"/>
          </w:tcPr>
          <w:p>
            <w:pPr>
              <w:pStyle w:val="TableContents"/>
              <w:spacing w:before="0" w:after="0"/>
              <w:ind w:left="0" w:right="0" w:hanging="0"/>
              <w:jc w:val="center"/>
              <w:rPr/>
            </w:pPr>
            <w:r>
              <w:rPr/>
              <w:t>2012</w:t>
            </w:r>
          </w:p>
        </w:tc>
        <w:tc>
          <w:tcPr>
            <w:tcW w:w="1410" w:type="dxa"/>
            <w:tcBorders/>
            <w:shd w:fill="auto" w:val="clear"/>
            <w:vAlign w:val="bottom"/>
          </w:tcPr>
          <w:p>
            <w:pPr>
              <w:pStyle w:val="TableContents"/>
              <w:spacing w:before="0" w:after="0"/>
              <w:ind w:left="0" w:right="0" w:hanging="0"/>
              <w:jc w:val="center"/>
              <w:rPr/>
            </w:pPr>
            <w:r>
              <w:rPr/>
              <w:t>2013</w:t>
            </w:r>
          </w:p>
        </w:tc>
      </w:tr>
      <w:tr>
        <w:trPr/>
        <w:tc>
          <w:tcPr>
            <w:tcW w:w="406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09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09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7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7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410"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4067" w:type="dxa"/>
            <w:tcBorders/>
            <w:shd w:fill="auto" w:val="clear"/>
            <w:vAlign w:val="bottom"/>
          </w:tcPr>
          <w:p>
            <w:pPr>
              <w:pStyle w:val="TableContents"/>
              <w:spacing w:before="0" w:after="0"/>
              <w:ind w:left="0" w:right="0" w:hanging="0"/>
              <w:rPr>
                <w:b/>
              </w:rPr>
            </w:pPr>
            <w:r>
              <w:rPr>
                <w:b/>
              </w:rPr>
              <w:t>Expenses</w:t>
            </w:r>
          </w:p>
        </w:tc>
        <w:tc>
          <w:tcPr>
            <w:tcW w:w="1092"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410" w:type="dxa"/>
            <w:tcBorders/>
            <w:shd w:fill="auto" w:val="clear"/>
            <w:vAlign w:val="bottom"/>
          </w:tcPr>
          <w:p>
            <w:pPr>
              <w:pStyle w:val="TableContents"/>
              <w:pBdr/>
              <w:spacing w:before="0" w:after="0"/>
              <w:ind w:left="0" w:right="0" w:hanging="0"/>
              <w:rPr/>
            </w:pPr>
            <w:r>
              <w:rPr/>
              <w:t> </w:t>
            </w:r>
          </w:p>
        </w:tc>
      </w:tr>
      <w:tr>
        <w:trPr/>
        <w:tc>
          <w:tcPr>
            <w:tcW w:w="4067" w:type="dxa"/>
            <w:tcBorders/>
            <w:shd w:fill="auto" w:val="clear"/>
            <w:vAlign w:val="bottom"/>
          </w:tcPr>
          <w:p>
            <w:pPr>
              <w:pStyle w:val="TableContents"/>
              <w:spacing w:before="0" w:after="0"/>
              <w:ind w:left="0" w:right="0" w:hanging="0"/>
              <w:rPr/>
            </w:pPr>
            <w:r>
              <w:rPr/>
              <w:t>  </w:t>
            </w:r>
            <w:r>
              <w:rPr/>
              <w:t>Consulting fees</w:t>
            </w:r>
          </w:p>
        </w:tc>
        <w:tc>
          <w:tcPr>
            <w:tcW w:w="1092" w:type="dxa"/>
            <w:tcBorders/>
            <w:shd w:fill="auto" w:val="clear"/>
            <w:vAlign w:val="bottom"/>
          </w:tcPr>
          <w:p>
            <w:pPr>
              <w:pStyle w:val="TableContents"/>
              <w:spacing w:before="0" w:after="0"/>
              <w:ind w:left="0" w:right="0" w:hanging="0"/>
              <w:jc w:val="right"/>
              <w:rPr/>
            </w:pPr>
            <w:r>
              <w:rPr/>
              <w:t>$  51,000 </w:t>
            </w:r>
          </w:p>
        </w:tc>
        <w:tc>
          <w:tcPr>
            <w:tcW w:w="1092" w:type="dxa"/>
            <w:tcBorders/>
            <w:shd w:fill="auto" w:val="clear"/>
            <w:vAlign w:val="bottom"/>
          </w:tcPr>
          <w:p>
            <w:pPr>
              <w:pStyle w:val="TableContents"/>
              <w:spacing w:before="0" w:after="0"/>
              <w:ind w:left="0" w:right="0" w:hanging="0"/>
              <w:jc w:val="right"/>
              <w:rPr/>
            </w:pPr>
            <w:r>
              <w:rPr/>
              <w:t>$  57,260 </w:t>
            </w:r>
          </w:p>
        </w:tc>
        <w:tc>
          <w:tcPr>
            <w:tcW w:w="1272" w:type="dxa"/>
            <w:tcBorders/>
            <w:shd w:fill="auto" w:val="clear"/>
            <w:vAlign w:val="bottom"/>
          </w:tcPr>
          <w:p>
            <w:pPr>
              <w:pStyle w:val="TableContents"/>
              <w:spacing w:before="0" w:after="0"/>
              <w:ind w:left="0" w:right="0" w:hanging="0"/>
              <w:jc w:val="right"/>
              <w:rPr/>
            </w:pPr>
            <w:r>
              <w:rPr/>
              <w:t>$  117,367 </w:t>
            </w:r>
          </w:p>
        </w:tc>
        <w:tc>
          <w:tcPr>
            <w:tcW w:w="1272" w:type="dxa"/>
            <w:tcBorders/>
            <w:shd w:fill="auto" w:val="clear"/>
            <w:vAlign w:val="bottom"/>
          </w:tcPr>
          <w:p>
            <w:pPr>
              <w:pStyle w:val="TableContents"/>
              <w:spacing w:before="0" w:after="0"/>
              <w:ind w:left="0" w:right="0" w:hanging="0"/>
              <w:jc w:val="right"/>
              <w:rPr/>
            </w:pPr>
            <w:r>
              <w:rPr/>
              <w:t>$  119,790 </w:t>
            </w:r>
          </w:p>
        </w:tc>
        <w:tc>
          <w:tcPr>
            <w:tcW w:w="1410" w:type="dxa"/>
            <w:tcBorders/>
            <w:shd w:fill="auto" w:val="clear"/>
            <w:vAlign w:val="bottom"/>
          </w:tcPr>
          <w:p>
            <w:pPr>
              <w:pStyle w:val="TableContents"/>
              <w:spacing w:before="0" w:after="0"/>
              <w:ind w:left="0" w:right="0" w:hanging="0"/>
              <w:jc w:val="right"/>
              <w:rPr/>
            </w:pPr>
            <w:r>
              <w:rPr/>
              <w:t>$  2,338,867 </w:t>
            </w:r>
          </w:p>
        </w:tc>
      </w:tr>
      <w:tr>
        <w:trPr/>
        <w:tc>
          <w:tcPr>
            <w:tcW w:w="4067" w:type="dxa"/>
            <w:tcBorders/>
            <w:shd w:fill="auto" w:val="clear"/>
            <w:vAlign w:val="bottom"/>
          </w:tcPr>
          <w:p>
            <w:pPr>
              <w:pStyle w:val="TableContents"/>
              <w:spacing w:before="0" w:after="0"/>
              <w:ind w:left="0" w:right="0" w:hanging="0"/>
              <w:rPr/>
            </w:pPr>
            <w:r>
              <w:rPr/>
              <w:t>  </w:t>
            </w:r>
            <w:r>
              <w:rPr/>
              <w:t>Consulting fees  stock-based (Note 9)</w:t>
            </w:r>
          </w:p>
        </w:tc>
        <w:tc>
          <w:tcPr>
            <w:tcW w:w="1092" w:type="dxa"/>
            <w:tcBorders/>
            <w:shd w:fill="auto" w:val="clear"/>
            <w:vAlign w:val="bottom"/>
          </w:tcPr>
          <w:p>
            <w:pPr>
              <w:pStyle w:val="TableContents"/>
              <w:spacing w:before="0" w:after="0"/>
              <w:ind w:left="0" w:right="0" w:hanging="0"/>
              <w:jc w:val="right"/>
              <w:rPr/>
            </w:pPr>
            <w:r>
              <w:rPr/>
              <w:t>6,679 </w:t>
            </w:r>
          </w:p>
        </w:tc>
        <w:tc>
          <w:tcPr>
            <w:tcW w:w="1092" w:type="dxa"/>
            <w:tcBorders/>
            <w:shd w:fill="auto" w:val="clear"/>
            <w:vAlign w:val="bottom"/>
          </w:tcPr>
          <w:p>
            <w:pPr>
              <w:pStyle w:val="TableContents"/>
              <w:spacing w:before="0" w:after="0"/>
              <w:ind w:left="0" w:right="0" w:hanging="0"/>
              <w:jc w:val="right"/>
              <w:rPr/>
            </w:pPr>
            <w:r>
              <w:rPr/>
              <w:t>109,728 </w:t>
            </w:r>
          </w:p>
        </w:tc>
        <w:tc>
          <w:tcPr>
            <w:tcW w:w="1272" w:type="dxa"/>
            <w:tcBorders/>
            <w:shd w:fill="auto" w:val="clear"/>
            <w:vAlign w:val="bottom"/>
          </w:tcPr>
          <w:p>
            <w:pPr>
              <w:pStyle w:val="TableContents"/>
              <w:spacing w:before="0" w:after="0"/>
              <w:ind w:left="0" w:right="0" w:hanging="0"/>
              <w:jc w:val="right"/>
              <w:rPr/>
            </w:pPr>
            <w:r>
              <w:rPr/>
              <w:t>90,447 </w:t>
            </w:r>
          </w:p>
        </w:tc>
        <w:tc>
          <w:tcPr>
            <w:tcW w:w="1272" w:type="dxa"/>
            <w:tcBorders/>
            <w:shd w:fill="auto" w:val="clear"/>
            <w:vAlign w:val="bottom"/>
          </w:tcPr>
          <w:p>
            <w:pPr>
              <w:pStyle w:val="TableContents"/>
              <w:spacing w:before="0" w:after="0"/>
              <w:ind w:left="0" w:right="0" w:hanging="0"/>
              <w:jc w:val="right"/>
              <w:rPr/>
            </w:pPr>
            <w:r>
              <w:rPr/>
              <w:t>2,283,561 </w:t>
            </w:r>
          </w:p>
        </w:tc>
        <w:tc>
          <w:tcPr>
            <w:tcW w:w="1410" w:type="dxa"/>
            <w:tcBorders/>
            <w:shd w:fill="auto" w:val="clear"/>
            <w:vAlign w:val="bottom"/>
          </w:tcPr>
          <w:p>
            <w:pPr>
              <w:pStyle w:val="TableContents"/>
              <w:spacing w:before="0" w:after="0"/>
              <w:ind w:left="0" w:right="0" w:hanging="0"/>
              <w:jc w:val="right"/>
              <w:rPr/>
            </w:pPr>
            <w:r>
              <w:rPr/>
              <w:t>8,128,819 </w:t>
            </w:r>
          </w:p>
        </w:tc>
      </w:tr>
      <w:tr>
        <w:trPr/>
        <w:tc>
          <w:tcPr>
            <w:tcW w:w="4067" w:type="dxa"/>
            <w:tcBorders/>
            <w:shd w:fill="auto" w:val="clear"/>
            <w:vAlign w:val="bottom"/>
          </w:tcPr>
          <w:p>
            <w:pPr>
              <w:pStyle w:val="TableContents"/>
              <w:spacing w:before="0" w:after="0"/>
              <w:ind w:left="0" w:right="0" w:hanging="0"/>
              <w:rPr/>
            </w:pPr>
            <w:r>
              <w:rPr/>
              <w:t>  </w:t>
            </w:r>
            <w:r>
              <w:rPr/>
              <w:t>Depreciation</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213,227 </w:t>
            </w:r>
          </w:p>
        </w:tc>
      </w:tr>
      <w:tr>
        <w:trPr/>
        <w:tc>
          <w:tcPr>
            <w:tcW w:w="4067" w:type="dxa"/>
            <w:tcBorders/>
            <w:shd w:fill="auto" w:val="clear"/>
            <w:vAlign w:val="bottom"/>
          </w:tcPr>
          <w:p>
            <w:pPr>
              <w:pStyle w:val="TableContents"/>
              <w:spacing w:before="0" w:after="0"/>
              <w:ind w:left="0" w:right="0" w:hanging="0"/>
              <w:rPr/>
            </w:pPr>
            <w:r>
              <w:rPr/>
              <w:t>  </w:t>
            </w:r>
            <w:r>
              <w:rPr/>
              <w:t>General and administrative</w:t>
            </w:r>
          </w:p>
        </w:tc>
        <w:tc>
          <w:tcPr>
            <w:tcW w:w="1092" w:type="dxa"/>
            <w:tcBorders/>
            <w:shd w:fill="auto" w:val="clear"/>
            <w:vAlign w:val="bottom"/>
          </w:tcPr>
          <w:p>
            <w:pPr>
              <w:pStyle w:val="TableContents"/>
              <w:spacing w:before="0" w:after="0"/>
              <w:ind w:left="0" w:right="0" w:hanging="0"/>
              <w:jc w:val="right"/>
              <w:rPr/>
            </w:pPr>
            <w:r>
              <w:rPr/>
              <w:t>70,466 </w:t>
            </w:r>
          </w:p>
        </w:tc>
        <w:tc>
          <w:tcPr>
            <w:tcW w:w="1092" w:type="dxa"/>
            <w:tcBorders/>
            <w:shd w:fill="auto" w:val="clear"/>
            <w:vAlign w:val="bottom"/>
          </w:tcPr>
          <w:p>
            <w:pPr>
              <w:pStyle w:val="TableContents"/>
              <w:spacing w:before="0" w:after="0"/>
              <w:ind w:left="0" w:right="0" w:hanging="0"/>
              <w:jc w:val="right"/>
              <w:rPr/>
            </w:pPr>
            <w:r>
              <w:rPr/>
              <w:t>268,286 </w:t>
            </w:r>
          </w:p>
        </w:tc>
        <w:tc>
          <w:tcPr>
            <w:tcW w:w="1272" w:type="dxa"/>
            <w:tcBorders/>
            <w:shd w:fill="auto" w:val="clear"/>
            <w:vAlign w:val="bottom"/>
          </w:tcPr>
          <w:p>
            <w:pPr>
              <w:pStyle w:val="TableContents"/>
              <w:spacing w:before="0" w:after="0"/>
              <w:ind w:left="0" w:right="0" w:hanging="0"/>
              <w:jc w:val="right"/>
              <w:rPr/>
            </w:pPr>
            <w:r>
              <w:rPr/>
              <w:t>365,898 </w:t>
            </w:r>
          </w:p>
        </w:tc>
        <w:tc>
          <w:tcPr>
            <w:tcW w:w="1272" w:type="dxa"/>
            <w:tcBorders/>
            <w:shd w:fill="auto" w:val="clear"/>
            <w:vAlign w:val="bottom"/>
          </w:tcPr>
          <w:p>
            <w:pPr>
              <w:pStyle w:val="TableContents"/>
              <w:spacing w:before="0" w:after="0"/>
              <w:ind w:left="0" w:right="0" w:hanging="0"/>
              <w:jc w:val="right"/>
              <w:rPr/>
            </w:pPr>
            <w:r>
              <w:rPr/>
              <w:t>880,353 </w:t>
            </w:r>
          </w:p>
        </w:tc>
        <w:tc>
          <w:tcPr>
            <w:tcW w:w="1410" w:type="dxa"/>
            <w:tcBorders/>
            <w:shd w:fill="auto" w:val="clear"/>
            <w:vAlign w:val="bottom"/>
          </w:tcPr>
          <w:p>
            <w:pPr>
              <w:pStyle w:val="TableContents"/>
              <w:spacing w:before="0" w:after="0"/>
              <w:ind w:left="0" w:right="0" w:hanging="0"/>
              <w:jc w:val="right"/>
              <w:rPr/>
            </w:pPr>
            <w:r>
              <w:rPr/>
              <w:t>4,295,250 </w:t>
            </w:r>
          </w:p>
        </w:tc>
      </w:tr>
      <w:tr>
        <w:trPr/>
        <w:tc>
          <w:tcPr>
            <w:tcW w:w="4067" w:type="dxa"/>
            <w:tcBorders/>
            <w:shd w:fill="auto" w:val="clear"/>
            <w:vAlign w:val="bottom"/>
          </w:tcPr>
          <w:p>
            <w:pPr>
              <w:pStyle w:val="TableContents"/>
              <w:spacing w:before="0" w:after="0"/>
              <w:ind w:left="0" w:right="0" w:hanging="0"/>
              <w:rPr/>
            </w:pPr>
            <w:r>
              <w:rPr/>
              <w:t>  </w:t>
            </w:r>
            <w:r>
              <w:rPr/>
              <w:t>Interest and finance charges (Note 4)</w:t>
            </w:r>
          </w:p>
        </w:tc>
        <w:tc>
          <w:tcPr>
            <w:tcW w:w="1092" w:type="dxa"/>
            <w:tcBorders/>
            <w:shd w:fill="auto" w:val="clear"/>
            <w:vAlign w:val="bottom"/>
          </w:tcPr>
          <w:p>
            <w:pPr>
              <w:pStyle w:val="TableContents"/>
              <w:spacing w:before="0" w:after="0"/>
              <w:ind w:left="0" w:right="0" w:hanging="0"/>
              <w:jc w:val="right"/>
              <w:rPr/>
            </w:pPr>
            <w:r>
              <w:rPr/>
              <w:t>22,957 </w:t>
            </w:r>
          </w:p>
        </w:tc>
        <w:tc>
          <w:tcPr>
            <w:tcW w:w="1092" w:type="dxa"/>
            <w:tcBorders/>
            <w:shd w:fill="auto" w:val="clear"/>
            <w:vAlign w:val="bottom"/>
          </w:tcPr>
          <w:p>
            <w:pPr>
              <w:pStyle w:val="TableContents"/>
              <w:spacing w:before="0" w:after="0"/>
              <w:ind w:left="0" w:right="0" w:hanging="0"/>
              <w:jc w:val="right"/>
              <w:rPr/>
            </w:pPr>
            <w:r>
              <w:rPr/>
              <w:t>214,811 </w:t>
            </w:r>
          </w:p>
        </w:tc>
        <w:tc>
          <w:tcPr>
            <w:tcW w:w="1272" w:type="dxa"/>
            <w:tcBorders/>
            <w:shd w:fill="auto" w:val="clear"/>
            <w:vAlign w:val="bottom"/>
          </w:tcPr>
          <w:p>
            <w:pPr>
              <w:pStyle w:val="TableContents"/>
              <w:spacing w:before="0" w:after="0"/>
              <w:ind w:left="0" w:right="0" w:hanging="0"/>
              <w:jc w:val="right"/>
              <w:rPr/>
            </w:pPr>
            <w:r>
              <w:rPr/>
              <w:t>139,840 </w:t>
            </w:r>
          </w:p>
        </w:tc>
        <w:tc>
          <w:tcPr>
            <w:tcW w:w="1272" w:type="dxa"/>
            <w:tcBorders/>
            <w:shd w:fill="auto" w:val="clear"/>
            <w:vAlign w:val="bottom"/>
          </w:tcPr>
          <w:p>
            <w:pPr>
              <w:pStyle w:val="TableContents"/>
              <w:spacing w:before="0" w:after="0"/>
              <w:ind w:left="0" w:right="0" w:hanging="0"/>
              <w:jc w:val="right"/>
              <w:rPr/>
            </w:pPr>
            <w:r>
              <w:rPr/>
              <w:t>411,783 </w:t>
            </w:r>
          </w:p>
        </w:tc>
        <w:tc>
          <w:tcPr>
            <w:tcW w:w="1410" w:type="dxa"/>
            <w:tcBorders/>
            <w:shd w:fill="auto" w:val="clear"/>
            <w:vAlign w:val="bottom"/>
          </w:tcPr>
          <w:p>
            <w:pPr>
              <w:pStyle w:val="TableContents"/>
              <w:spacing w:before="0" w:after="0"/>
              <w:ind w:left="0" w:right="0" w:hanging="0"/>
              <w:jc w:val="right"/>
              <w:rPr/>
            </w:pPr>
            <w:r>
              <w:rPr/>
              <w:t>6,715,927 </w:t>
            </w:r>
          </w:p>
        </w:tc>
      </w:tr>
      <w:tr>
        <w:trPr/>
        <w:tc>
          <w:tcPr>
            <w:tcW w:w="4067" w:type="dxa"/>
            <w:tcBorders/>
            <w:shd w:fill="auto" w:val="clear"/>
            <w:vAlign w:val="bottom"/>
          </w:tcPr>
          <w:p>
            <w:pPr>
              <w:pStyle w:val="TableContents"/>
              <w:spacing w:before="0" w:after="0"/>
              <w:ind w:left="0" w:right="0" w:hanging="0"/>
              <w:rPr/>
            </w:pPr>
            <w:r>
              <w:rPr/>
              <w:t>  </w:t>
            </w:r>
            <w:r>
              <w:rPr/>
              <w:t>Management fees (Note 8)</w:t>
            </w:r>
          </w:p>
        </w:tc>
        <w:tc>
          <w:tcPr>
            <w:tcW w:w="1092" w:type="dxa"/>
            <w:tcBorders/>
            <w:shd w:fill="auto" w:val="clear"/>
            <w:vAlign w:val="bottom"/>
          </w:tcPr>
          <w:p>
            <w:pPr>
              <w:pStyle w:val="TableContents"/>
              <w:spacing w:before="0" w:after="0"/>
              <w:ind w:left="0" w:right="0" w:hanging="0"/>
              <w:jc w:val="right"/>
              <w:rPr/>
            </w:pPr>
            <w:r>
              <w:rPr/>
              <w:t>58,500 </w:t>
            </w:r>
          </w:p>
        </w:tc>
        <w:tc>
          <w:tcPr>
            <w:tcW w:w="1092" w:type="dxa"/>
            <w:tcBorders/>
            <w:shd w:fill="auto" w:val="clear"/>
            <w:vAlign w:val="bottom"/>
          </w:tcPr>
          <w:p>
            <w:pPr>
              <w:pStyle w:val="TableContents"/>
              <w:spacing w:before="0" w:after="0"/>
              <w:ind w:left="0" w:right="0" w:hanging="0"/>
              <w:jc w:val="right"/>
              <w:rPr/>
            </w:pPr>
            <w:r>
              <w:rPr/>
              <w:t>22,500 </w:t>
            </w:r>
          </w:p>
        </w:tc>
        <w:tc>
          <w:tcPr>
            <w:tcW w:w="1272" w:type="dxa"/>
            <w:tcBorders/>
            <w:shd w:fill="auto" w:val="clear"/>
            <w:vAlign w:val="bottom"/>
          </w:tcPr>
          <w:p>
            <w:pPr>
              <w:pStyle w:val="TableContents"/>
              <w:spacing w:before="0" w:after="0"/>
              <w:ind w:left="0" w:right="0" w:hanging="0"/>
              <w:jc w:val="right"/>
              <w:rPr/>
            </w:pPr>
            <w:r>
              <w:rPr/>
              <w:t>175,500 </w:t>
            </w:r>
          </w:p>
        </w:tc>
        <w:tc>
          <w:tcPr>
            <w:tcW w:w="1272" w:type="dxa"/>
            <w:tcBorders/>
            <w:shd w:fill="auto" w:val="clear"/>
            <w:vAlign w:val="bottom"/>
          </w:tcPr>
          <w:p>
            <w:pPr>
              <w:pStyle w:val="TableContents"/>
              <w:spacing w:before="0" w:after="0"/>
              <w:ind w:left="0" w:right="0" w:hanging="0"/>
              <w:jc w:val="right"/>
              <w:rPr/>
            </w:pPr>
            <w:r>
              <w:rPr/>
              <w:t>125,100 </w:t>
            </w:r>
          </w:p>
        </w:tc>
        <w:tc>
          <w:tcPr>
            <w:tcW w:w="1410" w:type="dxa"/>
            <w:tcBorders/>
            <w:shd w:fill="auto" w:val="clear"/>
            <w:vAlign w:val="bottom"/>
          </w:tcPr>
          <w:p>
            <w:pPr>
              <w:pStyle w:val="TableContents"/>
              <w:spacing w:before="0" w:after="0"/>
              <w:ind w:left="0" w:right="0" w:hanging="0"/>
              <w:jc w:val="right"/>
              <w:rPr/>
            </w:pPr>
            <w:r>
              <w:rPr/>
              <w:t>3,249,803 </w:t>
            </w:r>
          </w:p>
        </w:tc>
      </w:tr>
      <w:tr>
        <w:trPr/>
        <w:tc>
          <w:tcPr>
            <w:tcW w:w="4067" w:type="dxa"/>
            <w:tcBorders/>
            <w:shd w:fill="auto" w:val="clear"/>
            <w:vAlign w:val="bottom"/>
          </w:tcPr>
          <w:p>
            <w:pPr>
              <w:pStyle w:val="TableContents"/>
              <w:spacing w:before="0" w:after="0"/>
              <w:ind w:left="0" w:right="0" w:hanging="0"/>
              <w:rPr/>
            </w:pPr>
            <w:r>
              <w:rPr/>
              <w:t>  </w:t>
            </w:r>
            <w:r>
              <w:rPr/>
              <w:t>Management fees  stock-based</w:t>
            </w:r>
          </w:p>
          <w:p>
            <w:pPr>
              <w:pStyle w:val="TableContents"/>
              <w:spacing w:before="0" w:after="0"/>
              <w:ind w:left="0" w:right="0" w:hanging="0"/>
              <w:rPr/>
            </w:pPr>
            <w:r>
              <w:rPr/>
              <w:t>    </w:t>
            </w:r>
            <w:r>
              <w:rPr/>
              <w:t>(Notes 8 and 9)</w:t>
            </w:r>
          </w:p>
        </w:tc>
        <w:tc>
          <w:tcPr>
            <w:tcW w:w="1092" w:type="dxa"/>
            <w:tcBorders/>
            <w:shd w:fill="auto" w:val="clear"/>
            <w:vAlign w:val="bottom"/>
          </w:tcPr>
          <w:p>
            <w:pPr>
              <w:pStyle w:val="TableContents"/>
              <w:spacing w:before="0" w:after="0"/>
              <w:ind w:left="0" w:right="0" w:hanging="0"/>
              <w:jc w:val="right"/>
              <w:rPr/>
            </w:pPr>
            <w:r>
              <w:rPr/>
              <w:t>3,749 </w:t>
            </w:r>
          </w:p>
        </w:tc>
        <w:tc>
          <w:tcPr>
            <w:tcW w:w="1092" w:type="dxa"/>
            <w:tcBorders/>
            <w:shd w:fill="auto" w:val="clear"/>
            <w:vAlign w:val="bottom"/>
          </w:tcPr>
          <w:p>
            <w:pPr>
              <w:pStyle w:val="TableContents"/>
              <w:spacing w:before="0" w:after="0"/>
              <w:ind w:left="0" w:right="0" w:hanging="0"/>
              <w:jc w:val="right"/>
              <w:rPr/>
            </w:pPr>
            <w:r>
              <w:rPr/>
              <w:t>31,334 </w:t>
            </w:r>
          </w:p>
        </w:tc>
        <w:tc>
          <w:tcPr>
            <w:tcW w:w="1272" w:type="dxa"/>
            <w:tcBorders/>
            <w:shd w:fill="auto" w:val="clear"/>
            <w:vAlign w:val="bottom"/>
          </w:tcPr>
          <w:p>
            <w:pPr>
              <w:pStyle w:val="TableContents"/>
              <w:spacing w:before="0" w:after="0"/>
              <w:ind w:left="0" w:right="0" w:hanging="0"/>
              <w:jc w:val="right"/>
              <w:rPr/>
            </w:pPr>
            <w:r>
              <w:rPr/>
              <w:t>31,238 </w:t>
            </w:r>
          </w:p>
        </w:tc>
        <w:tc>
          <w:tcPr>
            <w:tcW w:w="1272" w:type="dxa"/>
            <w:tcBorders/>
            <w:shd w:fill="auto" w:val="clear"/>
            <w:vAlign w:val="bottom"/>
          </w:tcPr>
          <w:p>
            <w:pPr>
              <w:pStyle w:val="TableContents"/>
              <w:spacing w:before="0" w:after="0"/>
              <w:ind w:left="0" w:right="0" w:hanging="0"/>
              <w:jc w:val="right"/>
              <w:rPr/>
            </w:pPr>
            <w:r>
              <w:rPr/>
              <w:t>146,960 </w:t>
            </w:r>
          </w:p>
        </w:tc>
        <w:tc>
          <w:tcPr>
            <w:tcW w:w="1410" w:type="dxa"/>
            <w:tcBorders/>
            <w:shd w:fill="auto" w:val="clear"/>
            <w:vAlign w:val="bottom"/>
          </w:tcPr>
          <w:p>
            <w:pPr>
              <w:pStyle w:val="TableContents"/>
              <w:spacing w:before="0" w:after="0"/>
              <w:ind w:left="0" w:right="0" w:hanging="0"/>
              <w:jc w:val="right"/>
              <w:rPr/>
            </w:pPr>
            <w:r>
              <w:rPr/>
              <w:t>4,480,236 </w:t>
            </w:r>
          </w:p>
        </w:tc>
      </w:tr>
      <w:tr>
        <w:trPr/>
        <w:tc>
          <w:tcPr>
            <w:tcW w:w="4067" w:type="dxa"/>
            <w:tcBorders/>
            <w:shd w:fill="auto" w:val="clear"/>
            <w:vAlign w:val="bottom"/>
          </w:tcPr>
          <w:p>
            <w:pPr>
              <w:pStyle w:val="TableContents"/>
              <w:spacing w:before="0" w:after="0"/>
              <w:ind w:left="0" w:right="0" w:hanging="0"/>
              <w:rPr/>
            </w:pPr>
            <w:r>
              <w:rPr/>
              <w:t>  </w:t>
            </w:r>
            <w:r>
              <w:rPr/>
              <w:t>Professional fees</w:t>
            </w:r>
          </w:p>
        </w:tc>
        <w:tc>
          <w:tcPr>
            <w:tcW w:w="1092" w:type="dxa"/>
            <w:tcBorders/>
            <w:shd w:fill="auto" w:val="clear"/>
            <w:vAlign w:val="bottom"/>
          </w:tcPr>
          <w:p>
            <w:pPr>
              <w:pStyle w:val="TableContents"/>
              <w:spacing w:before="0" w:after="0"/>
              <w:ind w:left="0" w:right="0" w:hanging="0"/>
              <w:jc w:val="right"/>
              <w:rPr/>
            </w:pPr>
            <w:r>
              <w:rPr/>
              <w:t>69,938 </w:t>
            </w:r>
          </w:p>
        </w:tc>
        <w:tc>
          <w:tcPr>
            <w:tcW w:w="1092" w:type="dxa"/>
            <w:tcBorders/>
            <w:shd w:fill="auto" w:val="clear"/>
            <w:vAlign w:val="bottom"/>
          </w:tcPr>
          <w:p>
            <w:pPr>
              <w:pStyle w:val="TableContents"/>
              <w:spacing w:before="0" w:after="0"/>
              <w:ind w:left="0" w:right="0" w:hanging="0"/>
              <w:jc w:val="right"/>
              <w:rPr/>
            </w:pPr>
            <w:r>
              <w:rPr/>
              <w:t>21,757 </w:t>
            </w:r>
          </w:p>
        </w:tc>
        <w:tc>
          <w:tcPr>
            <w:tcW w:w="1272" w:type="dxa"/>
            <w:tcBorders/>
            <w:shd w:fill="auto" w:val="clear"/>
            <w:vAlign w:val="bottom"/>
          </w:tcPr>
          <w:p>
            <w:pPr>
              <w:pStyle w:val="TableContents"/>
              <w:spacing w:before="0" w:after="0"/>
              <w:ind w:left="0" w:right="0" w:hanging="0"/>
              <w:jc w:val="right"/>
              <w:rPr/>
            </w:pPr>
            <w:r>
              <w:rPr/>
              <w:t>455,226 </w:t>
            </w:r>
          </w:p>
        </w:tc>
        <w:tc>
          <w:tcPr>
            <w:tcW w:w="1272" w:type="dxa"/>
            <w:tcBorders/>
            <w:shd w:fill="auto" w:val="clear"/>
            <w:vAlign w:val="bottom"/>
          </w:tcPr>
          <w:p>
            <w:pPr>
              <w:pStyle w:val="TableContents"/>
              <w:spacing w:before="0" w:after="0"/>
              <w:ind w:left="0" w:right="0" w:hanging="0"/>
              <w:jc w:val="right"/>
              <w:rPr/>
            </w:pPr>
            <w:r>
              <w:rPr/>
              <w:t>208,866 </w:t>
            </w:r>
          </w:p>
        </w:tc>
        <w:tc>
          <w:tcPr>
            <w:tcW w:w="1410" w:type="dxa"/>
            <w:tcBorders/>
            <w:shd w:fill="auto" w:val="clear"/>
            <w:vAlign w:val="bottom"/>
          </w:tcPr>
          <w:p>
            <w:pPr>
              <w:pStyle w:val="TableContents"/>
              <w:spacing w:before="0" w:after="0"/>
              <w:ind w:left="0" w:right="0" w:hanging="0"/>
              <w:jc w:val="right"/>
              <w:rPr/>
            </w:pPr>
            <w:r>
              <w:rPr/>
              <w:t>5,871,335 </w:t>
            </w:r>
          </w:p>
        </w:tc>
      </w:tr>
      <w:tr>
        <w:trPr/>
        <w:tc>
          <w:tcPr>
            <w:tcW w:w="4067" w:type="dxa"/>
            <w:tcBorders/>
            <w:shd w:fill="auto" w:val="clear"/>
            <w:vAlign w:val="bottom"/>
          </w:tcPr>
          <w:p>
            <w:pPr>
              <w:pStyle w:val="TableContents"/>
              <w:spacing w:before="0" w:after="0"/>
              <w:ind w:left="0" w:right="0" w:hanging="0"/>
              <w:rPr/>
            </w:pPr>
            <w:r>
              <w:rPr/>
              <w:t>  </w:t>
            </w:r>
            <w:r>
              <w:rPr/>
              <w:t>Research and development (Note 8)</w:t>
            </w:r>
          </w:p>
        </w:tc>
        <w:tc>
          <w:tcPr>
            <w:tcW w:w="1092" w:type="dxa"/>
            <w:tcBorders/>
            <w:shd w:fill="auto" w:val="clear"/>
            <w:vAlign w:val="bottom"/>
          </w:tcPr>
          <w:p>
            <w:pPr>
              <w:pStyle w:val="TableContents"/>
              <w:spacing w:before="0" w:after="0"/>
              <w:ind w:left="0" w:right="0" w:hanging="0"/>
              <w:jc w:val="right"/>
              <w:rPr/>
            </w:pPr>
            <w:r>
              <w:rPr/>
              <w:t>30,000 </w:t>
            </w:r>
          </w:p>
        </w:tc>
        <w:tc>
          <w:tcPr>
            <w:tcW w:w="1092" w:type="dxa"/>
            <w:tcBorders/>
            <w:shd w:fill="auto" w:val="clear"/>
            <w:vAlign w:val="bottom"/>
          </w:tcPr>
          <w:p>
            <w:pPr>
              <w:pStyle w:val="TableContents"/>
              <w:spacing w:before="0" w:after="0"/>
              <w:ind w:left="0" w:right="0" w:hanging="0"/>
              <w:jc w:val="right"/>
              <w:rPr/>
            </w:pPr>
            <w:r>
              <w:rPr/>
              <w:t>71,061 </w:t>
            </w:r>
          </w:p>
        </w:tc>
        <w:tc>
          <w:tcPr>
            <w:tcW w:w="1272" w:type="dxa"/>
            <w:tcBorders/>
            <w:shd w:fill="auto" w:val="clear"/>
            <w:vAlign w:val="bottom"/>
          </w:tcPr>
          <w:p>
            <w:pPr>
              <w:pStyle w:val="TableContents"/>
              <w:spacing w:before="0" w:after="0"/>
              <w:ind w:left="0" w:right="0" w:hanging="0"/>
              <w:jc w:val="right"/>
              <w:rPr/>
            </w:pPr>
            <w:r>
              <w:rPr/>
              <w:t>218,778 </w:t>
            </w:r>
          </w:p>
        </w:tc>
        <w:tc>
          <w:tcPr>
            <w:tcW w:w="1272" w:type="dxa"/>
            <w:tcBorders/>
            <w:shd w:fill="auto" w:val="clear"/>
            <w:vAlign w:val="bottom"/>
          </w:tcPr>
          <w:p>
            <w:pPr>
              <w:pStyle w:val="TableContents"/>
              <w:spacing w:before="0" w:after="0"/>
              <w:ind w:left="0" w:right="0" w:hanging="0"/>
              <w:jc w:val="right"/>
              <w:rPr/>
            </w:pPr>
            <w:r>
              <w:rPr/>
              <w:t>432,289 </w:t>
            </w:r>
          </w:p>
        </w:tc>
        <w:tc>
          <w:tcPr>
            <w:tcW w:w="1410" w:type="dxa"/>
            <w:tcBorders/>
            <w:shd w:fill="auto" w:val="clear"/>
            <w:vAlign w:val="bottom"/>
          </w:tcPr>
          <w:p>
            <w:pPr>
              <w:pStyle w:val="TableContents"/>
              <w:spacing w:before="0" w:after="0"/>
              <w:ind w:left="0" w:right="0" w:hanging="0"/>
              <w:jc w:val="right"/>
              <w:rPr/>
            </w:pPr>
            <w:r>
              <w:rPr/>
              <w:t>7,187,373 </w:t>
            </w:r>
          </w:p>
        </w:tc>
      </w:tr>
      <w:tr>
        <w:trPr/>
        <w:tc>
          <w:tcPr>
            <w:tcW w:w="4067" w:type="dxa"/>
            <w:tcBorders/>
            <w:shd w:fill="auto" w:val="clear"/>
            <w:vAlign w:val="bottom"/>
          </w:tcPr>
          <w:p>
            <w:pPr>
              <w:pStyle w:val="TableContents"/>
              <w:spacing w:before="0" w:after="0"/>
              <w:ind w:left="0" w:right="0" w:hanging="0"/>
              <w:rPr/>
            </w:pPr>
            <w:r>
              <w:rPr/>
              <w:t>  </w:t>
            </w:r>
            <w:r>
              <w:rPr/>
              <w:t>Research and development</w:t>
            </w:r>
          </w:p>
          <w:p>
            <w:pPr>
              <w:pStyle w:val="TableContents"/>
              <w:spacing w:before="0" w:after="0"/>
              <w:ind w:left="0" w:right="0" w:hanging="0"/>
              <w:rPr/>
            </w:pPr>
            <w:r>
              <w:rPr/>
              <w:t>    </w:t>
            </w:r>
            <w:r>
              <w:rPr/>
              <w:t> stock-based</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612,000 </w:t>
            </w:r>
          </w:p>
        </w:tc>
      </w:tr>
      <w:tr>
        <w:trPr/>
        <w:tc>
          <w:tcPr>
            <w:tcW w:w="4067" w:type="dxa"/>
            <w:tcBorders>
              <w:top w:val="single" w:sz="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09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313,289 </w:t>
            </w:r>
          </w:p>
        </w:tc>
        <w:tc>
          <w:tcPr>
            <w:tcW w:w="109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796,737 </w:t>
            </w:r>
          </w:p>
        </w:tc>
        <w:tc>
          <w:tcPr>
            <w:tcW w:w="12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1,594,294 </w:t>
            </w:r>
          </w:p>
        </w:tc>
        <w:tc>
          <w:tcPr>
            <w:tcW w:w="12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4,608,702 </w:t>
            </w:r>
          </w:p>
        </w:tc>
        <w:tc>
          <w:tcPr>
            <w:tcW w:w="14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43,092,837 </w:t>
            </w:r>
          </w:p>
        </w:tc>
      </w:tr>
      <w:tr>
        <w:trPr/>
        <w:tc>
          <w:tcPr>
            <w:tcW w:w="4067"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410" w:type="dxa"/>
            <w:tcBorders/>
            <w:shd w:fill="auto" w:val="clear"/>
            <w:vAlign w:val="bottom"/>
          </w:tcPr>
          <w:p>
            <w:pPr>
              <w:pStyle w:val="TableContents"/>
              <w:pBdr/>
              <w:spacing w:before="0" w:after="0"/>
              <w:ind w:left="0" w:right="0" w:hanging="0"/>
              <w:rPr/>
            </w:pPr>
            <w:r>
              <w:rPr/>
              <w:t> </w:t>
            </w:r>
          </w:p>
        </w:tc>
      </w:tr>
      <w:tr>
        <w:trPr/>
        <w:tc>
          <w:tcPr>
            <w:tcW w:w="4067" w:type="dxa"/>
            <w:tcBorders/>
            <w:shd w:fill="auto" w:val="clear"/>
            <w:vAlign w:val="bottom"/>
          </w:tcPr>
          <w:p>
            <w:pPr>
              <w:pStyle w:val="TableContents"/>
              <w:spacing w:before="0" w:after="0"/>
              <w:ind w:left="0" w:right="0" w:hanging="0"/>
              <w:rPr>
                <w:b/>
              </w:rPr>
            </w:pPr>
            <w:r>
              <w:rPr>
                <w:b/>
              </w:rPr>
              <w:t>Net Loss Before Other Items</w:t>
            </w:r>
          </w:p>
        </w:tc>
        <w:tc>
          <w:tcPr>
            <w:tcW w:w="1092" w:type="dxa"/>
            <w:tcBorders/>
            <w:shd w:fill="auto" w:val="clear"/>
            <w:vAlign w:val="bottom"/>
          </w:tcPr>
          <w:p>
            <w:pPr>
              <w:pStyle w:val="TableContents"/>
              <w:spacing w:before="0" w:after="0"/>
              <w:ind w:left="0" w:right="0" w:hanging="0"/>
              <w:jc w:val="right"/>
              <w:rPr/>
            </w:pPr>
            <w:r>
              <w:rPr/>
              <w:t>(313,289)</w:t>
            </w:r>
          </w:p>
        </w:tc>
        <w:tc>
          <w:tcPr>
            <w:tcW w:w="1092" w:type="dxa"/>
            <w:tcBorders/>
            <w:shd w:fill="auto" w:val="clear"/>
            <w:vAlign w:val="bottom"/>
          </w:tcPr>
          <w:p>
            <w:pPr>
              <w:pStyle w:val="TableContents"/>
              <w:spacing w:before="0" w:after="0"/>
              <w:ind w:left="0" w:right="0" w:hanging="0"/>
              <w:jc w:val="right"/>
              <w:rPr/>
            </w:pPr>
            <w:r>
              <w:rPr/>
              <w:t>(796,737)</w:t>
            </w:r>
          </w:p>
        </w:tc>
        <w:tc>
          <w:tcPr>
            <w:tcW w:w="1272" w:type="dxa"/>
            <w:tcBorders/>
            <w:shd w:fill="auto" w:val="clear"/>
            <w:vAlign w:val="bottom"/>
          </w:tcPr>
          <w:p>
            <w:pPr>
              <w:pStyle w:val="TableContents"/>
              <w:spacing w:before="0" w:after="0"/>
              <w:ind w:left="0" w:right="0" w:hanging="0"/>
              <w:jc w:val="right"/>
              <w:rPr/>
            </w:pPr>
            <w:r>
              <w:rPr/>
              <w:t>(1,594,294)</w:t>
            </w:r>
          </w:p>
        </w:tc>
        <w:tc>
          <w:tcPr>
            <w:tcW w:w="1272" w:type="dxa"/>
            <w:tcBorders/>
            <w:shd w:fill="auto" w:val="clear"/>
            <w:vAlign w:val="bottom"/>
          </w:tcPr>
          <w:p>
            <w:pPr>
              <w:pStyle w:val="TableContents"/>
              <w:spacing w:before="0" w:after="0"/>
              <w:ind w:left="0" w:right="0" w:hanging="0"/>
              <w:jc w:val="right"/>
              <w:rPr/>
            </w:pPr>
            <w:r>
              <w:rPr/>
              <w:t>(4,608,702)</w:t>
            </w:r>
          </w:p>
        </w:tc>
        <w:tc>
          <w:tcPr>
            <w:tcW w:w="1410" w:type="dxa"/>
            <w:tcBorders/>
            <w:shd w:fill="auto" w:val="clear"/>
            <w:vAlign w:val="bottom"/>
          </w:tcPr>
          <w:p>
            <w:pPr>
              <w:pStyle w:val="TableContents"/>
              <w:spacing w:before="0" w:after="0"/>
              <w:ind w:left="0" w:right="0" w:hanging="0"/>
              <w:jc w:val="right"/>
              <w:rPr/>
            </w:pPr>
            <w:r>
              <w:rPr/>
              <w:t>(43,092,837)</w:t>
            </w:r>
          </w:p>
        </w:tc>
      </w:tr>
      <w:tr>
        <w:trPr/>
        <w:tc>
          <w:tcPr>
            <w:tcW w:w="4067"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410" w:type="dxa"/>
            <w:tcBorders/>
            <w:shd w:fill="auto" w:val="clear"/>
            <w:vAlign w:val="bottom"/>
          </w:tcPr>
          <w:p>
            <w:pPr>
              <w:pStyle w:val="TableContents"/>
              <w:pBdr/>
              <w:spacing w:before="0" w:after="0"/>
              <w:ind w:left="0" w:right="0" w:hanging="0"/>
              <w:rPr/>
            </w:pPr>
            <w:r>
              <w:rPr/>
              <w:t> </w:t>
            </w:r>
          </w:p>
        </w:tc>
      </w:tr>
      <w:tr>
        <w:trPr/>
        <w:tc>
          <w:tcPr>
            <w:tcW w:w="4067" w:type="dxa"/>
            <w:tcBorders/>
            <w:shd w:fill="auto" w:val="clear"/>
            <w:vAlign w:val="bottom"/>
          </w:tcPr>
          <w:p>
            <w:pPr>
              <w:pStyle w:val="TableContents"/>
              <w:spacing w:before="0" w:after="0"/>
              <w:ind w:left="0" w:right="0" w:hanging="0"/>
              <w:rPr>
                <w:b/>
              </w:rPr>
            </w:pPr>
            <w:r>
              <w:rPr>
                <w:b/>
              </w:rPr>
              <w:t>Other Items</w:t>
            </w:r>
          </w:p>
        </w:tc>
        <w:tc>
          <w:tcPr>
            <w:tcW w:w="1092"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410" w:type="dxa"/>
            <w:tcBorders/>
            <w:shd w:fill="auto" w:val="clear"/>
            <w:vAlign w:val="bottom"/>
          </w:tcPr>
          <w:p>
            <w:pPr>
              <w:pStyle w:val="TableContents"/>
              <w:pBdr/>
              <w:spacing w:before="0" w:after="0"/>
              <w:ind w:left="0" w:right="0" w:hanging="0"/>
              <w:rPr/>
            </w:pPr>
            <w:r>
              <w:rPr/>
              <w:t> </w:t>
            </w:r>
          </w:p>
        </w:tc>
      </w:tr>
      <w:tr>
        <w:trPr/>
        <w:tc>
          <w:tcPr>
            <w:tcW w:w="4067" w:type="dxa"/>
            <w:tcBorders/>
            <w:shd w:fill="auto" w:val="clear"/>
            <w:vAlign w:val="bottom"/>
          </w:tcPr>
          <w:p>
            <w:pPr>
              <w:pStyle w:val="TableContents"/>
              <w:spacing w:before="0" w:after="0"/>
              <w:ind w:left="0" w:right="0" w:hanging="0"/>
              <w:rPr/>
            </w:pPr>
            <w:r>
              <w:rPr/>
              <w:t>  </w:t>
            </w:r>
            <w:r>
              <w:rPr/>
              <w:t>Foreign exchange (loss) gain</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(7,193)</w:t>
            </w:r>
          </w:p>
        </w:tc>
        <w:tc>
          <w:tcPr>
            <w:tcW w:w="1272" w:type="dxa"/>
            <w:tcBorders/>
            <w:shd w:fill="auto" w:val="clear"/>
            <w:vAlign w:val="bottom"/>
          </w:tcPr>
          <w:p>
            <w:pPr>
              <w:pStyle w:val="TableContents"/>
              <w:spacing w:before="0" w:after="0"/>
              <w:ind w:left="0" w:right="0" w:hanging="0"/>
              <w:jc w:val="right"/>
              <w:rPr/>
            </w:pPr>
            <w:r>
              <w:rPr/>
              <w:t>5,896  </w:t>
            </w:r>
          </w:p>
        </w:tc>
        <w:tc>
          <w:tcPr>
            <w:tcW w:w="1272" w:type="dxa"/>
            <w:tcBorders/>
            <w:shd w:fill="auto" w:val="clear"/>
            <w:vAlign w:val="bottom"/>
          </w:tcPr>
          <w:p>
            <w:pPr>
              <w:pStyle w:val="TableContents"/>
              <w:spacing w:before="0" w:after="0"/>
              <w:ind w:left="0" w:right="0" w:hanging="0"/>
              <w:jc w:val="right"/>
              <w:rPr/>
            </w:pPr>
            <w:r>
              <w:rPr/>
              <w:t>2,304  </w:t>
            </w:r>
          </w:p>
        </w:tc>
        <w:tc>
          <w:tcPr>
            <w:tcW w:w="1410" w:type="dxa"/>
            <w:tcBorders/>
            <w:shd w:fill="auto" w:val="clear"/>
            <w:vAlign w:val="bottom"/>
          </w:tcPr>
          <w:p>
            <w:pPr>
              <w:pStyle w:val="TableContents"/>
              <w:spacing w:before="0" w:after="0"/>
              <w:ind w:left="0" w:right="0" w:hanging="0"/>
              <w:jc w:val="right"/>
              <w:rPr/>
            </w:pPr>
            <w:r>
              <w:rPr/>
              <w:t>51,583 </w:t>
            </w:r>
          </w:p>
        </w:tc>
      </w:tr>
      <w:tr>
        <w:trPr/>
        <w:tc>
          <w:tcPr>
            <w:tcW w:w="4067" w:type="dxa"/>
            <w:tcBorders/>
            <w:shd w:fill="auto" w:val="clear"/>
            <w:vAlign w:val="bottom"/>
          </w:tcPr>
          <w:p>
            <w:pPr>
              <w:pStyle w:val="TableContents"/>
              <w:pBdr/>
              <w:spacing w:before="0" w:after="0"/>
              <w:ind w:left="0" w:right="0" w:hanging="60"/>
              <w:rPr/>
            </w:pPr>
            <w:r>
              <w:rPr/>
              <w:t>  </w:t>
            </w:r>
            <w:r>
              <w:rPr/>
              <w:t>Changes in fair value of derivative      liabilities (Note 4)</w:t>
            </w:r>
          </w:p>
        </w:tc>
        <w:tc>
          <w:tcPr>
            <w:tcW w:w="1092" w:type="dxa"/>
            <w:tcBorders/>
            <w:shd w:fill="auto" w:val="clear"/>
            <w:vAlign w:val="bottom"/>
          </w:tcPr>
          <w:p>
            <w:pPr>
              <w:pStyle w:val="TableContents"/>
              <w:spacing w:before="0" w:after="0"/>
              <w:ind w:left="0" w:right="0" w:hanging="0"/>
              <w:jc w:val="right"/>
              <w:rPr/>
            </w:pPr>
            <w:r>
              <w:rPr/>
              <w:t>266,077 </w:t>
            </w:r>
          </w:p>
        </w:tc>
        <w:tc>
          <w:tcPr>
            <w:tcW w:w="1092" w:type="dxa"/>
            <w:tcBorders/>
            <w:shd w:fill="auto" w:val="clear"/>
            <w:vAlign w:val="bottom"/>
          </w:tcPr>
          <w:p>
            <w:pPr>
              <w:pStyle w:val="TableContents"/>
              <w:spacing w:before="0" w:after="0"/>
              <w:ind w:left="0" w:right="0" w:hanging="0"/>
              <w:jc w:val="right"/>
              <w:rPr/>
            </w:pPr>
            <w:r>
              <w:rPr/>
              <w:t>121,385 </w:t>
            </w:r>
          </w:p>
        </w:tc>
        <w:tc>
          <w:tcPr>
            <w:tcW w:w="1272" w:type="dxa"/>
            <w:tcBorders/>
            <w:shd w:fill="auto" w:val="clear"/>
            <w:vAlign w:val="bottom"/>
          </w:tcPr>
          <w:p>
            <w:pPr>
              <w:pStyle w:val="TableContents"/>
              <w:spacing w:before="0" w:after="0"/>
              <w:ind w:left="0" w:right="0" w:hanging="0"/>
              <w:jc w:val="right"/>
              <w:rPr/>
            </w:pPr>
            <w:r>
              <w:rPr/>
              <w:t>2,144,566 </w:t>
            </w:r>
          </w:p>
        </w:tc>
        <w:tc>
          <w:tcPr>
            <w:tcW w:w="1272" w:type="dxa"/>
            <w:tcBorders/>
            <w:shd w:fill="auto" w:val="clear"/>
            <w:vAlign w:val="bottom"/>
          </w:tcPr>
          <w:p>
            <w:pPr>
              <w:pStyle w:val="TableContents"/>
              <w:spacing w:before="0" w:after="0"/>
              <w:ind w:left="0" w:right="0" w:hanging="0"/>
              <w:jc w:val="right"/>
              <w:rPr/>
            </w:pPr>
            <w:r>
              <w:rPr/>
              <w:t>544,576 </w:t>
            </w:r>
          </w:p>
        </w:tc>
        <w:tc>
          <w:tcPr>
            <w:tcW w:w="1410" w:type="dxa"/>
            <w:tcBorders/>
            <w:shd w:fill="auto" w:val="clear"/>
            <w:vAlign w:val="bottom"/>
          </w:tcPr>
          <w:p>
            <w:pPr>
              <w:pStyle w:val="TableContents"/>
              <w:spacing w:before="0" w:after="0"/>
              <w:ind w:left="0" w:right="0" w:hanging="0"/>
              <w:jc w:val="right"/>
              <w:rPr/>
            </w:pPr>
            <w:r>
              <w:rPr/>
              <w:t>6,448,958 </w:t>
            </w:r>
          </w:p>
        </w:tc>
      </w:tr>
      <w:tr>
        <w:trPr/>
        <w:tc>
          <w:tcPr>
            <w:tcW w:w="4067" w:type="dxa"/>
            <w:tcBorders/>
            <w:shd w:fill="auto" w:val="clear"/>
            <w:vAlign w:val="bottom"/>
          </w:tcPr>
          <w:p>
            <w:pPr>
              <w:pStyle w:val="TableContents"/>
              <w:pBdr/>
              <w:spacing w:before="0" w:after="0"/>
              <w:ind w:left="0" w:right="0" w:hanging="60"/>
              <w:rPr/>
            </w:pPr>
            <w:r>
              <w:rPr/>
              <w:t> </w:t>
            </w:r>
            <w:r>
              <w:rPr/>
              <w:t>Accretion of interest on convertible debt</w:t>
            </w:r>
          </w:p>
        </w:tc>
        <w:tc>
          <w:tcPr>
            <w:tcW w:w="1092" w:type="dxa"/>
            <w:tcBorders/>
            <w:shd w:fill="auto" w:val="clear"/>
            <w:vAlign w:val="bottom"/>
          </w:tcPr>
          <w:p>
            <w:pPr>
              <w:pStyle w:val="TableContents"/>
              <w:spacing w:before="0" w:after="0"/>
              <w:ind w:left="0" w:right="0" w:hanging="0"/>
              <w:jc w:val="right"/>
              <w:rPr/>
            </w:pPr>
            <w:r>
              <w:rPr/>
              <w:t>(646,765)</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(934,261)</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(934,261)</w:t>
            </w:r>
          </w:p>
        </w:tc>
      </w:tr>
      <w:tr>
        <w:trPr/>
        <w:tc>
          <w:tcPr>
            <w:tcW w:w="4067" w:type="dxa"/>
            <w:tcBorders/>
            <w:shd w:fill="auto" w:val="clear"/>
            <w:vAlign w:val="bottom"/>
          </w:tcPr>
          <w:p>
            <w:pPr>
              <w:pStyle w:val="TableContents"/>
              <w:spacing w:before="0" w:after="0"/>
              <w:ind w:left="0" w:right="0" w:hanging="0"/>
              <w:rPr/>
            </w:pPr>
            <w:r>
              <w:rPr/>
              <w:t>  </w:t>
            </w:r>
            <w:r>
              <w:rPr/>
              <w:t>Loss on debt financing</w:t>
            </w:r>
          </w:p>
        </w:tc>
        <w:tc>
          <w:tcPr>
            <w:tcW w:w="1092" w:type="dxa"/>
            <w:tcBorders/>
            <w:shd w:fill="auto" w:val="clear"/>
            <w:vAlign w:val="bottom"/>
          </w:tcPr>
          <w:p>
            <w:pPr>
              <w:pStyle w:val="TableContents"/>
              <w:spacing w:before="0" w:after="0"/>
              <w:ind w:left="0" w:right="0" w:hanging="0"/>
              <w:jc w:val="right"/>
              <w:rPr/>
            </w:pPr>
            <w:r>
              <w:rPr/>
              <w:t>(104,000)</w:t>
            </w:r>
          </w:p>
        </w:tc>
        <w:tc>
          <w:tcPr>
            <w:tcW w:w="1092" w:type="dxa"/>
            <w:tcBorders/>
            <w:shd w:fill="auto" w:val="clear"/>
            <w:vAlign w:val="bottom"/>
          </w:tcPr>
          <w:p>
            <w:pPr>
              <w:pStyle w:val="TableContents"/>
              <w:spacing w:before="0" w:after="0"/>
              <w:ind w:left="0" w:right="0" w:hanging="0"/>
              <w:jc w:val="right"/>
              <w:rPr/>
            </w:pPr>
            <w:r>
              <w:rPr/>
              <w:t>(85,550)</w:t>
            </w:r>
          </w:p>
        </w:tc>
        <w:tc>
          <w:tcPr>
            <w:tcW w:w="1272" w:type="dxa"/>
            <w:tcBorders/>
            <w:shd w:fill="auto" w:val="clear"/>
            <w:vAlign w:val="bottom"/>
          </w:tcPr>
          <w:p>
            <w:pPr>
              <w:pStyle w:val="TableContents"/>
              <w:spacing w:before="0" w:after="0"/>
              <w:ind w:left="0" w:right="0" w:hanging="0"/>
              <w:jc w:val="right"/>
              <w:rPr/>
            </w:pPr>
            <w:r>
              <w:rPr/>
              <w:t>(200,000)</w:t>
            </w:r>
          </w:p>
        </w:tc>
        <w:tc>
          <w:tcPr>
            <w:tcW w:w="1272" w:type="dxa"/>
            <w:tcBorders/>
            <w:shd w:fill="auto" w:val="clear"/>
            <w:vAlign w:val="bottom"/>
          </w:tcPr>
          <w:p>
            <w:pPr>
              <w:pStyle w:val="TableContents"/>
              <w:spacing w:before="0" w:after="0"/>
              <w:ind w:left="0" w:right="0" w:hanging="0"/>
              <w:jc w:val="right"/>
              <w:rPr/>
            </w:pPr>
            <w:r>
              <w:rPr/>
              <w:t>(85,550)</w:t>
            </w:r>
          </w:p>
        </w:tc>
        <w:tc>
          <w:tcPr>
            <w:tcW w:w="1410" w:type="dxa"/>
            <w:tcBorders/>
            <w:shd w:fill="auto" w:val="clear"/>
            <w:vAlign w:val="bottom"/>
          </w:tcPr>
          <w:p>
            <w:pPr>
              <w:pStyle w:val="TableContents"/>
              <w:spacing w:before="0" w:after="0"/>
              <w:ind w:left="0" w:right="0" w:hanging="0"/>
              <w:jc w:val="right"/>
              <w:rPr/>
            </w:pPr>
            <w:r>
              <w:rPr/>
              <w:t>(1,573,263)</w:t>
            </w:r>
          </w:p>
        </w:tc>
      </w:tr>
      <w:tr>
        <w:trPr/>
        <w:tc>
          <w:tcPr>
            <w:tcW w:w="4067" w:type="dxa"/>
            <w:tcBorders/>
            <w:shd w:fill="auto" w:val="clear"/>
            <w:vAlign w:val="bottom"/>
          </w:tcPr>
          <w:p>
            <w:pPr>
              <w:pStyle w:val="TableContents"/>
              <w:spacing w:before="0" w:after="0"/>
              <w:ind w:left="0" w:right="0" w:hanging="0"/>
              <w:rPr/>
            </w:pPr>
            <w:r>
              <w:rPr/>
              <w:t>  </w:t>
            </w:r>
            <w:r>
              <w:rPr/>
              <w:t>Gain (loss) on settlement of debt (Note 9)</w:t>
            </w:r>
          </w:p>
        </w:tc>
        <w:tc>
          <w:tcPr>
            <w:tcW w:w="1092" w:type="dxa"/>
            <w:tcBorders/>
            <w:shd w:fill="auto" w:val="clear"/>
            <w:vAlign w:val="bottom"/>
          </w:tcPr>
          <w:p>
            <w:pPr>
              <w:pStyle w:val="TableContents"/>
              <w:spacing w:before="0" w:after="0"/>
              <w:ind w:left="0" w:right="0" w:hanging="0"/>
              <w:jc w:val="right"/>
              <w:rPr/>
            </w:pPr>
            <w:r>
              <w:rPr/>
              <w:t>(168,392)</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(1,478,792)</w:t>
            </w:r>
          </w:p>
        </w:tc>
        <w:tc>
          <w:tcPr>
            <w:tcW w:w="1272" w:type="dxa"/>
            <w:tcBorders/>
            <w:shd w:fill="auto" w:val="clear"/>
            <w:vAlign w:val="bottom"/>
          </w:tcPr>
          <w:p>
            <w:pPr>
              <w:pStyle w:val="TableContents"/>
              <w:spacing w:before="0" w:after="0"/>
              <w:ind w:left="0" w:right="0" w:hanging="0"/>
              <w:jc w:val="right"/>
              <w:rPr/>
            </w:pPr>
            <w:r>
              <w:rPr/>
              <w:t>28,688 </w:t>
            </w:r>
          </w:p>
        </w:tc>
        <w:tc>
          <w:tcPr>
            <w:tcW w:w="1410" w:type="dxa"/>
            <w:tcBorders/>
            <w:shd w:fill="auto" w:val="clear"/>
            <w:vAlign w:val="bottom"/>
          </w:tcPr>
          <w:p>
            <w:pPr>
              <w:pStyle w:val="TableContents"/>
              <w:spacing w:lineRule="atLeast" w:line="240" w:before="90" w:after="0"/>
              <w:jc w:val="right"/>
              <w:rPr/>
            </w:pPr>
            <w:r>
              <w:rPr/>
              <w:t>(13,169,593)</w:t>
            </w:r>
          </w:p>
        </w:tc>
      </w:tr>
      <w:tr>
        <w:trPr/>
        <w:tc>
          <w:tcPr>
            <w:tcW w:w="4067" w:type="dxa"/>
            <w:tcBorders/>
            <w:shd w:fill="auto" w:val="clear"/>
            <w:vAlign w:val="bottom"/>
          </w:tcPr>
          <w:p>
            <w:pPr>
              <w:pStyle w:val="TableContents"/>
              <w:pBdr/>
              <w:spacing w:before="0" w:after="0"/>
              <w:ind w:left="0" w:right="0" w:hanging="60"/>
              <w:rPr/>
            </w:pPr>
            <w:r>
              <w:rPr/>
              <w:t>  </w:t>
            </w:r>
            <w:r>
              <w:rPr/>
              <w:t>Gain on extinguishment of derivative  liabilities -  warrants (Note 4)</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290,500 </w:t>
            </w:r>
          </w:p>
        </w:tc>
      </w:tr>
      <w:tr>
        <w:trPr/>
        <w:tc>
          <w:tcPr>
            <w:tcW w:w="4067" w:type="dxa"/>
            <w:tcBorders/>
            <w:shd w:fill="auto" w:val="clear"/>
            <w:vAlign w:val="bottom"/>
          </w:tcPr>
          <w:p>
            <w:pPr>
              <w:pStyle w:val="TableContents"/>
              <w:spacing w:before="0" w:after="0"/>
              <w:ind w:left="0" w:right="0" w:hanging="0"/>
              <w:rPr/>
            </w:pPr>
            <w:r>
              <w:rPr/>
              <w:t>  </w:t>
            </w:r>
            <w:r>
              <w:rPr/>
              <w:t>Interest income</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33,344 </w:t>
            </w:r>
          </w:p>
        </w:tc>
      </w:tr>
      <w:tr>
        <w:trPr/>
        <w:tc>
          <w:tcPr>
            <w:tcW w:w="4067" w:type="dxa"/>
            <w:tcBorders/>
            <w:shd w:fill="auto" w:val="clear"/>
            <w:vAlign w:val="bottom"/>
          </w:tcPr>
          <w:p>
            <w:pPr>
              <w:pStyle w:val="TableContents"/>
              <w:spacing w:before="0" w:after="0"/>
              <w:ind w:left="0" w:right="0" w:hanging="0"/>
              <w:rPr/>
            </w:pPr>
            <w:r>
              <w:rPr/>
              <w:t>  </w:t>
            </w:r>
            <w:r>
              <w:rPr/>
              <w:t>Loss on disposal of assets</w:t>
            </w:r>
          </w:p>
        </w:tc>
        <w:tc>
          <w:tcPr>
            <w:tcW w:w="1092" w:type="dxa"/>
            <w:tcBorders/>
            <w:shd w:fill="auto" w:val="clear"/>
            <w:vAlign w:val="bottom"/>
          </w:tcPr>
          <w:p>
            <w:pPr>
              <w:pStyle w:val="TableContents"/>
              <w:spacing w:before="0" w:after="0"/>
              <w:ind w:left="0" w:right="0" w:hanging="0"/>
              <w:jc w:val="right"/>
              <w:rPr/>
            </w:pPr>
            <w:r>
              <w:rPr/>
              <w:t>- </w:t>
            </w:r>
          </w:p>
        </w:tc>
        <w:tc>
          <w:tcPr>
            <w:tcW w:w="109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272" w:type="dxa"/>
            <w:tcBorders/>
            <w:shd w:fill="auto" w:val="clear"/>
            <w:vAlign w:val="bottom"/>
          </w:tcPr>
          <w:p>
            <w:pPr>
              <w:pStyle w:val="TableContents"/>
              <w:spacing w:before="0" w:after="0"/>
              <w:ind w:left="0" w:right="0" w:hanging="0"/>
              <w:jc w:val="right"/>
              <w:rPr/>
            </w:pPr>
            <w:r>
              <w:rPr/>
              <w:t>- </w:t>
            </w:r>
          </w:p>
        </w:tc>
        <w:tc>
          <w:tcPr>
            <w:tcW w:w="1410" w:type="dxa"/>
            <w:tcBorders/>
            <w:shd w:fill="auto" w:val="clear"/>
            <w:vAlign w:val="bottom"/>
          </w:tcPr>
          <w:p>
            <w:pPr>
              <w:pStyle w:val="TableContents"/>
              <w:spacing w:before="0" w:after="0"/>
              <w:ind w:left="0" w:right="0" w:hanging="0"/>
              <w:jc w:val="right"/>
              <w:rPr/>
            </w:pPr>
            <w:r>
              <w:rPr/>
              <w:t>(5,399)</w:t>
            </w:r>
          </w:p>
        </w:tc>
      </w:tr>
      <w:tr>
        <w:trPr/>
        <w:tc>
          <w:tcPr>
            <w:tcW w:w="4067"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09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09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7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72"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410"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4067" w:type="dxa"/>
            <w:tcBorders>
              <w:bottom w:val="single" w:sz="2" w:space="0" w:color="000000"/>
            </w:tcBorders>
            <w:shd w:fill="auto" w:val="clear"/>
            <w:tcMar>
              <w:bottom w:w="28" w:type="dxa"/>
            </w:tcMar>
            <w:vAlign w:val="bottom"/>
          </w:tcPr>
          <w:p>
            <w:pPr>
              <w:pStyle w:val="TableContents"/>
              <w:spacing w:before="0" w:after="0"/>
              <w:ind w:left="0" w:right="0" w:hanging="0"/>
              <w:rPr>
                <w:b/>
              </w:rPr>
            </w:pPr>
            <w:r>
              <w:rPr>
                <w:b/>
              </w:rPr>
              <w:t>Net Loss for the Period</w:t>
            </w:r>
          </w:p>
        </w:tc>
        <w:tc>
          <w:tcPr>
            <w:tcW w:w="1092"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(966,369)</w:t>
            </w:r>
          </w:p>
        </w:tc>
        <w:tc>
          <w:tcPr>
            <w:tcW w:w="1092"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(768,095)</w:t>
            </w:r>
          </w:p>
        </w:tc>
        <w:tc>
          <w:tcPr>
            <w:tcW w:w="1272"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(2,056,885)</w:t>
            </w:r>
          </w:p>
        </w:tc>
        <w:tc>
          <w:tcPr>
            <w:tcW w:w="1272"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(4,118,684)</w:t>
            </w:r>
          </w:p>
        </w:tc>
        <w:tc>
          <w:tcPr>
            <w:tcW w:w="1410" w:type="dxa"/>
            <w:tcBorders>
              <w:bottom w:val="single" w:sz="2" w:space="0" w:color="000000"/>
            </w:tcBorders>
            <w:shd w:fill="auto" w:val="clear"/>
            <w:tcMar>
              <w:bottom w:w="28" w:type="dxa"/>
            </w:tcMar>
            <w:vAlign w:val="bottom"/>
          </w:tcPr>
          <w:p>
            <w:pPr>
              <w:pStyle w:val="TableContents"/>
              <w:spacing w:lineRule="atLeast" w:line="240" w:before="90" w:after="0"/>
              <w:jc w:val="right"/>
              <w:rPr/>
            </w:pPr>
            <w:r>
              <w:rPr/>
              <w:t>$ (51,950,968)</w:t>
            </w:r>
          </w:p>
        </w:tc>
      </w:tr>
      <w:tr>
        <w:trPr/>
        <w:tc>
          <w:tcPr>
            <w:tcW w:w="4067"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09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272" w:type="dxa"/>
            <w:tcBorders/>
            <w:shd w:fill="auto" w:val="clear"/>
            <w:vAlign w:val="bottom"/>
          </w:tcPr>
          <w:p>
            <w:pPr>
              <w:pStyle w:val="TableContents"/>
              <w:pBdr/>
              <w:spacing w:before="0" w:after="0"/>
              <w:ind w:left="0" w:right="0" w:hanging="0"/>
              <w:rPr/>
            </w:pPr>
            <w:r>
              <w:rPr/>
              <w:t> </w:t>
            </w:r>
          </w:p>
        </w:tc>
        <w:tc>
          <w:tcPr>
            <w:tcW w:w="1410" w:type="dxa"/>
            <w:tcBorders/>
            <w:shd w:fill="auto" w:val="clear"/>
            <w:vAlign w:val="bottom"/>
          </w:tcPr>
          <w:p>
            <w:pPr>
              <w:pStyle w:val="TableContents"/>
              <w:pBdr/>
              <w:spacing w:before="0" w:after="0"/>
              <w:ind w:left="0" w:right="0" w:hanging="0"/>
              <w:rPr/>
            </w:pPr>
            <w:r>
              <w:rPr/>
              <w:t> </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953"/>
        <w:gridCol w:w="1634"/>
        <w:gridCol w:w="1482"/>
        <w:gridCol w:w="1635"/>
        <w:gridCol w:w="1501"/>
      </w:tblGrid>
      <w:tr>
        <w:trPr/>
        <w:tc>
          <w:tcPr>
            <w:tcW w:w="3953"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482"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r>
      <w:tr>
        <w:trPr/>
        <w:tc>
          <w:tcPr>
            <w:tcW w:w="3953"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Basic and Diluted Net Loss</w:t>
            </w:r>
          </w:p>
          <w:p>
            <w:pPr>
              <w:pStyle w:val="TableContents"/>
              <w:spacing w:before="0" w:after="0"/>
              <w:ind w:left="0" w:right="0" w:hanging="0"/>
              <w:rPr>
                <w:b/>
              </w:rPr>
            </w:pPr>
            <w:r>
              <w:rPr>
                <w:b/>
              </w:rPr>
              <w:t>per Share</w:t>
            </w:r>
          </w:p>
        </w:tc>
        <w:tc>
          <w:tcPr>
            <w:tcW w:w="1634"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(0.01)</w:t>
            </w:r>
          </w:p>
        </w:tc>
        <w:tc>
          <w:tcPr>
            <w:tcW w:w="1482"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(0.01)</w:t>
            </w:r>
          </w:p>
        </w:tc>
        <w:tc>
          <w:tcPr>
            <w:tcW w:w="1635"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(0.02)</w:t>
            </w:r>
          </w:p>
        </w:tc>
        <w:tc>
          <w:tcPr>
            <w:tcW w:w="150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(0.07)</w:t>
            </w:r>
          </w:p>
        </w:tc>
      </w:tr>
      <w:tr>
        <w:trPr/>
        <w:tc>
          <w:tcPr>
            <w:tcW w:w="3953" w:type="dxa"/>
            <w:tcBorders/>
            <w:shd w:fill="auto" w:val="clear"/>
            <w:vAlign w:val="bottom"/>
          </w:tcPr>
          <w:p>
            <w:pPr>
              <w:pStyle w:val="TableContents"/>
              <w:pBdr/>
              <w:spacing w:before="0" w:after="0"/>
              <w:ind w:left="0" w:right="0" w:hanging="0"/>
              <w:rPr/>
            </w:pPr>
            <w:r>
              <w:rPr/>
              <w:t> </w:t>
            </w:r>
          </w:p>
        </w:tc>
        <w:tc>
          <w:tcPr>
            <w:tcW w:w="1634" w:type="dxa"/>
            <w:tcBorders/>
            <w:shd w:fill="auto" w:val="clear"/>
            <w:vAlign w:val="bottom"/>
          </w:tcPr>
          <w:p>
            <w:pPr>
              <w:pStyle w:val="TableContents"/>
              <w:pBdr/>
              <w:spacing w:before="0" w:after="0"/>
              <w:ind w:left="0" w:right="0" w:hanging="0"/>
              <w:rPr/>
            </w:pPr>
            <w:r>
              <w:rPr/>
              <w:t> </w:t>
            </w:r>
          </w:p>
        </w:tc>
        <w:tc>
          <w:tcPr>
            <w:tcW w:w="1482" w:type="dxa"/>
            <w:tcBorders/>
            <w:shd w:fill="auto" w:val="clear"/>
            <w:vAlign w:val="bottom"/>
          </w:tcPr>
          <w:p>
            <w:pPr>
              <w:pStyle w:val="TableContents"/>
              <w:pBdr/>
              <w:spacing w:before="0" w:after="0"/>
              <w:ind w:left="0" w:right="0" w:hanging="0"/>
              <w:rPr/>
            </w:pPr>
            <w:r>
              <w:rPr/>
              <w:t> </w:t>
            </w:r>
          </w:p>
        </w:tc>
        <w:tc>
          <w:tcPr>
            <w:tcW w:w="1635" w:type="dxa"/>
            <w:tcBorders/>
            <w:shd w:fill="auto" w:val="clear"/>
            <w:vAlign w:val="bottom"/>
          </w:tcPr>
          <w:p>
            <w:pPr>
              <w:pStyle w:val="TableContents"/>
              <w:pBdr/>
              <w:spacing w:before="0" w:after="0"/>
              <w:ind w:left="0" w:right="0" w:hanging="0"/>
              <w:rPr/>
            </w:pPr>
            <w:r>
              <w:rPr/>
              <w:t> </w:t>
            </w:r>
          </w:p>
        </w:tc>
        <w:tc>
          <w:tcPr>
            <w:tcW w:w="1501" w:type="dxa"/>
            <w:tcBorders/>
            <w:shd w:fill="auto" w:val="clear"/>
            <w:vAlign w:val="bottom"/>
          </w:tcPr>
          <w:p>
            <w:pPr>
              <w:pStyle w:val="TableContents"/>
              <w:pBdr/>
              <w:spacing w:before="0" w:after="0"/>
              <w:ind w:left="0" w:right="0" w:hanging="0"/>
              <w:rPr/>
            </w:pPr>
            <w:r>
              <w:rPr/>
              <w:t> </w:t>
            </w:r>
          </w:p>
        </w:tc>
      </w:tr>
      <w:tr>
        <w:trPr/>
        <w:tc>
          <w:tcPr>
            <w:tcW w:w="3953"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Weighted Average Number of</w:t>
            </w:r>
          </w:p>
          <w:p>
            <w:pPr>
              <w:pStyle w:val="TableContents"/>
              <w:spacing w:before="0" w:after="0"/>
              <w:ind w:left="0" w:right="0" w:hanging="0"/>
              <w:rPr>
                <w:b/>
              </w:rPr>
            </w:pPr>
            <w:r>
              <w:rPr>
                <w:b/>
              </w:rPr>
              <w:t>Common Shares Outstanding</w:t>
            </w:r>
          </w:p>
        </w:tc>
        <w:tc>
          <w:tcPr>
            <w:tcW w:w="1634"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126,618,840 </w:t>
            </w:r>
          </w:p>
        </w:tc>
        <w:tc>
          <w:tcPr>
            <w:tcW w:w="1482"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73,128,058 </w:t>
            </w:r>
          </w:p>
        </w:tc>
        <w:tc>
          <w:tcPr>
            <w:tcW w:w="1635"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102,635,443 </w:t>
            </w:r>
          </w:p>
        </w:tc>
        <w:tc>
          <w:tcPr>
            <w:tcW w:w="150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62,560,295 </w:t>
            </w:r>
          </w:p>
        </w:tc>
      </w:tr>
    </w:tbl>
    <w:p>
      <w:pPr>
        <w:pStyle w:val="TextBody"/>
        <w:spacing w:before="0" w:after="0"/>
        <w:ind w:left="0" w:right="0" w:hanging="0"/>
        <w:jc w:val="both"/>
        <w:rPr/>
      </w:pPr>
      <w:r>
        <w:rPr/>
      </w:r>
    </w:p>
    <w:p>
      <w:pPr>
        <w:pStyle w:val="TextBody"/>
        <w:spacing w:before="0" w:after="0"/>
        <w:ind w:left="0" w:right="0" w:hanging="0"/>
        <w:jc w:val="both"/>
        <w:rPr/>
      </w:pPr>
      <w:r>
        <w:rPr/>
        <w:br/>
        <w:t> </w:t>
      </w:r>
    </w:p>
    <w:p>
      <w:pPr>
        <w:pStyle w:val="TextBody"/>
        <w:spacing w:before="0" w:after="0"/>
        <w:ind w:left="0" w:right="0" w:hanging="0"/>
        <w:jc w:val="center"/>
        <w:rPr/>
      </w:pPr>
      <w:r>
        <w:rPr/>
        <w:t>The accompanying notes are an integral part of these interim consolidated financial statements.</w:t>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TAPIMMUNE INC.</w:t>
      </w:r>
    </w:p>
    <w:p>
      <w:pPr>
        <w:pStyle w:val="TextBody"/>
        <w:spacing w:before="0" w:after="0"/>
        <w:ind w:left="0" w:right="0" w:hanging="0"/>
        <w:jc w:val="center"/>
        <w:rPr/>
      </w:pPr>
      <w:r>
        <w:rPr/>
        <w:t>(A Development Stage Company)</w:t>
      </w:r>
    </w:p>
    <w:p>
      <w:pPr>
        <w:pStyle w:val="TextBody"/>
        <w:spacing w:before="0" w:after="0"/>
        <w:ind w:left="0" w:right="0" w:hanging="0"/>
        <w:jc w:val="center"/>
        <w:rPr>
          <w:b/>
        </w:rPr>
      </w:pPr>
      <w:r>
        <w:rPr>
          <w:b/>
        </w:rPr>
        <w:t>INTERIM CONSOLIDATED STATEMENTS OF CASH FLOWS</w:t>
      </w:r>
    </w:p>
    <w:p>
      <w:pPr>
        <w:pStyle w:val="TextBody"/>
        <w:spacing w:before="0" w:after="0"/>
        <w:ind w:left="0" w:right="0" w:hanging="0"/>
        <w:jc w:val="center"/>
        <w:rPr>
          <w:b/>
        </w:rPr>
      </w:pPr>
      <w:r>
        <w:rPr>
          <w:b/>
        </w:rPr>
        <w:t>(UNAUDITED)</w:t>
      </w:r>
    </w:p>
    <w:p>
      <w:pPr>
        <w:pStyle w:val="TextBody"/>
        <w:spacing w:before="0" w:after="0"/>
        <w:ind w:left="0" w:right="0" w:hanging="0"/>
        <w:jc w:val="center"/>
        <w:rPr/>
      </w:pPr>
      <w:r>
        <w:rPr/>
        <w:br/>
        <w:t> </w:t>
      </w:r>
    </w:p>
    <w:tbl>
      <w:tblPr>
        <w:tblW w:w="5000" w:type="pct"/>
        <w:jc w:val="left"/>
        <w:tblInd w:w="0" w:type="dxa"/>
        <w:tblCellMar>
          <w:top w:w="0" w:type="dxa"/>
          <w:left w:w="0" w:type="dxa"/>
          <w:bottom w:w="0" w:type="dxa"/>
          <w:right w:w="0" w:type="dxa"/>
        </w:tblCellMar>
      </w:tblPr>
      <w:tblGrid>
        <w:gridCol w:w="5073"/>
        <w:gridCol w:w="1797"/>
        <w:gridCol w:w="1844"/>
        <w:gridCol w:w="1491"/>
      </w:tblGrid>
      <w:tr>
        <w:trPr/>
        <w:tc>
          <w:tcPr>
            <w:tcW w:w="5073"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r>
      <w:tr>
        <w:trPr/>
        <w:tc>
          <w:tcPr>
            <w:tcW w:w="5073"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797"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Nine Months Ended</w:t>
            </w:r>
          </w:p>
          <w:p>
            <w:pPr>
              <w:pStyle w:val="TableContents"/>
              <w:spacing w:before="0" w:after="0"/>
              <w:ind w:left="0" w:right="0" w:hanging="0"/>
              <w:jc w:val="center"/>
              <w:rPr/>
            </w:pPr>
            <w:r>
              <w:rPr/>
              <w:t>September 30,</w:t>
            </w:r>
          </w:p>
          <w:p>
            <w:pPr>
              <w:pStyle w:val="TableContents"/>
              <w:spacing w:before="0" w:after="0"/>
              <w:ind w:left="0" w:right="0" w:hanging="0"/>
              <w:jc w:val="center"/>
              <w:rPr/>
            </w:pPr>
            <w:r>
              <w:rPr/>
              <w:t>2013</w:t>
            </w:r>
          </w:p>
        </w:tc>
        <w:tc>
          <w:tcPr>
            <w:tcW w:w="1844"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br/>
              <w:t> Nine Months Ended</w:t>
            </w:r>
          </w:p>
          <w:p>
            <w:pPr>
              <w:pStyle w:val="TableContents"/>
              <w:spacing w:before="0" w:after="0"/>
              <w:ind w:left="0" w:right="0" w:hanging="0"/>
              <w:jc w:val="center"/>
              <w:rPr/>
            </w:pPr>
            <w:r>
              <w:rPr/>
              <w:t>September 30,</w:t>
            </w:r>
          </w:p>
          <w:p>
            <w:pPr>
              <w:pStyle w:val="TableContents"/>
              <w:spacing w:before="0" w:after="0"/>
              <w:ind w:left="0" w:right="0" w:hanging="0"/>
              <w:jc w:val="center"/>
              <w:rPr/>
            </w:pPr>
            <w:r>
              <w:rPr/>
              <w:t>2012</w:t>
            </w:r>
          </w:p>
        </w:tc>
        <w:tc>
          <w:tcPr>
            <w:tcW w:w="1491"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Period from</w:t>
            </w:r>
          </w:p>
          <w:p>
            <w:pPr>
              <w:pStyle w:val="TableContents"/>
              <w:spacing w:before="0" w:after="0"/>
              <w:ind w:left="0" w:right="0" w:hanging="0"/>
              <w:jc w:val="center"/>
              <w:rPr/>
            </w:pPr>
            <w:r>
              <w:rPr/>
              <w:t>July 27, 1999</w:t>
            </w:r>
          </w:p>
          <w:p>
            <w:pPr>
              <w:pStyle w:val="TableContents"/>
              <w:spacing w:before="0" w:after="0"/>
              <w:ind w:left="0" w:right="0" w:hanging="0"/>
              <w:jc w:val="center"/>
              <w:rPr/>
            </w:pPr>
            <w:r>
              <w:rPr/>
              <w:t>(inception) to</w:t>
            </w:r>
          </w:p>
          <w:p>
            <w:pPr>
              <w:pStyle w:val="TableContents"/>
              <w:spacing w:before="0" w:after="0"/>
              <w:ind w:left="0" w:right="0" w:hanging="0"/>
              <w:jc w:val="center"/>
              <w:rPr/>
            </w:pPr>
            <w:r>
              <w:rPr/>
              <w:t>September 30,</w:t>
            </w:r>
          </w:p>
          <w:p>
            <w:pPr>
              <w:pStyle w:val="TableContents"/>
              <w:spacing w:before="0" w:after="0"/>
              <w:ind w:left="0" w:right="0" w:hanging="0"/>
              <w:jc w:val="center"/>
              <w:rPr/>
            </w:pPr>
            <w:r>
              <w:rPr/>
              <w:t>2013</w:t>
            </w:r>
          </w:p>
        </w:tc>
      </w:tr>
      <w:tr>
        <w:trPr/>
        <w:tc>
          <w:tcPr>
            <w:tcW w:w="5073" w:type="dxa"/>
            <w:tcBorders/>
            <w:shd w:fill="auto" w:val="clear"/>
            <w:vAlign w:val="bottom"/>
          </w:tcPr>
          <w:p>
            <w:pPr>
              <w:pStyle w:val="TableContents"/>
              <w:pBdr/>
              <w:spacing w:before="0" w:after="0"/>
              <w:ind w:left="0" w:right="0" w:hanging="0"/>
              <w:rPr/>
            </w:pPr>
            <w:r>
              <w:rPr/>
              <w:t> </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10205" w:type="dxa"/>
            <w:gridSpan w:val="4"/>
            <w:tcBorders/>
            <w:shd w:fill="auto" w:val="clear"/>
            <w:vAlign w:val="bottom"/>
          </w:tcPr>
          <w:p>
            <w:pPr>
              <w:pStyle w:val="TableContents"/>
              <w:spacing w:before="0" w:after="0"/>
              <w:ind w:left="0" w:right="0" w:hanging="0"/>
              <w:rPr>
                <w:b/>
              </w:rPr>
            </w:pPr>
            <w:r>
              <w:rPr>
                <w:b/>
              </w:rPr>
              <w:t>CASH FLOWS FROM OPERATING ACTIVITIES</w:t>
            </w:r>
          </w:p>
        </w:tc>
      </w:tr>
      <w:tr>
        <w:trPr/>
        <w:tc>
          <w:tcPr>
            <w:tcW w:w="5073" w:type="dxa"/>
            <w:tcBorders/>
            <w:shd w:fill="auto" w:val="clear"/>
            <w:vAlign w:val="bottom"/>
          </w:tcPr>
          <w:p>
            <w:pPr>
              <w:pStyle w:val="TableContents"/>
              <w:spacing w:before="0" w:after="0"/>
              <w:ind w:left="0" w:right="0" w:hanging="0"/>
              <w:rPr/>
            </w:pPr>
            <w:r>
              <w:rPr/>
              <w:t>Net loss</w:t>
            </w:r>
          </w:p>
        </w:tc>
        <w:tc>
          <w:tcPr>
            <w:tcW w:w="1797" w:type="dxa"/>
            <w:tcBorders/>
            <w:shd w:fill="auto" w:val="clear"/>
            <w:vAlign w:val="bottom"/>
          </w:tcPr>
          <w:p>
            <w:pPr>
              <w:pStyle w:val="TableContents"/>
              <w:spacing w:before="0" w:after="0"/>
              <w:ind w:left="0" w:right="0" w:hanging="0"/>
              <w:jc w:val="right"/>
              <w:rPr/>
            </w:pPr>
            <w:r>
              <w:rPr/>
              <w:t>$  (2,056,885)</w:t>
            </w:r>
          </w:p>
        </w:tc>
        <w:tc>
          <w:tcPr>
            <w:tcW w:w="1844" w:type="dxa"/>
            <w:tcBorders/>
            <w:shd w:fill="auto" w:val="clear"/>
            <w:vAlign w:val="bottom"/>
          </w:tcPr>
          <w:p>
            <w:pPr>
              <w:pStyle w:val="TableContents"/>
              <w:spacing w:before="0" w:after="0"/>
              <w:ind w:left="0" w:right="0" w:hanging="0"/>
              <w:jc w:val="right"/>
              <w:rPr/>
            </w:pPr>
            <w:r>
              <w:rPr/>
              <w:t>$  (4,118,684)</w:t>
            </w:r>
          </w:p>
        </w:tc>
        <w:tc>
          <w:tcPr>
            <w:tcW w:w="1491" w:type="dxa"/>
            <w:tcBorders/>
            <w:shd w:fill="auto" w:val="clear"/>
            <w:vAlign w:val="bottom"/>
          </w:tcPr>
          <w:p>
            <w:pPr>
              <w:pStyle w:val="TableContents"/>
              <w:spacing w:before="0" w:after="0"/>
              <w:ind w:left="0" w:right="0" w:hanging="0"/>
              <w:jc w:val="right"/>
              <w:rPr/>
            </w:pPr>
            <w:r>
              <w:rPr/>
              <w:t>$  (51,950,968)</w:t>
            </w:r>
          </w:p>
        </w:tc>
      </w:tr>
      <w:tr>
        <w:trPr/>
        <w:tc>
          <w:tcPr>
            <w:tcW w:w="5073" w:type="dxa"/>
            <w:tcBorders/>
            <w:shd w:fill="auto" w:val="clear"/>
            <w:vAlign w:val="bottom"/>
          </w:tcPr>
          <w:p>
            <w:pPr>
              <w:pStyle w:val="TableContents"/>
              <w:spacing w:before="0" w:after="0"/>
              <w:ind w:left="0" w:right="0" w:hanging="0"/>
              <w:rPr/>
            </w:pPr>
            <w:r>
              <w:rPr/>
              <w:t>Adjustments to reconcile net loss to</w:t>
            </w:r>
          </w:p>
          <w:p>
            <w:pPr>
              <w:pStyle w:val="TableContents"/>
              <w:spacing w:before="0" w:after="0"/>
              <w:ind w:left="0" w:right="0" w:hanging="0"/>
              <w:rPr/>
            </w:pPr>
            <w:r>
              <w:rPr/>
              <w:t>net cash from operating activities:</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5073" w:type="dxa"/>
            <w:tcBorders/>
            <w:shd w:fill="auto" w:val="clear"/>
            <w:vAlign w:val="bottom"/>
          </w:tcPr>
          <w:p>
            <w:pPr>
              <w:pStyle w:val="TableContents"/>
              <w:spacing w:before="0" w:after="0"/>
              <w:ind w:left="0" w:right="0" w:hanging="0"/>
              <w:rPr/>
            </w:pPr>
            <w:r>
              <w:rPr/>
              <w:t>  </w:t>
            </w:r>
            <w:r>
              <w:rPr/>
              <w:t>Depreciation</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213,228 </w:t>
            </w:r>
          </w:p>
        </w:tc>
      </w:tr>
      <w:tr>
        <w:trPr/>
        <w:tc>
          <w:tcPr>
            <w:tcW w:w="5073" w:type="dxa"/>
            <w:tcBorders/>
            <w:shd w:fill="auto" w:val="clear"/>
            <w:vAlign w:val="bottom"/>
          </w:tcPr>
          <w:p>
            <w:pPr>
              <w:pStyle w:val="TableContents"/>
              <w:spacing w:before="0" w:after="0"/>
              <w:ind w:left="0" w:right="0" w:hanging="0"/>
              <w:rPr/>
            </w:pPr>
            <w:r>
              <w:rPr/>
              <w:t>  </w:t>
            </w:r>
            <w:r>
              <w:rPr/>
              <w:t>Non-cash loss on debt financing</w:t>
            </w:r>
          </w:p>
        </w:tc>
        <w:tc>
          <w:tcPr>
            <w:tcW w:w="1797" w:type="dxa"/>
            <w:tcBorders/>
            <w:shd w:fill="auto" w:val="clear"/>
            <w:vAlign w:val="bottom"/>
          </w:tcPr>
          <w:p>
            <w:pPr>
              <w:pStyle w:val="TableContents"/>
              <w:spacing w:before="0" w:after="0"/>
              <w:ind w:left="0" w:right="0" w:hanging="0"/>
              <w:jc w:val="right"/>
              <w:rPr/>
            </w:pPr>
            <w:r>
              <w:rPr/>
              <w:t>200,000 </w:t>
            </w:r>
          </w:p>
        </w:tc>
        <w:tc>
          <w:tcPr>
            <w:tcW w:w="1844" w:type="dxa"/>
            <w:tcBorders/>
            <w:shd w:fill="auto" w:val="clear"/>
            <w:vAlign w:val="bottom"/>
          </w:tcPr>
          <w:p>
            <w:pPr>
              <w:pStyle w:val="TableContents"/>
              <w:spacing w:before="0" w:after="0"/>
              <w:ind w:left="0" w:right="0" w:hanging="0"/>
              <w:jc w:val="right"/>
              <w:rPr/>
            </w:pPr>
            <w:r>
              <w:rPr/>
              <w:t>85,550 </w:t>
            </w:r>
          </w:p>
        </w:tc>
        <w:tc>
          <w:tcPr>
            <w:tcW w:w="1491" w:type="dxa"/>
            <w:tcBorders/>
            <w:shd w:fill="auto" w:val="clear"/>
            <w:vAlign w:val="bottom"/>
          </w:tcPr>
          <w:p>
            <w:pPr>
              <w:pStyle w:val="TableContents"/>
              <w:spacing w:before="0" w:after="0"/>
              <w:ind w:left="0" w:right="0" w:hanging="0"/>
              <w:jc w:val="right"/>
              <w:rPr/>
            </w:pPr>
            <w:r>
              <w:rPr/>
              <w:t>1,573,263 </w:t>
            </w:r>
          </w:p>
        </w:tc>
      </w:tr>
      <w:tr>
        <w:trPr/>
        <w:tc>
          <w:tcPr>
            <w:tcW w:w="5073" w:type="dxa"/>
            <w:tcBorders/>
            <w:shd w:fill="auto" w:val="clear"/>
            <w:vAlign w:val="bottom"/>
          </w:tcPr>
          <w:p>
            <w:pPr>
              <w:pStyle w:val="TableContents"/>
              <w:spacing w:before="0" w:after="0"/>
              <w:ind w:left="0" w:right="0" w:hanging="0"/>
              <w:rPr/>
            </w:pPr>
            <w:r>
              <w:rPr/>
              <w:t>  </w:t>
            </w:r>
            <w:r>
              <w:rPr/>
              <w:t>Changes in fair value of derivative liabilities</w:t>
            </w:r>
          </w:p>
        </w:tc>
        <w:tc>
          <w:tcPr>
            <w:tcW w:w="1797" w:type="dxa"/>
            <w:tcBorders/>
            <w:shd w:fill="auto" w:val="clear"/>
            <w:vAlign w:val="bottom"/>
          </w:tcPr>
          <w:p>
            <w:pPr>
              <w:pStyle w:val="TableContents"/>
              <w:spacing w:before="0" w:after="0"/>
              <w:ind w:left="0" w:right="0" w:hanging="0"/>
              <w:jc w:val="right"/>
              <w:rPr/>
            </w:pPr>
            <w:r>
              <w:rPr/>
              <w:t>(2,144,566)</w:t>
            </w:r>
          </w:p>
        </w:tc>
        <w:tc>
          <w:tcPr>
            <w:tcW w:w="1844" w:type="dxa"/>
            <w:tcBorders/>
            <w:shd w:fill="auto" w:val="clear"/>
            <w:vAlign w:val="bottom"/>
          </w:tcPr>
          <w:p>
            <w:pPr>
              <w:pStyle w:val="TableContents"/>
              <w:spacing w:before="0" w:after="0"/>
              <w:ind w:left="0" w:right="0" w:hanging="0"/>
              <w:jc w:val="right"/>
              <w:rPr/>
            </w:pPr>
            <w:r>
              <w:rPr/>
              <w:t>(544,576)</w:t>
            </w:r>
          </w:p>
        </w:tc>
        <w:tc>
          <w:tcPr>
            <w:tcW w:w="1491" w:type="dxa"/>
            <w:tcBorders/>
            <w:shd w:fill="auto" w:val="clear"/>
            <w:vAlign w:val="bottom"/>
          </w:tcPr>
          <w:p>
            <w:pPr>
              <w:pStyle w:val="TableContents"/>
              <w:spacing w:before="0" w:after="0"/>
              <w:ind w:left="0" w:right="0" w:hanging="0"/>
              <w:jc w:val="right"/>
              <w:rPr/>
            </w:pPr>
            <w:r>
              <w:rPr/>
              <w:t>(6,448,958)</w:t>
            </w:r>
          </w:p>
        </w:tc>
      </w:tr>
      <w:tr>
        <w:trPr/>
        <w:tc>
          <w:tcPr>
            <w:tcW w:w="5073" w:type="dxa"/>
            <w:tcBorders/>
            <w:shd w:fill="auto" w:val="clear"/>
            <w:vAlign w:val="bottom"/>
          </w:tcPr>
          <w:p>
            <w:pPr>
              <w:pStyle w:val="TableContents"/>
              <w:spacing w:before="0" w:after="0"/>
              <w:ind w:left="0" w:right="0" w:hanging="0"/>
              <w:rPr/>
            </w:pPr>
            <w:r>
              <w:rPr/>
              <w:t>  </w:t>
            </w:r>
            <w:r>
              <w:rPr/>
              <w:t>Loss (gain) on settlement of debt</w:t>
            </w:r>
          </w:p>
        </w:tc>
        <w:tc>
          <w:tcPr>
            <w:tcW w:w="1797" w:type="dxa"/>
            <w:tcBorders/>
            <w:shd w:fill="auto" w:val="clear"/>
            <w:vAlign w:val="bottom"/>
          </w:tcPr>
          <w:p>
            <w:pPr>
              <w:pStyle w:val="TableContents"/>
              <w:spacing w:before="0" w:after="0"/>
              <w:ind w:left="0" w:right="0" w:hanging="0"/>
              <w:jc w:val="right"/>
              <w:rPr/>
            </w:pPr>
            <w:r>
              <w:rPr/>
              <w:t>1,478,792 </w:t>
            </w:r>
          </w:p>
        </w:tc>
        <w:tc>
          <w:tcPr>
            <w:tcW w:w="1844" w:type="dxa"/>
            <w:tcBorders/>
            <w:shd w:fill="auto" w:val="clear"/>
            <w:vAlign w:val="bottom"/>
          </w:tcPr>
          <w:p>
            <w:pPr>
              <w:pStyle w:val="TableContents"/>
              <w:spacing w:before="0" w:after="0"/>
              <w:ind w:left="0" w:right="0" w:hanging="0"/>
              <w:jc w:val="right"/>
              <w:rPr/>
            </w:pPr>
            <w:r>
              <w:rPr/>
              <w:t>(28,688)</w:t>
            </w:r>
          </w:p>
        </w:tc>
        <w:tc>
          <w:tcPr>
            <w:tcW w:w="1491" w:type="dxa"/>
            <w:tcBorders/>
            <w:shd w:fill="auto" w:val="clear"/>
            <w:vAlign w:val="bottom"/>
          </w:tcPr>
          <w:p>
            <w:pPr>
              <w:pStyle w:val="TableContents"/>
              <w:spacing w:before="0" w:after="0"/>
              <w:ind w:left="0" w:right="0" w:hanging="0"/>
              <w:jc w:val="right"/>
              <w:rPr/>
            </w:pPr>
            <w:r>
              <w:rPr/>
              <w:t>13,169,593 </w:t>
            </w:r>
          </w:p>
        </w:tc>
      </w:tr>
      <w:tr>
        <w:trPr/>
        <w:tc>
          <w:tcPr>
            <w:tcW w:w="5073" w:type="dxa"/>
            <w:tcBorders/>
            <w:shd w:fill="auto" w:val="clear"/>
            <w:vAlign w:val="bottom"/>
          </w:tcPr>
          <w:p>
            <w:pPr>
              <w:pStyle w:val="TableContents"/>
              <w:spacing w:before="0" w:after="0"/>
              <w:ind w:left="0" w:right="0" w:hanging="0"/>
              <w:rPr/>
            </w:pPr>
            <w:r>
              <w:rPr/>
              <w:t>  </w:t>
            </w:r>
            <w:r>
              <w:rPr/>
              <w:t>Gain on extinguishment of derivative liabilities -         warrants</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(290,500)</w:t>
            </w:r>
          </w:p>
        </w:tc>
      </w:tr>
      <w:tr>
        <w:trPr/>
        <w:tc>
          <w:tcPr>
            <w:tcW w:w="5073" w:type="dxa"/>
            <w:tcBorders/>
            <w:shd w:fill="auto" w:val="clear"/>
            <w:vAlign w:val="bottom"/>
          </w:tcPr>
          <w:p>
            <w:pPr>
              <w:pStyle w:val="TableContents"/>
              <w:spacing w:before="0" w:after="0"/>
              <w:ind w:left="0" w:right="0" w:hanging="0"/>
              <w:rPr/>
            </w:pPr>
            <w:r>
              <w:rPr/>
              <w:t>  </w:t>
            </w:r>
            <w:r>
              <w:rPr/>
              <w:t>Loss on disposal of assets</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5,399 </w:t>
            </w:r>
          </w:p>
        </w:tc>
      </w:tr>
      <w:tr>
        <w:trPr/>
        <w:tc>
          <w:tcPr>
            <w:tcW w:w="5073" w:type="dxa"/>
            <w:tcBorders/>
            <w:shd w:fill="auto" w:val="clear"/>
            <w:vAlign w:val="bottom"/>
          </w:tcPr>
          <w:p>
            <w:pPr>
              <w:pStyle w:val="TableContents"/>
              <w:spacing w:before="0" w:after="0"/>
              <w:ind w:left="0" w:right="0" w:hanging="0"/>
              <w:rPr/>
            </w:pPr>
            <w:r>
              <w:rPr/>
              <w:t>  </w:t>
            </w:r>
            <w:r>
              <w:rPr/>
              <w:t>Non-cash interest and financing charges</w:t>
            </w:r>
          </w:p>
        </w:tc>
        <w:tc>
          <w:tcPr>
            <w:tcW w:w="1797" w:type="dxa"/>
            <w:tcBorders/>
            <w:shd w:fill="auto" w:val="clear"/>
            <w:vAlign w:val="bottom"/>
          </w:tcPr>
          <w:p>
            <w:pPr>
              <w:pStyle w:val="TableContents"/>
              <w:spacing w:before="0" w:after="0"/>
              <w:ind w:left="0" w:right="0" w:hanging="0"/>
              <w:jc w:val="right"/>
              <w:rPr/>
            </w:pPr>
            <w:r>
              <w:rPr/>
              <w:t>934,261 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6,402,760 </w:t>
            </w:r>
          </w:p>
        </w:tc>
      </w:tr>
      <w:tr>
        <w:trPr/>
        <w:tc>
          <w:tcPr>
            <w:tcW w:w="5073" w:type="dxa"/>
            <w:tcBorders/>
            <w:shd w:fill="auto" w:val="clear"/>
            <w:vAlign w:val="bottom"/>
          </w:tcPr>
          <w:p>
            <w:pPr>
              <w:pStyle w:val="TableContents"/>
              <w:spacing w:before="0" w:after="0"/>
              <w:ind w:left="0" w:right="0" w:hanging="0"/>
              <w:rPr/>
            </w:pPr>
            <w:r>
              <w:rPr/>
              <w:t>  </w:t>
            </w:r>
            <w:r>
              <w:rPr/>
              <w:t>Stock based compensation</w:t>
            </w:r>
          </w:p>
        </w:tc>
        <w:tc>
          <w:tcPr>
            <w:tcW w:w="1797" w:type="dxa"/>
            <w:tcBorders/>
            <w:shd w:fill="auto" w:val="clear"/>
            <w:vAlign w:val="bottom"/>
          </w:tcPr>
          <w:p>
            <w:pPr>
              <w:pStyle w:val="TableContents"/>
              <w:spacing w:before="0" w:after="0"/>
              <w:ind w:left="0" w:right="0" w:hanging="0"/>
              <w:jc w:val="right"/>
              <w:rPr/>
            </w:pPr>
            <w:r>
              <w:rPr/>
              <w:t>121,685 </w:t>
            </w:r>
          </w:p>
        </w:tc>
        <w:tc>
          <w:tcPr>
            <w:tcW w:w="1844" w:type="dxa"/>
            <w:tcBorders/>
            <w:shd w:fill="auto" w:val="clear"/>
            <w:vAlign w:val="bottom"/>
          </w:tcPr>
          <w:p>
            <w:pPr>
              <w:pStyle w:val="TableContents"/>
              <w:spacing w:before="0" w:after="0"/>
              <w:ind w:left="0" w:right="0" w:hanging="0"/>
              <w:jc w:val="right"/>
              <w:rPr/>
            </w:pPr>
            <w:r>
              <w:rPr/>
              <w:t>2,430,521 </w:t>
            </w:r>
          </w:p>
        </w:tc>
        <w:tc>
          <w:tcPr>
            <w:tcW w:w="1491" w:type="dxa"/>
            <w:tcBorders/>
            <w:shd w:fill="auto" w:val="clear"/>
            <w:vAlign w:val="bottom"/>
          </w:tcPr>
          <w:p>
            <w:pPr>
              <w:pStyle w:val="TableContents"/>
              <w:spacing w:before="0" w:after="0"/>
              <w:ind w:left="0" w:right="0" w:hanging="0"/>
              <w:jc w:val="right"/>
              <w:rPr/>
            </w:pPr>
            <w:r>
              <w:rPr/>
              <w:t>13,237,305 </w:t>
            </w:r>
          </w:p>
        </w:tc>
      </w:tr>
      <w:tr>
        <w:trPr/>
        <w:tc>
          <w:tcPr>
            <w:tcW w:w="5073" w:type="dxa"/>
            <w:tcBorders/>
            <w:shd w:fill="auto" w:val="clear"/>
            <w:vAlign w:val="bottom"/>
          </w:tcPr>
          <w:p>
            <w:pPr>
              <w:pStyle w:val="TableContents"/>
              <w:spacing w:before="0" w:after="0"/>
              <w:ind w:left="0" w:right="0" w:hanging="0"/>
              <w:rPr/>
            </w:pPr>
            <w:r>
              <w:rPr/>
              <w:t>  </w:t>
            </w:r>
            <w:r>
              <w:rPr/>
              <w:t>Changes in operating assets and liabilities:</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5073" w:type="dxa"/>
            <w:tcBorders/>
            <w:shd w:fill="auto" w:val="clear"/>
            <w:vAlign w:val="bottom"/>
          </w:tcPr>
          <w:p>
            <w:pPr>
              <w:pStyle w:val="TableContents"/>
              <w:spacing w:before="0" w:after="0"/>
              <w:ind w:left="0" w:right="0" w:hanging="0"/>
              <w:rPr/>
            </w:pPr>
            <w:r>
              <w:rPr/>
              <w:t>  </w:t>
            </w:r>
            <w:r>
              <w:rPr/>
              <w:t>Due from government agency</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(1,055)</w:t>
            </w:r>
          </w:p>
        </w:tc>
      </w:tr>
      <w:tr>
        <w:trPr/>
        <w:tc>
          <w:tcPr>
            <w:tcW w:w="5073" w:type="dxa"/>
            <w:tcBorders/>
            <w:shd w:fill="auto" w:val="clear"/>
            <w:vAlign w:val="bottom"/>
          </w:tcPr>
          <w:p>
            <w:pPr>
              <w:pStyle w:val="TableContents"/>
              <w:spacing w:before="0" w:after="0"/>
              <w:ind w:left="0" w:right="0" w:hanging="0"/>
              <w:rPr/>
            </w:pPr>
            <w:r>
              <w:rPr/>
              <w:t>  </w:t>
            </w:r>
            <w:r>
              <w:rPr/>
              <w:t>Prepaid expenses and deposits</w:t>
            </w:r>
          </w:p>
        </w:tc>
        <w:tc>
          <w:tcPr>
            <w:tcW w:w="1797" w:type="dxa"/>
            <w:tcBorders/>
            <w:shd w:fill="auto" w:val="clear"/>
            <w:vAlign w:val="bottom"/>
          </w:tcPr>
          <w:p>
            <w:pPr>
              <w:pStyle w:val="TableContents"/>
              <w:spacing w:before="0" w:after="0"/>
              <w:ind w:left="0" w:right="0" w:hanging="0"/>
              <w:jc w:val="right"/>
              <w:rPr/>
            </w:pPr>
            <w:r>
              <w:rPr/>
              <w:t>(103,950)</w:t>
            </w:r>
          </w:p>
        </w:tc>
        <w:tc>
          <w:tcPr>
            <w:tcW w:w="1844" w:type="dxa"/>
            <w:tcBorders/>
            <w:shd w:fill="auto" w:val="clear"/>
            <w:vAlign w:val="bottom"/>
          </w:tcPr>
          <w:p>
            <w:pPr>
              <w:pStyle w:val="TableContents"/>
              <w:spacing w:before="0" w:after="0"/>
              <w:ind w:left="0" w:right="0" w:hanging="0"/>
              <w:jc w:val="right"/>
              <w:rPr/>
            </w:pPr>
            <w:r>
              <w:rPr/>
              <w:t>34,123 </w:t>
            </w:r>
          </w:p>
        </w:tc>
        <w:tc>
          <w:tcPr>
            <w:tcW w:w="1491" w:type="dxa"/>
            <w:tcBorders/>
            <w:shd w:fill="auto" w:val="clear"/>
            <w:vAlign w:val="bottom"/>
          </w:tcPr>
          <w:p>
            <w:pPr>
              <w:pStyle w:val="TableContents"/>
              <w:spacing w:before="0" w:after="0"/>
              <w:ind w:left="0" w:right="0" w:hanging="0"/>
              <w:jc w:val="right"/>
              <w:rPr/>
            </w:pPr>
            <w:r>
              <w:rPr/>
              <w:t>(142,954)</w:t>
            </w:r>
          </w:p>
        </w:tc>
      </w:tr>
      <w:tr>
        <w:trPr/>
        <w:tc>
          <w:tcPr>
            <w:tcW w:w="5073" w:type="dxa"/>
            <w:tcBorders/>
            <w:shd w:fill="auto" w:val="clear"/>
            <w:vAlign w:val="bottom"/>
          </w:tcPr>
          <w:p>
            <w:pPr>
              <w:pStyle w:val="TableContents"/>
              <w:spacing w:before="0" w:after="0"/>
              <w:ind w:left="0" w:right="0" w:hanging="0"/>
              <w:rPr/>
            </w:pPr>
            <w:r>
              <w:rPr/>
              <w:t>  </w:t>
            </w:r>
            <w:r>
              <w:rPr/>
              <w:t>Deferred financing costs</w:t>
            </w:r>
          </w:p>
        </w:tc>
        <w:tc>
          <w:tcPr>
            <w:tcW w:w="1797" w:type="dxa"/>
            <w:tcBorders/>
            <w:shd w:fill="auto" w:val="clear"/>
            <w:vAlign w:val="bottom"/>
          </w:tcPr>
          <w:p>
            <w:pPr>
              <w:pStyle w:val="TableContents"/>
              <w:spacing w:before="0" w:after="0"/>
              <w:ind w:left="0" w:right="0" w:hanging="0"/>
              <w:jc w:val="right"/>
              <w:rPr/>
            </w:pPr>
            <w:r>
              <w:rPr/>
              <w:t>23,368 </w:t>
            </w:r>
          </w:p>
        </w:tc>
        <w:tc>
          <w:tcPr>
            <w:tcW w:w="1844" w:type="dxa"/>
            <w:tcBorders/>
            <w:shd w:fill="auto" w:val="clear"/>
            <w:vAlign w:val="bottom"/>
          </w:tcPr>
          <w:p>
            <w:pPr>
              <w:pStyle w:val="TableContents"/>
              <w:spacing w:before="0" w:after="0"/>
              <w:ind w:left="0" w:right="0" w:hanging="0"/>
              <w:jc w:val="right"/>
              <w:rPr/>
            </w:pPr>
            <w:r>
              <w:rPr/>
              <w:t>(1,118) </w:t>
            </w:r>
          </w:p>
        </w:tc>
        <w:tc>
          <w:tcPr>
            <w:tcW w:w="1491" w:type="dxa"/>
            <w:tcBorders/>
            <w:shd w:fill="auto" w:val="clear"/>
            <w:vAlign w:val="bottom"/>
          </w:tcPr>
          <w:p>
            <w:pPr>
              <w:pStyle w:val="TableContents"/>
              <w:spacing w:before="0" w:after="0"/>
              <w:ind w:left="0" w:right="0" w:hanging="0"/>
              <w:jc w:val="right"/>
              <w:rPr/>
            </w:pPr>
            <w:r>
              <w:rPr/>
              <w:t>11,165 </w:t>
            </w:r>
          </w:p>
        </w:tc>
      </w:tr>
      <w:tr>
        <w:trPr/>
        <w:tc>
          <w:tcPr>
            <w:tcW w:w="5073" w:type="dxa"/>
            <w:tcBorders/>
            <w:shd w:fill="auto" w:val="clear"/>
            <w:vAlign w:val="bottom"/>
          </w:tcPr>
          <w:p>
            <w:pPr>
              <w:pStyle w:val="TableContents"/>
              <w:spacing w:before="0" w:after="0"/>
              <w:ind w:left="0" w:right="0" w:hanging="0"/>
              <w:rPr/>
            </w:pPr>
            <w:r>
              <w:rPr/>
              <w:t>  </w:t>
            </w:r>
            <w:r>
              <w:rPr/>
              <w:t>Accounts payable and accrued liabilities</w:t>
            </w:r>
          </w:p>
        </w:tc>
        <w:tc>
          <w:tcPr>
            <w:tcW w:w="1797" w:type="dxa"/>
            <w:tcBorders/>
            <w:shd w:fill="auto" w:val="clear"/>
            <w:vAlign w:val="bottom"/>
          </w:tcPr>
          <w:p>
            <w:pPr>
              <w:pStyle w:val="TableContents"/>
              <w:spacing w:before="0" w:after="0"/>
              <w:ind w:left="0" w:right="0" w:hanging="0"/>
              <w:jc w:val="right"/>
              <w:rPr/>
            </w:pPr>
            <w:r>
              <w:rPr/>
              <w:t>716,371 </w:t>
            </w:r>
          </w:p>
        </w:tc>
        <w:tc>
          <w:tcPr>
            <w:tcW w:w="1844" w:type="dxa"/>
            <w:tcBorders/>
            <w:shd w:fill="auto" w:val="clear"/>
            <w:vAlign w:val="bottom"/>
          </w:tcPr>
          <w:p>
            <w:pPr>
              <w:pStyle w:val="TableContents"/>
              <w:spacing w:before="0" w:after="0"/>
              <w:ind w:left="0" w:right="0" w:hanging="0"/>
              <w:jc w:val="right"/>
              <w:rPr/>
            </w:pPr>
            <w:r>
              <w:rPr/>
              <w:t>940,661 </w:t>
            </w:r>
          </w:p>
        </w:tc>
        <w:tc>
          <w:tcPr>
            <w:tcW w:w="1491" w:type="dxa"/>
            <w:tcBorders/>
            <w:shd w:fill="auto" w:val="clear"/>
            <w:vAlign w:val="bottom"/>
          </w:tcPr>
          <w:p>
            <w:pPr>
              <w:pStyle w:val="TableContents"/>
              <w:spacing w:before="0" w:after="0"/>
              <w:ind w:left="0" w:right="0" w:hanging="0"/>
              <w:jc w:val="right"/>
              <w:rPr/>
            </w:pPr>
            <w:r>
              <w:rPr/>
              <w:t>6,313,652 </w:t>
            </w:r>
          </w:p>
        </w:tc>
      </w:tr>
      <w:tr>
        <w:trPr/>
        <w:tc>
          <w:tcPr>
            <w:tcW w:w="5073" w:type="dxa"/>
            <w:tcBorders/>
            <w:shd w:fill="auto" w:val="clear"/>
            <w:vAlign w:val="bottom"/>
          </w:tcPr>
          <w:p>
            <w:pPr>
              <w:pStyle w:val="TableContents"/>
              <w:spacing w:before="0" w:after="0"/>
              <w:ind w:left="0" w:right="0" w:hanging="0"/>
              <w:rPr/>
            </w:pPr>
            <w:r>
              <w:rPr/>
              <w:t>  </w:t>
            </w:r>
            <w:r>
              <w:rPr/>
              <w:t>Research agreement obligations</w:t>
            </w:r>
          </w:p>
        </w:tc>
        <w:tc>
          <w:tcPr>
            <w:tcW w:w="1797" w:type="dxa"/>
            <w:tcBorders/>
            <w:shd w:fill="auto" w:val="clear"/>
            <w:vAlign w:val="bottom"/>
          </w:tcPr>
          <w:p>
            <w:pPr>
              <w:pStyle w:val="TableContents"/>
              <w:spacing w:before="0" w:after="0"/>
              <w:ind w:left="0" w:right="0" w:hanging="0"/>
              <w:jc w:val="right"/>
              <w:rPr/>
            </w:pPr>
            <w:r>
              <w:rPr/>
              <w:t>76,367 </w:t>
            </w:r>
          </w:p>
        </w:tc>
        <w:tc>
          <w:tcPr>
            <w:tcW w:w="1844" w:type="dxa"/>
            <w:tcBorders/>
            <w:shd w:fill="auto" w:val="clear"/>
            <w:vAlign w:val="bottom"/>
          </w:tcPr>
          <w:p>
            <w:pPr>
              <w:pStyle w:val="TableContents"/>
              <w:spacing w:before="0" w:after="0"/>
              <w:ind w:left="0" w:right="0" w:hanging="0"/>
              <w:jc w:val="right"/>
              <w:rPr/>
            </w:pPr>
            <w:r>
              <w:rPr/>
              <w:t>106,218 </w:t>
            </w:r>
          </w:p>
        </w:tc>
        <w:tc>
          <w:tcPr>
            <w:tcW w:w="1491" w:type="dxa"/>
            <w:tcBorders/>
            <w:shd w:fill="auto" w:val="clear"/>
            <w:vAlign w:val="bottom"/>
          </w:tcPr>
          <w:p>
            <w:pPr>
              <w:pStyle w:val="TableContents"/>
              <w:spacing w:before="0" w:after="0"/>
              <w:ind w:left="0" w:right="0" w:hanging="0"/>
              <w:jc w:val="right"/>
              <w:rPr/>
            </w:pPr>
            <w:r>
              <w:rPr/>
              <w:t>710,496 </w:t>
            </w:r>
          </w:p>
        </w:tc>
      </w:tr>
      <w:tr>
        <w:trPr/>
        <w:tc>
          <w:tcPr>
            <w:tcW w:w="507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b/>
              </w:rPr>
            </w:pPr>
            <w:r>
              <w:rPr>
                <w:b/>
              </w:rPr>
              <w:t>NET CASH USED IN</w:t>
            </w:r>
          </w:p>
          <w:p>
            <w:pPr>
              <w:pStyle w:val="TableContents"/>
              <w:spacing w:before="0" w:after="0"/>
              <w:ind w:left="0" w:right="0" w:hanging="0"/>
              <w:rPr/>
            </w:pPr>
            <w:r>
              <w:rPr/>
              <w:t>  </w:t>
            </w:r>
            <w:r>
              <w:rPr>
                <w:b/>
              </w:rPr>
              <w:t>OPERATING ACTIVITIES</w:t>
            </w:r>
          </w:p>
        </w:tc>
        <w:tc>
          <w:tcPr>
            <w:tcW w:w="179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(754,557)</w:t>
            </w:r>
          </w:p>
        </w:tc>
        <w:tc>
          <w:tcPr>
            <w:tcW w:w="184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(1,095,993)</w:t>
            </w:r>
          </w:p>
        </w:tc>
        <w:tc>
          <w:tcPr>
            <w:tcW w:w="149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right"/>
              <w:rPr/>
            </w:pPr>
            <w:r>
              <w:rPr/>
              <w:t>(17,197,574)</w:t>
            </w:r>
          </w:p>
        </w:tc>
      </w:tr>
      <w:tr>
        <w:trPr/>
        <w:tc>
          <w:tcPr>
            <w:tcW w:w="5073" w:type="dxa"/>
            <w:tcBorders/>
            <w:shd w:fill="auto" w:val="clear"/>
            <w:vAlign w:val="bottom"/>
          </w:tcPr>
          <w:p>
            <w:pPr>
              <w:pStyle w:val="TableContents"/>
              <w:pBdr/>
              <w:spacing w:before="0" w:after="0"/>
              <w:ind w:left="0" w:right="0" w:hanging="0"/>
              <w:rPr/>
            </w:pPr>
            <w:r>
              <w:rPr/>
              <w:t> </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10205" w:type="dxa"/>
            <w:gridSpan w:val="4"/>
            <w:tcBorders/>
            <w:shd w:fill="auto" w:val="clear"/>
            <w:vAlign w:val="bottom"/>
          </w:tcPr>
          <w:p>
            <w:pPr>
              <w:pStyle w:val="TableContents"/>
              <w:spacing w:before="0" w:after="0"/>
              <w:ind w:left="0" w:right="0" w:hanging="0"/>
              <w:rPr>
                <w:b/>
              </w:rPr>
            </w:pPr>
            <w:r>
              <w:rPr>
                <w:b/>
              </w:rPr>
              <w:t>CASH FLOWS FROM FINANCING ACTIVITIES</w:t>
            </w:r>
          </w:p>
        </w:tc>
      </w:tr>
      <w:tr>
        <w:trPr/>
        <w:tc>
          <w:tcPr>
            <w:tcW w:w="5073" w:type="dxa"/>
            <w:tcBorders/>
            <w:shd w:fill="auto" w:val="clear"/>
            <w:vAlign w:val="bottom"/>
          </w:tcPr>
          <w:p>
            <w:pPr>
              <w:pStyle w:val="TableContents"/>
              <w:spacing w:before="0" w:after="0"/>
              <w:ind w:left="0" w:right="0" w:hanging="0"/>
              <w:rPr/>
            </w:pPr>
            <w:r>
              <w:rPr/>
              <w:t>Issuance of shares, net</w:t>
            </w:r>
          </w:p>
        </w:tc>
        <w:tc>
          <w:tcPr>
            <w:tcW w:w="1797" w:type="dxa"/>
            <w:tcBorders/>
            <w:shd w:fill="auto" w:val="clear"/>
            <w:vAlign w:val="bottom"/>
          </w:tcPr>
          <w:p>
            <w:pPr>
              <w:pStyle w:val="TableContents"/>
              <w:spacing w:before="0" w:after="0"/>
              <w:ind w:left="0" w:right="0" w:hanging="0"/>
              <w:jc w:val="right"/>
              <w:rPr/>
            </w:pPr>
            <w:r>
              <w:rPr/>
              <w:t>231,651 </w:t>
            </w:r>
          </w:p>
        </w:tc>
        <w:tc>
          <w:tcPr>
            <w:tcW w:w="1844" w:type="dxa"/>
            <w:tcBorders/>
            <w:shd w:fill="auto" w:val="clear"/>
            <w:vAlign w:val="bottom"/>
          </w:tcPr>
          <w:p>
            <w:pPr>
              <w:pStyle w:val="TableContents"/>
              <w:spacing w:before="0" w:after="0"/>
              <w:ind w:left="0" w:right="0" w:hanging="0"/>
              <w:jc w:val="right"/>
              <w:rPr/>
            </w:pPr>
            <w:r>
              <w:rPr/>
              <w:t>455,000 </w:t>
            </w:r>
          </w:p>
        </w:tc>
        <w:tc>
          <w:tcPr>
            <w:tcW w:w="1491" w:type="dxa"/>
            <w:tcBorders/>
            <w:shd w:fill="auto" w:val="clear"/>
            <w:vAlign w:val="bottom"/>
          </w:tcPr>
          <w:p>
            <w:pPr>
              <w:pStyle w:val="TableContents"/>
              <w:spacing w:before="0" w:after="0"/>
              <w:ind w:left="0" w:right="0" w:hanging="0"/>
              <w:jc w:val="right"/>
              <w:rPr/>
            </w:pPr>
            <w:r>
              <w:rPr/>
              <w:t>11,092,226 </w:t>
            </w:r>
          </w:p>
        </w:tc>
      </w:tr>
      <w:tr>
        <w:trPr/>
        <w:tc>
          <w:tcPr>
            <w:tcW w:w="5073" w:type="dxa"/>
            <w:tcBorders/>
            <w:shd w:fill="auto" w:val="clear"/>
            <w:vAlign w:val="bottom"/>
          </w:tcPr>
          <w:p>
            <w:pPr>
              <w:pStyle w:val="TableContents"/>
              <w:spacing w:before="0" w:after="0"/>
              <w:ind w:left="0" w:right="0" w:hanging="0"/>
              <w:rPr/>
            </w:pPr>
            <w:r>
              <w:rPr/>
              <w:t>Convertible notes, net</w:t>
            </w:r>
          </w:p>
        </w:tc>
        <w:tc>
          <w:tcPr>
            <w:tcW w:w="1797" w:type="dxa"/>
            <w:tcBorders/>
            <w:shd w:fill="auto" w:val="clear"/>
            <w:vAlign w:val="bottom"/>
          </w:tcPr>
          <w:p>
            <w:pPr>
              <w:pStyle w:val="TableContents"/>
              <w:spacing w:before="0" w:after="0"/>
              <w:ind w:left="0" w:right="0" w:hanging="0"/>
              <w:jc w:val="right"/>
              <w:rPr/>
            </w:pPr>
            <w:r>
              <w:rPr/>
              <w:t>335,000 </w:t>
            </w:r>
          </w:p>
        </w:tc>
        <w:tc>
          <w:tcPr>
            <w:tcW w:w="1844" w:type="dxa"/>
            <w:tcBorders/>
            <w:shd w:fill="auto" w:val="clear"/>
            <w:vAlign w:val="bottom"/>
          </w:tcPr>
          <w:p>
            <w:pPr>
              <w:pStyle w:val="TableContents"/>
              <w:spacing w:before="0" w:after="0"/>
              <w:ind w:left="0" w:right="0" w:hanging="0"/>
              <w:jc w:val="right"/>
              <w:rPr/>
            </w:pPr>
            <w:r>
              <w:rPr/>
              <w:t>206,000 </w:t>
            </w:r>
          </w:p>
        </w:tc>
        <w:tc>
          <w:tcPr>
            <w:tcW w:w="1491" w:type="dxa"/>
            <w:tcBorders/>
            <w:shd w:fill="auto" w:val="clear"/>
            <w:vAlign w:val="bottom"/>
          </w:tcPr>
          <w:p>
            <w:pPr>
              <w:pStyle w:val="TableContents"/>
              <w:spacing w:before="0" w:after="0"/>
              <w:ind w:left="0" w:right="0" w:hanging="0"/>
              <w:jc w:val="right"/>
              <w:rPr/>
            </w:pPr>
            <w:r>
              <w:rPr/>
              <w:t>2,458,906 </w:t>
            </w:r>
          </w:p>
        </w:tc>
      </w:tr>
      <w:tr>
        <w:trPr/>
        <w:tc>
          <w:tcPr>
            <w:tcW w:w="5073" w:type="dxa"/>
            <w:tcBorders/>
            <w:shd w:fill="auto" w:val="clear"/>
            <w:vAlign w:val="bottom"/>
          </w:tcPr>
          <w:p>
            <w:pPr>
              <w:pStyle w:val="TableContents"/>
              <w:spacing w:before="0" w:after="0"/>
              <w:ind w:left="0" w:right="0" w:hanging="0"/>
              <w:rPr/>
            </w:pPr>
            <w:r>
              <w:rPr/>
              <w:t>Proceeds from promissory notes</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67,942 </w:t>
            </w:r>
          </w:p>
        </w:tc>
        <w:tc>
          <w:tcPr>
            <w:tcW w:w="1491" w:type="dxa"/>
            <w:tcBorders/>
            <w:shd w:fill="auto" w:val="clear"/>
            <w:vAlign w:val="bottom"/>
          </w:tcPr>
          <w:p>
            <w:pPr>
              <w:pStyle w:val="TableContents"/>
              <w:spacing w:before="0" w:after="0"/>
              <w:ind w:left="0" w:right="0" w:hanging="0"/>
              <w:jc w:val="right"/>
              <w:rPr/>
            </w:pPr>
            <w:r>
              <w:rPr/>
              <w:t>- </w:t>
            </w:r>
          </w:p>
        </w:tc>
      </w:tr>
      <w:tr>
        <w:trPr/>
        <w:tc>
          <w:tcPr>
            <w:tcW w:w="5073" w:type="dxa"/>
            <w:tcBorders/>
            <w:shd w:fill="auto" w:val="clear"/>
            <w:vAlign w:val="bottom"/>
          </w:tcPr>
          <w:p>
            <w:pPr>
              <w:pStyle w:val="TableContents"/>
              <w:spacing w:before="0" w:after="0"/>
              <w:ind w:left="0" w:right="0" w:hanging="0"/>
              <w:rPr/>
            </w:pPr>
            <w:r>
              <w:rPr/>
              <w:t>Proceeds from loans payable</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21,000 </w:t>
            </w:r>
          </w:p>
        </w:tc>
        <w:tc>
          <w:tcPr>
            <w:tcW w:w="1491" w:type="dxa"/>
            <w:tcBorders/>
            <w:shd w:fill="auto" w:val="clear"/>
            <w:vAlign w:val="bottom"/>
          </w:tcPr>
          <w:p>
            <w:pPr>
              <w:pStyle w:val="TableContents"/>
              <w:spacing w:before="0" w:after="0"/>
              <w:ind w:left="0" w:right="0" w:hanging="0"/>
              <w:jc w:val="right"/>
              <w:rPr/>
            </w:pPr>
            <w:r>
              <w:rPr/>
              <w:t>428,000 </w:t>
            </w:r>
          </w:p>
        </w:tc>
      </w:tr>
      <w:tr>
        <w:trPr/>
        <w:tc>
          <w:tcPr>
            <w:tcW w:w="5073" w:type="dxa"/>
            <w:tcBorders/>
            <w:shd w:fill="auto" w:val="clear"/>
            <w:vAlign w:val="bottom"/>
          </w:tcPr>
          <w:p>
            <w:pPr>
              <w:pStyle w:val="TableContents"/>
              <w:spacing w:before="0" w:after="0"/>
              <w:ind w:left="0" w:right="0" w:hanging="0"/>
              <w:rPr/>
            </w:pPr>
            <w:r>
              <w:rPr/>
              <w:t>Notes and loans payable</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919,845 </w:t>
            </w:r>
          </w:p>
        </w:tc>
      </w:tr>
      <w:tr>
        <w:trPr/>
        <w:tc>
          <w:tcPr>
            <w:tcW w:w="5073" w:type="dxa"/>
            <w:tcBorders/>
            <w:shd w:fill="auto" w:val="clear"/>
            <w:vAlign w:val="bottom"/>
          </w:tcPr>
          <w:p>
            <w:pPr>
              <w:pStyle w:val="TableContents"/>
              <w:spacing w:before="0" w:after="0"/>
              <w:ind w:left="0" w:right="0" w:hanging="0"/>
              <w:rPr/>
            </w:pPr>
            <w:r>
              <w:rPr/>
              <w:t>Advances from (to) related parties</w:t>
            </w:r>
          </w:p>
        </w:tc>
        <w:tc>
          <w:tcPr>
            <w:tcW w:w="1797" w:type="dxa"/>
            <w:tcBorders/>
            <w:shd w:fill="auto" w:val="clear"/>
            <w:vAlign w:val="bottom"/>
          </w:tcPr>
          <w:p>
            <w:pPr>
              <w:pStyle w:val="TableContents"/>
              <w:spacing w:before="0" w:after="0"/>
              <w:ind w:left="0" w:right="0" w:hanging="0"/>
              <w:jc w:val="right"/>
              <w:rPr/>
            </w:pPr>
            <w:r>
              <w:rPr/>
              <w:t>159,000 </w:t>
            </w:r>
          </w:p>
        </w:tc>
        <w:tc>
          <w:tcPr>
            <w:tcW w:w="1844" w:type="dxa"/>
            <w:tcBorders/>
            <w:shd w:fill="auto" w:val="clear"/>
            <w:vAlign w:val="bottom"/>
          </w:tcPr>
          <w:p>
            <w:pPr>
              <w:pStyle w:val="TableContents"/>
              <w:spacing w:before="0" w:after="0"/>
              <w:ind w:left="0" w:right="0" w:hanging="0"/>
              <w:jc w:val="right"/>
              <w:rPr/>
            </w:pPr>
            <w:r>
              <w:rPr/>
              <w:t>99,544 </w:t>
            </w:r>
          </w:p>
        </w:tc>
        <w:tc>
          <w:tcPr>
            <w:tcW w:w="1491" w:type="dxa"/>
            <w:tcBorders/>
            <w:shd w:fill="auto" w:val="clear"/>
            <w:vAlign w:val="bottom"/>
          </w:tcPr>
          <w:p>
            <w:pPr>
              <w:pStyle w:val="TableContents"/>
              <w:spacing w:before="0" w:after="0"/>
              <w:ind w:left="0" w:right="0" w:hanging="0"/>
              <w:jc w:val="right"/>
              <w:rPr/>
            </w:pPr>
            <w:r>
              <w:rPr/>
              <w:t>1,958,783 </w:t>
            </w:r>
          </w:p>
        </w:tc>
      </w:tr>
      <w:tr>
        <w:trPr/>
        <w:tc>
          <w:tcPr>
            <w:tcW w:w="5073" w:type="dxa"/>
            <w:tcBorders>
              <w:bottom w:val="single" w:sz="2" w:space="0" w:color="000000"/>
            </w:tcBorders>
            <w:shd w:fill="auto" w:val="clear"/>
            <w:tcMar>
              <w:bottom w:w="28" w:type="dxa"/>
            </w:tcMar>
            <w:vAlign w:val="bottom"/>
          </w:tcPr>
          <w:p>
            <w:pPr>
              <w:pStyle w:val="TableContents"/>
              <w:spacing w:before="0" w:after="0"/>
              <w:ind w:left="0" w:right="0" w:hanging="0"/>
              <w:rPr/>
            </w:pPr>
            <w:r>
              <w:rPr/>
              <w:t>Stock subscriptions</w:t>
            </w:r>
          </w:p>
        </w:tc>
        <w:tc>
          <w:tcPr>
            <w:tcW w:w="179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84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49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140,000 </w:t>
            </w:r>
          </w:p>
        </w:tc>
      </w:tr>
      <w:tr>
        <w:trPr/>
        <w:tc>
          <w:tcPr>
            <w:tcW w:w="5073" w:type="dxa"/>
            <w:tcBorders>
              <w:bottom w:val="single" w:sz="2" w:space="0" w:color="000000"/>
            </w:tcBorders>
            <w:shd w:fill="auto" w:val="clear"/>
            <w:tcMar>
              <w:bottom w:w="28" w:type="dxa"/>
            </w:tcMar>
            <w:vAlign w:val="bottom"/>
          </w:tcPr>
          <w:p>
            <w:pPr>
              <w:pStyle w:val="TableContents"/>
              <w:spacing w:before="0" w:after="0"/>
              <w:ind w:left="0" w:right="0" w:hanging="0"/>
              <w:rPr>
                <w:b/>
              </w:rPr>
            </w:pPr>
            <w:r>
              <w:rPr>
                <w:b/>
              </w:rPr>
              <w:t>NET CASH PROVIDED BY</w:t>
            </w:r>
          </w:p>
          <w:p>
            <w:pPr>
              <w:pStyle w:val="TableContents"/>
              <w:spacing w:before="0" w:after="0"/>
              <w:ind w:left="0" w:right="0" w:hanging="0"/>
              <w:rPr/>
            </w:pPr>
            <w:r>
              <w:rPr/>
              <w:t>  </w:t>
            </w:r>
            <w:r>
              <w:rPr>
                <w:b/>
              </w:rPr>
              <w:t>FINANCING ACTIVITIES</w:t>
            </w:r>
          </w:p>
        </w:tc>
        <w:tc>
          <w:tcPr>
            <w:tcW w:w="179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725,651 </w:t>
            </w:r>
          </w:p>
        </w:tc>
        <w:tc>
          <w:tcPr>
            <w:tcW w:w="184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849,486 </w:t>
            </w:r>
          </w:p>
        </w:tc>
        <w:tc>
          <w:tcPr>
            <w:tcW w:w="149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16,997,760 </w:t>
            </w:r>
          </w:p>
        </w:tc>
      </w:tr>
      <w:tr>
        <w:trPr/>
        <w:tc>
          <w:tcPr>
            <w:tcW w:w="5073" w:type="dxa"/>
            <w:tcBorders/>
            <w:shd w:fill="auto" w:val="clear"/>
            <w:vAlign w:val="bottom"/>
          </w:tcPr>
          <w:p>
            <w:pPr>
              <w:pStyle w:val="TableContents"/>
              <w:pBdr/>
              <w:spacing w:before="0" w:after="0"/>
              <w:ind w:left="0" w:right="0" w:hanging="0"/>
              <w:rPr/>
            </w:pPr>
            <w:r>
              <w:rPr/>
              <w:t> </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10205" w:type="dxa"/>
            <w:gridSpan w:val="4"/>
            <w:tcBorders/>
            <w:shd w:fill="auto" w:val="clear"/>
            <w:vAlign w:val="bottom"/>
          </w:tcPr>
          <w:p>
            <w:pPr>
              <w:pStyle w:val="TableContents"/>
              <w:spacing w:before="0" w:after="0"/>
              <w:ind w:left="0" w:right="0" w:hanging="0"/>
              <w:rPr>
                <w:b/>
              </w:rPr>
            </w:pPr>
            <w:r>
              <w:rPr>
                <w:b/>
              </w:rPr>
              <w:t>CASH FLOWS FROM INVESTING ACTIVITIES</w:t>
            </w:r>
          </w:p>
        </w:tc>
      </w:tr>
      <w:tr>
        <w:trPr/>
        <w:tc>
          <w:tcPr>
            <w:tcW w:w="5073" w:type="dxa"/>
            <w:tcBorders/>
            <w:shd w:fill="auto" w:val="clear"/>
            <w:vAlign w:val="bottom"/>
          </w:tcPr>
          <w:p>
            <w:pPr>
              <w:pStyle w:val="TableContents"/>
              <w:spacing w:before="0" w:after="0"/>
              <w:ind w:left="0" w:right="0" w:hanging="0"/>
              <w:rPr/>
            </w:pPr>
            <w:r>
              <w:rPr/>
              <w:t>Purchase of furniture and equipment</w:t>
            </w:r>
          </w:p>
        </w:tc>
        <w:tc>
          <w:tcPr>
            <w:tcW w:w="1797" w:type="dxa"/>
            <w:tcBorders/>
            <w:shd w:fill="auto" w:val="clear"/>
            <w:vAlign w:val="bottom"/>
          </w:tcPr>
          <w:p>
            <w:pPr>
              <w:pStyle w:val="TableContents"/>
              <w:spacing w:before="0" w:after="0"/>
              <w:ind w:left="0" w:right="0" w:hanging="0"/>
              <w:jc w:val="right"/>
              <w:rPr/>
            </w:pPr>
            <w:r>
              <w:rPr/>
              <w:t>- </w:t>
            </w:r>
          </w:p>
        </w:tc>
        <w:tc>
          <w:tcPr>
            <w:tcW w:w="1844" w:type="dxa"/>
            <w:tcBorders/>
            <w:shd w:fill="auto" w:val="clear"/>
            <w:vAlign w:val="bottom"/>
          </w:tcPr>
          <w:p>
            <w:pPr>
              <w:pStyle w:val="TableContents"/>
              <w:spacing w:before="0" w:after="0"/>
              <w:ind w:left="0" w:right="0" w:hanging="0"/>
              <w:jc w:val="right"/>
              <w:rPr/>
            </w:pPr>
            <w:r>
              <w:rPr/>
              <w:t>- </w:t>
            </w:r>
          </w:p>
        </w:tc>
        <w:tc>
          <w:tcPr>
            <w:tcW w:w="1491" w:type="dxa"/>
            <w:tcBorders/>
            <w:shd w:fill="auto" w:val="clear"/>
            <w:vAlign w:val="bottom"/>
          </w:tcPr>
          <w:p>
            <w:pPr>
              <w:pStyle w:val="TableContents"/>
              <w:spacing w:before="0" w:after="0"/>
              <w:ind w:left="0" w:right="0" w:hanging="0"/>
              <w:jc w:val="right"/>
              <w:rPr/>
            </w:pPr>
            <w:r>
              <w:rPr/>
              <w:t>(218,626)</w:t>
            </w:r>
          </w:p>
        </w:tc>
      </w:tr>
      <w:tr>
        <w:trPr/>
        <w:tc>
          <w:tcPr>
            <w:tcW w:w="5073" w:type="dxa"/>
            <w:tcBorders>
              <w:bottom w:val="single" w:sz="2" w:space="0" w:color="000000"/>
            </w:tcBorders>
            <w:shd w:fill="auto" w:val="clear"/>
            <w:tcMar>
              <w:bottom w:w="28" w:type="dxa"/>
            </w:tcMar>
            <w:vAlign w:val="bottom"/>
          </w:tcPr>
          <w:p>
            <w:pPr>
              <w:pStyle w:val="TableContents"/>
              <w:spacing w:before="0" w:after="0"/>
              <w:ind w:left="0" w:right="0" w:hanging="0"/>
              <w:rPr/>
            </w:pPr>
            <w:r>
              <w:rPr/>
              <w:t>Cash acquired on reverse acquisition</w:t>
            </w:r>
          </w:p>
        </w:tc>
        <w:tc>
          <w:tcPr>
            <w:tcW w:w="179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84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49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423,373 </w:t>
            </w:r>
          </w:p>
        </w:tc>
      </w:tr>
      <w:tr>
        <w:trPr/>
        <w:tc>
          <w:tcPr>
            <w:tcW w:w="5073" w:type="dxa"/>
            <w:tcBorders>
              <w:bottom w:val="single" w:sz="2" w:space="0" w:color="000000"/>
            </w:tcBorders>
            <w:shd w:fill="auto" w:val="clear"/>
            <w:tcMar>
              <w:bottom w:w="28" w:type="dxa"/>
            </w:tcMar>
            <w:vAlign w:val="bottom"/>
          </w:tcPr>
          <w:p>
            <w:pPr>
              <w:pStyle w:val="TableContents"/>
              <w:spacing w:before="0" w:after="0"/>
              <w:ind w:left="0" w:right="0" w:hanging="0"/>
              <w:rPr>
                <w:b/>
              </w:rPr>
            </w:pPr>
            <w:r>
              <w:rPr>
                <w:b/>
              </w:rPr>
              <w:t>NET CASH PROVIDED BY</w:t>
            </w:r>
          </w:p>
          <w:p>
            <w:pPr>
              <w:pStyle w:val="TableContents"/>
              <w:spacing w:before="0" w:after="0"/>
              <w:ind w:left="0" w:right="0" w:hanging="0"/>
              <w:rPr/>
            </w:pPr>
            <w:r>
              <w:rPr/>
              <w:t>  </w:t>
            </w:r>
            <w:r>
              <w:rPr>
                <w:b/>
              </w:rPr>
              <w:t>INVESTING ACTIVITIES</w:t>
            </w:r>
          </w:p>
        </w:tc>
        <w:tc>
          <w:tcPr>
            <w:tcW w:w="179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84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49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204,747 </w:t>
            </w:r>
          </w:p>
        </w:tc>
      </w:tr>
      <w:tr>
        <w:trPr/>
        <w:tc>
          <w:tcPr>
            <w:tcW w:w="5073" w:type="dxa"/>
            <w:tcBorders/>
            <w:shd w:fill="auto" w:val="clear"/>
            <w:vAlign w:val="bottom"/>
          </w:tcPr>
          <w:p>
            <w:pPr>
              <w:pStyle w:val="TableContents"/>
              <w:pBdr/>
              <w:spacing w:before="0" w:after="0"/>
              <w:ind w:left="0" w:right="0" w:hanging="0"/>
              <w:rPr/>
            </w:pPr>
            <w:r>
              <w:rPr/>
              <w:t> </w:t>
            </w:r>
          </w:p>
        </w:tc>
        <w:tc>
          <w:tcPr>
            <w:tcW w:w="1797" w:type="dxa"/>
            <w:tcBorders/>
            <w:shd w:fill="auto" w:val="clear"/>
            <w:vAlign w:val="bottom"/>
          </w:tcPr>
          <w:p>
            <w:pPr>
              <w:pStyle w:val="TableContents"/>
              <w:pBdr/>
              <w:spacing w:before="0" w:after="0"/>
              <w:ind w:left="0" w:right="0" w:hanging="0"/>
              <w:rPr/>
            </w:pPr>
            <w:r>
              <w:rPr/>
              <w:t> </w:t>
            </w:r>
          </w:p>
        </w:tc>
        <w:tc>
          <w:tcPr>
            <w:tcW w:w="1844" w:type="dxa"/>
            <w:tcBorders/>
            <w:shd w:fill="auto" w:val="clear"/>
            <w:vAlign w:val="bottom"/>
          </w:tcPr>
          <w:p>
            <w:pPr>
              <w:pStyle w:val="TableContents"/>
              <w:pBdr/>
              <w:spacing w:before="0" w:after="0"/>
              <w:ind w:left="0" w:right="0" w:hanging="0"/>
              <w:rPr/>
            </w:pPr>
            <w:r>
              <w:rPr/>
              <w:t> </w:t>
            </w:r>
          </w:p>
        </w:tc>
        <w:tc>
          <w:tcPr>
            <w:tcW w:w="1491" w:type="dxa"/>
            <w:tcBorders/>
            <w:shd w:fill="auto" w:val="clear"/>
            <w:vAlign w:val="bottom"/>
          </w:tcPr>
          <w:p>
            <w:pPr>
              <w:pStyle w:val="TableContents"/>
              <w:pBdr/>
              <w:spacing w:before="0" w:after="0"/>
              <w:ind w:left="0" w:right="0" w:hanging="0"/>
              <w:rPr/>
            </w:pPr>
            <w:r>
              <w:rPr/>
              <w:t> </w:t>
            </w:r>
          </w:p>
        </w:tc>
      </w:tr>
      <w:tr>
        <w:trPr/>
        <w:tc>
          <w:tcPr>
            <w:tcW w:w="5073" w:type="dxa"/>
            <w:tcBorders/>
            <w:shd w:fill="auto" w:val="clear"/>
            <w:vAlign w:val="bottom"/>
          </w:tcPr>
          <w:p>
            <w:pPr>
              <w:pStyle w:val="TableContents"/>
              <w:spacing w:before="0" w:after="0"/>
              <w:ind w:left="0" w:right="0" w:hanging="0"/>
              <w:rPr>
                <w:b/>
              </w:rPr>
            </w:pPr>
            <w:r>
              <w:rPr>
                <w:b/>
              </w:rPr>
              <w:t>INCREASE (DECREASE) IN CASH</w:t>
            </w:r>
          </w:p>
        </w:tc>
        <w:tc>
          <w:tcPr>
            <w:tcW w:w="1797" w:type="dxa"/>
            <w:tcBorders/>
            <w:shd w:fill="auto" w:val="clear"/>
            <w:vAlign w:val="bottom"/>
          </w:tcPr>
          <w:p>
            <w:pPr>
              <w:pStyle w:val="TableContents"/>
              <w:spacing w:before="0" w:after="0"/>
              <w:ind w:left="0" w:right="0" w:hanging="0"/>
              <w:jc w:val="right"/>
              <w:rPr/>
            </w:pPr>
            <w:r>
              <w:rPr/>
              <w:t>(28,906)</w:t>
            </w:r>
          </w:p>
        </w:tc>
        <w:tc>
          <w:tcPr>
            <w:tcW w:w="1844" w:type="dxa"/>
            <w:tcBorders/>
            <w:shd w:fill="auto" w:val="clear"/>
            <w:vAlign w:val="bottom"/>
          </w:tcPr>
          <w:p>
            <w:pPr>
              <w:pStyle w:val="TableContents"/>
              <w:spacing w:before="0" w:after="0"/>
              <w:ind w:left="0" w:right="0" w:hanging="0"/>
              <w:jc w:val="right"/>
              <w:rPr/>
            </w:pPr>
            <w:r>
              <w:rPr/>
              <w:t>(246,507)</w:t>
            </w:r>
          </w:p>
        </w:tc>
        <w:tc>
          <w:tcPr>
            <w:tcW w:w="1491" w:type="dxa"/>
            <w:tcBorders/>
            <w:shd w:fill="auto" w:val="clear"/>
            <w:vAlign w:val="bottom"/>
          </w:tcPr>
          <w:p>
            <w:pPr>
              <w:pStyle w:val="TableContents"/>
              <w:spacing w:before="0" w:after="0"/>
              <w:ind w:left="0" w:right="0" w:hanging="0"/>
              <w:jc w:val="right"/>
              <w:rPr/>
            </w:pPr>
            <w:r>
              <w:rPr/>
              <w:t>4,933 </w:t>
            </w:r>
          </w:p>
        </w:tc>
      </w:tr>
      <w:tr>
        <w:trPr/>
        <w:tc>
          <w:tcPr>
            <w:tcW w:w="5073" w:type="dxa"/>
            <w:tcBorders>
              <w:bottom w:val="single" w:sz="2" w:space="0" w:color="000000"/>
            </w:tcBorders>
            <w:shd w:fill="auto" w:val="clear"/>
            <w:tcMar>
              <w:bottom w:w="28" w:type="dxa"/>
            </w:tcMar>
            <w:vAlign w:val="bottom"/>
          </w:tcPr>
          <w:p>
            <w:pPr>
              <w:pStyle w:val="TableContents"/>
              <w:spacing w:before="0" w:after="0"/>
              <w:ind w:left="0" w:right="0" w:hanging="0"/>
              <w:rPr>
                <w:b/>
              </w:rPr>
            </w:pPr>
            <w:r>
              <w:rPr>
                <w:b/>
              </w:rPr>
              <w:t>CASH, BEGINNING OF PERIOD</w:t>
            </w:r>
          </w:p>
        </w:tc>
        <w:tc>
          <w:tcPr>
            <w:tcW w:w="179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33,839 </w:t>
            </w:r>
          </w:p>
        </w:tc>
        <w:tc>
          <w:tcPr>
            <w:tcW w:w="184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250,234 </w:t>
            </w:r>
          </w:p>
        </w:tc>
        <w:tc>
          <w:tcPr>
            <w:tcW w:w="1491"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r>
      <w:tr>
        <w:trPr/>
        <w:tc>
          <w:tcPr>
            <w:tcW w:w="5073"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CASH, END OF PERIOD</w:t>
            </w:r>
          </w:p>
        </w:tc>
        <w:tc>
          <w:tcPr>
            <w:tcW w:w="179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4,933 </w:t>
            </w:r>
          </w:p>
        </w:tc>
        <w:tc>
          <w:tcPr>
            <w:tcW w:w="1844"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3,727 </w:t>
            </w:r>
          </w:p>
        </w:tc>
        <w:tc>
          <w:tcPr>
            <w:tcW w:w="1491"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4,933 </w:t>
            </w:r>
          </w:p>
        </w:tc>
      </w:tr>
    </w:tbl>
    <w:p>
      <w:pPr>
        <w:pStyle w:val="TextBody"/>
        <w:spacing w:before="0" w:after="0"/>
        <w:ind w:left="0" w:right="0" w:hanging="0"/>
        <w:jc w:val="both"/>
        <w:rPr/>
      </w:pPr>
      <w:r>
        <w:rPr/>
      </w:r>
    </w:p>
    <w:p>
      <w:pPr>
        <w:pStyle w:val="TextBody"/>
        <w:spacing w:before="0" w:after="0"/>
        <w:ind w:left="0" w:right="0" w:hanging="0"/>
        <w:jc w:val="both"/>
        <w:rPr/>
      </w:pPr>
      <w:r>
        <w:rPr>
          <w:b/>
        </w:rPr>
        <w:t>Supplemental cash flow information and non-cash investing and financing activities:</w:t>
      </w:r>
      <w:r>
        <w:rPr/>
        <w:t xml:space="preserve"> (Note 10)</w:t>
      </w:r>
    </w:p>
    <w:p>
      <w:pPr>
        <w:pStyle w:val="TextBody"/>
        <w:spacing w:before="0" w:after="0"/>
        <w:ind w:left="0" w:right="0" w:hanging="0"/>
        <w:jc w:val="both"/>
        <w:rPr/>
      </w:pPr>
      <w:r>
        <w:rPr/>
      </w:r>
    </w:p>
    <w:p>
      <w:pPr>
        <w:pStyle w:val="TextBody"/>
        <w:spacing w:before="0" w:after="0"/>
        <w:ind w:left="0" w:right="0" w:hanging="0"/>
        <w:jc w:val="center"/>
        <w:rPr/>
      </w:pPr>
      <w:r>
        <w:rPr/>
        <w:t>The accompanying notes are an integral part of these interim consolidated financial statements.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TAPIMMUNE INC.</w:t>
      </w:r>
    </w:p>
    <w:p>
      <w:pPr>
        <w:pStyle w:val="TextBody"/>
        <w:spacing w:before="0" w:after="0"/>
        <w:ind w:left="0" w:right="0" w:hanging="0"/>
        <w:jc w:val="center"/>
        <w:rPr/>
      </w:pPr>
      <w:r>
        <w:rPr/>
        <w:t>(A Development Stage Company)</w:t>
      </w:r>
    </w:p>
    <w:p>
      <w:pPr>
        <w:pStyle w:val="TextBody"/>
        <w:spacing w:before="0" w:after="0"/>
        <w:ind w:left="0" w:right="0" w:hanging="0"/>
        <w:jc w:val="center"/>
        <w:rPr>
          <w:b/>
        </w:rPr>
      </w:pPr>
      <w:r>
        <w:rPr>
          <w:b/>
        </w:rPr>
        <w:t>NOTES TO INTERIM CONSOLIDATED FINANCIAL STATEMENTS</w:t>
      </w:r>
    </w:p>
    <w:p>
      <w:pPr>
        <w:pStyle w:val="TextBody"/>
        <w:spacing w:before="0" w:after="0"/>
        <w:ind w:left="0" w:right="0" w:hanging="0"/>
        <w:jc w:val="center"/>
        <w:rPr>
          <w:b/>
        </w:rPr>
      </w:pPr>
      <w:r>
        <w:rPr>
          <w:b/>
        </w:rPr>
        <w:t>SEPTEMBER 30, 2013  (UNAUDITED)</w:t>
      </w:r>
    </w:p>
    <w:p>
      <w:pPr>
        <w:pStyle w:val="TextBody"/>
        <w:spacing w:before="0" w:after="0"/>
        <w:ind w:left="0" w:right="0" w:hanging="0"/>
        <w:jc w:val="both"/>
        <w:rPr/>
      </w:pPr>
      <w:r>
        <w:rPr/>
      </w:r>
    </w:p>
    <w:p>
      <w:pPr>
        <w:pStyle w:val="TextBody"/>
        <w:spacing w:before="195" w:after="0"/>
        <w:jc w:val="both"/>
        <w:rPr>
          <w:rFonts w:ascii="Times New Roman Bold;Times New Roman" w:hAnsi="Times New Roman Bold;Times New Roman"/>
          <w:b/>
          <w:u w:val="single"/>
        </w:rPr>
      </w:pPr>
      <w:r>
        <w:rPr>
          <w:rFonts w:ascii="Times New Roman Bold;Times New Roman" w:hAnsi="Times New Roman Bold;Times New Roman"/>
          <w:b/>
          <w:u w:val="single"/>
        </w:rPr>
        <w:t>NOTE 1A:  RESTATEMENT OF CONSOLIDATED FINANCIAL STATEMENTS</w:t>
      </w:r>
    </w:p>
    <w:p>
      <w:pPr>
        <w:pStyle w:val="TextBody"/>
        <w:spacing w:before="0" w:after="0"/>
        <w:ind w:left="0" w:right="0" w:hanging="0"/>
        <w:jc w:val="both"/>
        <w:rPr/>
      </w:pPr>
      <w:r>
        <w:rPr/>
      </w:r>
    </w:p>
    <w:p>
      <w:pPr>
        <w:pStyle w:val="TextBody"/>
        <w:spacing w:before="0" w:after="0"/>
        <w:ind w:left="0" w:right="0" w:hanging="0"/>
        <w:jc w:val="both"/>
        <w:rPr/>
      </w:pPr>
      <w:r>
        <w:rPr/>
        <w:t>We have restated our consolidated financial statements as of and for the year ended December 31, 2012 relating to the Companys accounting for derivative liabilities and certain other accounts. We had recorded the derivative liabilities without accurately reflecting the effect of conversion of certain convertible notes and proper classification of some of the liabilities.  </w:t>
      </w:r>
    </w:p>
    <w:p>
      <w:pPr>
        <w:pStyle w:val="TextBody"/>
        <w:spacing w:before="0" w:after="0"/>
        <w:ind w:left="0" w:right="0" w:hanging="0"/>
        <w:jc w:val="both"/>
        <w:rPr/>
      </w:pPr>
      <w:r>
        <w:rPr/>
      </w:r>
    </w:p>
    <w:p>
      <w:pPr>
        <w:pStyle w:val="TextBody"/>
        <w:spacing w:before="0" w:after="0"/>
        <w:ind w:left="0" w:right="0" w:hanging="0"/>
        <w:jc w:val="both"/>
        <w:rPr/>
      </w:pPr>
      <w:r>
        <w:rPr/>
        <w:t>The impact of the restatement on the consolidated financial statements as of and for the year ended December 31, 2012, is shown in the following table:</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5107"/>
        <w:gridCol w:w="150"/>
        <w:gridCol w:w="1341"/>
        <w:gridCol w:w="1081"/>
        <w:gridCol w:w="888"/>
        <w:gridCol w:w="130"/>
        <w:gridCol w:w="150"/>
        <w:gridCol w:w="1358"/>
      </w:tblGrid>
      <w:tr>
        <w:trPr/>
        <w:tc>
          <w:tcPr>
            <w:tcW w:w="510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r>
      <w:tr>
        <w:trPr/>
        <w:tc>
          <w:tcPr>
            <w:tcW w:w="6598" w:type="dxa"/>
            <w:gridSpan w:val="3"/>
            <w:tcBorders/>
            <w:shd w:fill="auto" w:val="clear"/>
          </w:tcPr>
          <w:p>
            <w:pPr>
              <w:pStyle w:val="TableContents"/>
              <w:spacing w:before="0" w:after="0"/>
              <w:ind w:left="0" w:right="0" w:hanging="0"/>
              <w:jc w:val="right"/>
              <w:rPr/>
            </w:pPr>
            <w:r>
              <w:rPr/>
              <w:t xml:space="preserve">As reported </w:t>
            </w:r>
          </w:p>
        </w:tc>
        <w:tc>
          <w:tcPr>
            <w:tcW w:w="1969" w:type="dxa"/>
            <w:gridSpan w:val="2"/>
            <w:tcBorders/>
            <w:shd w:fill="auto" w:val="clear"/>
          </w:tcPr>
          <w:p>
            <w:pPr>
              <w:pStyle w:val="TableContents"/>
              <w:spacing w:before="0" w:after="0"/>
              <w:ind w:left="0" w:right="0" w:hanging="0"/>
              <w:jc w:val="right"/>
              <w:rPr/>
            </w:pPr>
            <w:r>
              <w:rPr/>
              <w:t xml:space="preserve">Adjustment </w:t>
            </w:r>
          </w:p>
        </w:tc>
        <w:tc>
          <w:tcPr>
            <w:tcW w:w="1638" w:type="dxa"/>
            <w:gridSpan w:val="3"/>
            <w:tcBorders/>
            <w:shd w:fill="auto" w:val="clear"/>
          </w:tcPr>
          <w:p>
            <w:pPr>
              <w:pStyle w:val="TableContents"/>
              <w:spacing w:before="0" w:after="0"/>
              <w:ind w:left="0" w:right="0" w:hanging="0"/>
              <w:jc w:val="right"/>
              <w:rPr/>
            </w:pPr>
            <w:r>
              <w:rPr/>
              <w:t xml:space="preserve">As restated </w:t>
            </w:r>
          </w:p>
        </w:tc>
      </w:tr>
      <w:tr>
        <w:trPr/>
        <w:tc>
          <w:tcPr>
            <w:tcW w:w="10205" w:type="dxa"/>
            <w:gridSpan w:val="8"/>
            <w:tcBorders/>
            <w:shd w:fill="auto" w:val="clear"/>
          </w:tcPr>
          <w:p>
            <w:pPr>
              <w:pStyle w:val="TableContents"/>
              <w:spacing w:before="0" w:after="0"/>
              <w:ind w:left="0" w:right="0" w:hanging="0"/>
              <w:rPr>
                <w:b/>
              </w:rPr>
            </w:pPr>
            <w:r>
              <w:rPr>
                <w:b/>
              </w:rPr>
              <w:t xml:space="preserve">Balance sheet data  December 31, 2012 </w:t>
            </w:r>
          </w:p>
        </w:tc>
      </w:tr>
      <w:tr>
        <w:trPr/>
        <w:tc>
          <w:tcPr>
            <w:tcW w:w="5107" w:type="dxa"/>
            <w:tcBorders/>
            <w:shd w:fill="auto" w:val="clear"/>
          </w:tcPr>
          <w:p>
            <w:pPr>
              <w:pStyle w:val="TableContents"/>
              <w:pBdr/>
              <w:spacing w:before="0" w:after="0"/>
              <w:ind w:left="0" w:right="0" w:hanging="0"/>
              <w:rPr/>
            </w:pPr>
            <w:r>
              <w:rPr/>
              <w:t> </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pBdr/>
              <w:spacing w:before="0" w:after="0"/>
              <w:ind w:left="0" w:right="0" w:hanging="0"/>
              <w:rPr/>
            </w:pPr>
            <w:r>
              <w:rPr/>
              <w:t>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pBdr/>
              <w:spacing w:before="0" w:after="0"/>
              <w:ind w:left="0" w:right="0" w:hanging="0"/>
              <w:rPr/>
            </w:pPr>
            <w:r>
              <w:rPr/>
              <w:t> </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pBdr/>
              <w:spacing w:before="0" w:after="0"/>
              <w:ind w:left="0" w:right="0" w:hanging="0"/>
              <w:rPr/>
            </w:pPr>
            <w:r>
              <w:rPr/>
              <w:t> </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 xml:space="preserve">Cash </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50,679  </w:t>
            </w:r>
          </w:p>
        </w:tc>
        <w:tc>
          <w:tcPr>
            <w:tcW w:w="1081"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(16,840)</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33,839  </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Total Assets</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104,212 </w:t>
            </w:r>
          </w:p>
        </w:tc>
        <w:tc>
          <w:tcPr>
            <w:tcW w:w="1081"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(16,840)</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87,372 </w:t>
            </w:r>
          </w:p>
        </w:tc>
      </w:tr>
      <w:tr>
        <w:trPr/>
        <w:tc>
          <w:tcPr>
            <w:tcW w:w="5107" w:type="dxa"/>
            <w:tcBorders/>
            <w:shd w:fill="auto" w:val="clear"/>
          </w:tcPr>
          <w:p>
            <w:pPr>
              <w:pStyle w:val="TableContents"/>
              <w:spacing w:before="0" w:after="0"/>
              <w:ind w:left="0" w:right="0" w:hanging="0"/>
              <w:rPr/>
            </w:pPr>
            <w:r>
              <w:rPr/>
              <w:t xml:space="preserve">Accounts payable and accrued liabilities </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spacing w:before="0" w:after="0"/>
              <w:ind w:left="0" w:right="0" w:hanging="0"/>
              <w:jc w:val="right"/>
              <w:rPr/>
            </w:pPr>
            <w:r>
              <w:rPr/>
              <w:t xml:space="preserve">2,058,556 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spacing w:before="0" w:after="0"/>
              <w:ind w:left="0" w:right="0" w:hanging="0"/>
              <w:jc w:val="right"/>
              <w:rPr/>
            </w:pPr>
            <w:r>
              <w:rPr/>
              <w:t>(116,840)</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spacing w:before="0" w:after="0"/>
              <w:ind w:left="0" w:right="0" w:hanging="0"/>
              <w:jc w:val="right"/>
              <w:rPr/>
            </w:pPr>
            <w:r>
              <w:rPr/>
              <w:t xml:space="preserve">1,941,716  </w:t>
            </w:r>
          </w:p>
        </w:tc>
      </w:tr>
      <w:tr>
        <w:trPr/>
        <w:tc>
          <w:tcPr>
            <w:tcW w:w="5107" w:type="dxa"/>
            <w:tcBorders/>
            <w:shd w:fill="auto" w:val="clear"/>
          </w:tcPr>
          <w:p>
            <w:pPr>
              <w:pStyle w:val="TableContents"/>
              <w:spacing w:before="0" w:after="0"/>
              <w:ind w:left="0" w:right="0" w:hanging="0"/>
              <w:rPr/>
            </w:pPr>
            <w:r>
              <w:rPr/>
              <w:t xml:space="preserve">Derivative liability  conversion option </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spacing w:before="0" w:after="0"/>
              <w:ind w:left="0" w:right="0" w:hanging="0"/>
              <w:jc w:val="right"/>
              <w:rPr/>
            </w:pPr>
            <w:r>
              <w:rPr/>
              <w:t xml:space="preserve">798,300 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spacing w:before="0" w:after="0"/>
              <w:ind w:left="0" w:right="0" w:hanging="0"/>
              <w:jc w:val="right"/>
              <w:rPr/>
            </w:pPr>
            <w:r>
              <w:rPr/>
              <w:t>69,275 </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spacing w:before="0" w:after="0"/>
              <w:ind w:left="0" w:right="0" w:hanging="0"/>
              <w:jc w:val="right"/>
              <w:rPr/>
            </w:pPr>
            <w:r>
              <w:rPr/>
              <w:t xml:space="preserve">867,575  </w:t>
            </w:r>
          </w:p>
        </w:tc>
      </w:tr>
      <w:tr>
        <w:trPr/>
        <w:tc>
          <w:tcPr>
            <w:tcW w:w="5107" w:type="dxa"/>
            <w:tcBorders/>
            <w:shd w:fill="auto" w:val="clear"/>
          </w:tcPr>
          <w:p>
            <w:pPr>
              <w:pStyle w:val="TableContents"/>
              <w:spacing w:before="0" w:after="0"/>
              <w:ind w:left="0" w:right="0" w:hanging="0"/>
              <w:rPr/>
            </w:pPr>
            <w:r>
              <w:rPr/>
              <w:t>Derivative liability - warrants</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spacing w:before="0" w:after="0"/>
              <w:ind w:left="0" w:right="0" w:hanging="0"/>
              <w:jc w:val="right"/>
              <w:rPr/>
            </w:pPr>
            <w:r>
              <w:rPr/>
              <w:t>677,086  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spacing w:before="0" w:after="0"/>
              <w:ind w:left="0" w:right="0" w:hanging="0"/>
              <w:jc w:val="right"/>
              <w:rPr/>
            </w:pPr>
            <w:r>
              <w:rPr/>
              <w:t xml:space="preserve">300,000  </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spacing w:before="0" w:after="0"/>
              <w:ind w:left="0" w:right="0" w:hanging="0"/>
              <w:jc w:val="right"/>
              <w:rPr/>
            </w:pPr>
            <w:r>
              <w:rPr/>
              <w:t>977,086    </w:t>
            </w:r>
          </w:p>
        </w:tc>
      </w:tr>
      <w:tr>
        <w:trPr/>
        <w:tc>
          <w:tcPr>
            <w:tcW w:w="5107" w:type="dxa"/>
            <w:tcBorders/>
            <w:shd w:fill="auto" w:val="clear"/>
          </w:tcPr>
          <w:p>
            <w:pPr>
              <w:pStyle w:val="TableContents"/>
              <w:spacing w:before="0" w:after="0"/>
              <w:ind w:left="0" w:right="0" w:hanging="0"/>
              <w:rPr/>
            </w:pPr>
            <w:r>
              <w:rPr/>
              <w:t>Convertible notes payable</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spacing w:before="0" w:after="0"/>
              <w:ind w:left="0" w:right="0" w:hanging="0"/>
              <w:jc w:val="right"/>
              <w:rPr/>
            </w:pPr>
            <w:r>
              <w:rPr/>
              <w:t>1,376,230  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spacing w:before="0" w:after="0"/>
              <w:ind w:left="0" w:right="0" w:hanging="0"/>
              <w:jc w:val="right"/>
              <w:rPr/>
            </w:pPr>
            <w:r>
              <w:rPr/>
              <w:t xml:space="preserve">100,000  </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spacing w:before="0" w:after="0"/>
              <w:ind w:left="0" w:right="0" w:hanging="0"/>
              <w:jc w:val="right"/>
              <w:rPr/>
            </w:pPr>
            <w:r>
              <w:rPr/>
              <w:t>1,476,230  </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Due to related parties</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366,697  </w:t>
            </w:r>
          </w:p>
        </w:tc>
        <w:tc>
          <w:tcPr>
            <w:tcW w:w="1081"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6,649 </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373,346  </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Total liabilities</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5,770,809  </w:t>
            </w:r>
          </w:p>
        </w:tc>
        <w:tc>
          <w:tcPr>
            <w:tcW w:w="1081"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359,084 </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6,129,893  </w:t>
            </w:r>
          </w:p>
        </w:tc>
      </w:tr>
      <w:tr>
        <w:trPr/>
        <w:tc>
          <w:tcPr>
            <w:tcW w:w="5107" w:type="dxa"/>
            <w:tcBorders/>
            <w:shd w:fill="auto" w:val="clear"/>
          </w:tcPr>
          <w:p>
            <w:pPr>
              <w:pStyle w:val="TableContents"/>
              <w:spacing w:before="0" w:after="0"/>
              <w:ind w:left="0" w:right="0" w:hanging="0"/>
              <w:rPr/>
            </w:pPr>
            <w:r>
              <w:rPr/>
              <w:t>Additional paid-in capital</w:t>
            </w:r>
          </w:p>
        </w:tc>
        <w:tc>
          <w:tcPr>
            <w:tcW w:w="150" w:type="dxa"/>
            <w:tcBorders/>
            <w:shd w:fill="auto" w:val="clear"/>
          </w:tcPr>
          <w:p>
            <w:pPr>
              <w:pStyle w:val="TableContents"/>
              <w:pBdr/>
              <w:spacing w:before="0" w:after="0"/>
              <w:ind w:left="0" w:right="0" w:hanging="0"/>
              <w:rPr/>
            </w:pPr>
            <w:r>
              <w:rPr/>
              <w:t> </w:t>
            </w:r>
          </w:p>
        </w:tc>
        <w:tc>
          <w:tcPr>
            <w:tcW w:w="1341" w:type="dxa"/>
            <w:tcBorders/>
            <w:shd w:fill="auto" w:val="clear"/>
          </w:tcPr>
          <w:p>
            <w:pPr>
              <w:pStyle w:val="TableContents"/>
              <w:spacing w:before="0" w:after="0"/>
              <w:ind w:left="0" w:right="0" w:hanging="0"/>
              <w:jc w:val="right"/>
              <w:rPr/>
            </w:pPr>
            <w:r>
              <w:rPr/>
              <w:t>43,545,947 </w:t>
            </w:r>
          </w:p>
        </w:tc>
        <w:tc>
          <w:tcPr>
            <w:tcW w:w="1081" w:type="dxa"/>
            <w:tcBorders/>
            <w:shd w:fill="auto" w:val="clear"/>
          </w:tcPr>
          <w:p>
            <w:pPr>
              <w:pStyle w:val="TableContents"/>
              <w:pBdr/>
              <w:spacing w:before="0" w:after="0"/>
              <w:ind w:left="0" w:right="0" w:hanging="0"/>
              <w:rPr/>
            </w:pPr>
            <w:r>
              <w:rPr/>
              <w:t> </w:t>
            </w:r>
          </w:p>
        </w:tc>
        <w:tc>
          <w:tcPr>
            <w:tcW w:w="1018" w:type="dxa"/>
            <w:gridSpan w:val="2"/>
            <w:tcBorders/>
            <w:shd w:fill="auto" w:val="clear"/>
          </w:tcPr>
          <w:p>
            <w:pPr>
              <w:pStyle w:val="TableContents"/>
              <w:spacing w:before="0" w:after="0"/>
              <w:ind w:left="0" w:right="0" w:hanging="0"/>
              <w:jc w:val="right"/>
              <w:rPr/>
            </w:pPr>
            <w:r>
              <w:rPr/>
              <w:t>(62,000)</w:t>
            </w:r>
          </w:p>
        </w:tc>
        <w:tc>
          <w:tcPr>
            <w:tcW w:w="150" w:type="dxa"/>
            <w:tcBorders/>
            <w:shd w:fill="auto" w:val="clear"/>
          </w:tcPr>
          <w:p>
            <w:pPr>
              <w:pStyle w:val="TableContents"/>
              <w:pBdr/>
              <w:spacing w:before="0" w:after="0"/>
              <w:ind w:left="0" w:right="0" w:hanging="0"/>
              <w:rPr/>
            </w:pPr>
            <w:r>
              <w:rPr/>
              <w:t> </w:t>
            </w:r>
          </w:p>
        </w:tc>
        <w:tc>
          <w:tcPr>
            <w:tcW w:w="1358" w:type="dxa"/>
            <w:tcBorders/>
            <w:shd w:fill="auto" w:val="clear"/>
          </w:tcPr>
          <w:p>
            <w:pPr>
              <w:pStyle w:val="TableContents"/>
              <w:spacing w:before="0" w:after="0"/>
              <w:ind w:left="0" w:right="0" w:hanging="0"/>
              <w:jc w:val="right"/>
              <w:rPr/>
            </w:pPr>
            <w:r>
              <w:rPr/>
              <w:t>43,483,947 </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Deficit accumulated during the development stage</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(49,580,159)</w:t>
            </w:r>
          </w:p>
        </w:tc>
        <w:tc>
          <w:tcPr>
            <w:tcW w:w="1081"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(313,924)</w:t>
            </w:r>
          </w:p>
        </w:tc>
        <w:tc>
          <w:tcPr>
            <w:tcW w:w="15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(49,894,083)</w:t>
            </w:r>
          </w:p>
        </w:tc>
      </w:tr>
      <w:tr>
        <w:trPr/>
        <w:tc>
          <w:tcPr>
            <w:tcW w:w="5107" w:type="dxa"/>
            <w:tcBorders>
              <w:bottom w:val="single" w:sz="2" w:space="0" w:color="000000"/>
            </w:tcBorders>
            <w:shd w:fill="auto" w:val="clear"/>
            <w:tcMar>
              <w:bottom w:w="28" w:type="dxa"/>
            </w:tcMar>
          </w:tcPr>
          <w:p>
            <w:pPr>
              <w:pStyle w:val="TableContents"/>
              <w:spacing w:before="0" w:after="0"/>
              <w:ind w:left="0" w:right="0" w:hanging="0"/>
              <w:rPr/>
            </w:pPr>
            <w:r>
              <w:rPr/>
              <w:t>Stockholders deficiency</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41"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(5,666,597) </w:t>
            </w:r>
          </w:p>
        </w:tc>
        <w:tc>
          <w:tcPr>
            <w:tcW w:w="1081"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01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(375,924)</w:t>
            </w:r>
          </w:p>
        </w:tc>
        <w:tc>
          <w:tcPr>
            <w:tcW w:w="150" w:type="dxa"/>
            <w:tcBorders>
              <w:bottom w:val="single" w:sz="2" w:space="0" w:color="000000"/>
            </w:tcBorders>
            <w:shd w:fill="auto" w:val="clear"/>
            <w:tcMar>
              <w:bottom w:w="28" w:type="dxa"/>
            </w:tcMar>
          </w:tcPr>
          <w:p>
            <w:pPr>
              <w:pStyle w:val="TableContents"/>
              <w:spacing w:before="0" w:after="0"/>
              <w:ind w:left="0" w:right="0" w:hanging="0"/>
              <w:jc w:val="right"/>
              <w:rPr/>
            </w:pPr>
            <w:r>
              <w:rPr/>
              <w:t>$</w:t>
            </w:r>
          </w:p>
        </w:tc>
        <w:tc>
          <w:tcPr>
            <w:tcW w:w="1358" w:type="dxa"/>
            <w:tcBorders>
              <w:bottom w:val="single" w:sz="2" w:space="0" w:color="000000"/>
            </w:tcBorders>
            <w:shd w:fill="auto" w:val="clear"/>
            <w:tcMar>
              <w:bottom w:w="28" w:type="dxa"/>
            </w:tcMar>
          </w:tcPr>
          <w:p>
            <w:pPr>
              <w:pStyle w:val="TableContents"/>
              <w:spacing w:before="0" w:after="0"/>
              <w:ind w:left="0" w:right="0" w:hanging="0"/>
              <w:jc w:val="right"/>
              <w:rPr/>
            </w:pPr>
            <w:r>
              <w:rPr/>
              <w:t xml:space="preserve">(6,042,521) </w:t>
            </w:r>
          </w:p>
        </w:tc>
      </w:tr>
    </w:tbl>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4850"/>
        <w:gridCol w:w="228"/>
        <w:gridCol w:w="1290"/>
        <w:gridCol w:w="1150"/>
        <w:gridCol w:w="1009"/>
        <w:gridCol w:w="143"/>
        <w:gridCol w:w="228"/>
        <w:gridCol w:w="1307"/>
      </w:tblGrid>
      <w:tr>
        <w:trPr/>
        <w:tc>
          <w:tcPr>
            <w:tcW w:w="485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r>
      <w:tr>
        <w:trPr/>
        <w:tc>
          <w:tcPr>
            <w:tcW w:w="6368" w:type="dxa"/>
            <w:gridSpan w:val="3"/>
            <w:tcBorders/>
            <w:shd w:fill="auto" w:val="clear"/>
          </w:tcPr>
          <w:p>
            <w:pPr>
              <w:pStyle w:val="TableContents"/>
              <w:spacing w:before="0" w:after="0"/>
              <w:ind w:left="0" w:right="0" w:hanging="0"/>
              <w:jc w:val="right"/>
              <w:rPr/>
            </w:pPr>
            <w:r>
              <w:rPr/>
              <w:t xml:space="preserve">As reported </w:t>
            </w:r>
          </w:p>
        </w:tc>
        <w:tc>
          <w:tcPr>
            <w:tcW w:w="2159" w:type="dxa"/>
            <w:gridSpan w:val="2"/>
            <w:tcBorders/>
            <w:shd w:fill="auto" w:val="clear"/>
          </w:tcPr>
          <w:p>
            <w:pPr>
              <w:pStyle w:val="TableContents"/>
              <w:spacing w:before="0" w:after="0"/>
              <w:ind w:left="0" w:right="0" w:hanging="0"/>
              <w:jc w:val="right"/>
              <w:rPr/>
            </w:pPr>
            <w:r>
              <w:rPr/>
              <w:t xml:space="preserve">Adjustment </w:t>
            </w:r>
          </w:p>
        </w:tc>
        <w:tc>
          <w:tcPr>
            <w:tcW w:w="1678" w:type="dxa"/>
            <w:gridSpan w:val="3"/>
            <w:tcBorders/>
            <w:shd w:fill="auto" w:val="clear"/>
          </w:tcPr>
          <w:p>
            <w:pPr>
              <w:pStyle w:val="TableContents"/>
              <w:spacing w:before="0" w:after="0"/>
              <w:ind w:left="0" w:right="0" w:hanging="0"/>
              <w:jc w:val="right"/>
              <w:rPr/>
            </w:pPr>
            <w:r>
              <w:rPr/>
              <w:t xml:space="preserve">As restated </w:t>
            </w:r>
          </w:p>
        </w:tc>
      </w:tr>
      <w:tr>
        <w:trPr/>
        <w:tc>
          <w:tcPr>
            <w:tcW w:w="10205" w:type="dxa"/>
            <w:gridSpan w:val="8"/>
            <w:tcBorders/>
            <w:shd w:fill="auto" w:val="clear"/>
          </w:tcPr>
          <w:p>
            <w:pPr>
              <w:pStyle w:val="TableContents"/>
              <w:spacing w:before="0" w:after="0"/>
              <w:ind w:left="0" w:right="0" w:hanging="0"/>
              <w:rPr>
                <w:b/>
              </w:rPr>
            </w:pPr>
            <w:r>
              <w:rPr>
                <w:b/>
              </w:rPr>
              <w:t>Consolidated Statement of Operations data  </w:t>
            </w:r>
          </w:p>
          <w:p>
            <w:pPr>
              <w:pStyle w:val="TableContents"/>
              <w:spacing w:before="0" w:after="0"/>
              <w:ind w:left="0" w:right="0" w:hanging="0"/>
              <w:rPr>
                <w:b/>
              </w:rPr>
            </w:pPr>
            <w:r>
              <w:rPr>
                <w:b/>
              </w:rPr>
              <w:t>For the year ended December 31, 2012</w:t>
            </w:r>
          </w:p>
        </w:tc>
      </w:tr>
      <w:tr>
        <w:trPr/>
        <w:tc>
          <w:tcPr>
            <w:tcW w:w="4850" w:type="dxa"/>
            <w:tcBorders/>
            <w:shd w:fill="auto" w:val="clear"/>
          </w:tcPr>
          <w:p>
            <w:pPr>
              <w:pStyle w:val="TableContents"/>
              <w:spacing w:before="0" w:after="0"/>
              <w:ind w:left="0" w:right="0" w:hanging="0"/>
              <w:rPr/>
            </w:pPr>
            <w:r>
              <w:rPr/>
              <w:t xml:space="preserve">Management fees </w:t>
            </w:r>
          </w:p>
        </w:tc>
        <w:tc>
          <w:tcPr>
            <w:tcW w:w="228" w:type="dxa"/>
            <w:tcBorders/>
            <w:shd w:fill="auto" w:val="clear"/>
          </w:tcPr>
          <w:p>
            <w:pPr>
              <w:pStyle w:val="TableContents"/>
              <w:spacing w:before="0" w:after="0"/>
              <w:ind w:left="0" w:right="0" w:hanging="0"/>
              <w:jc w:val="right"/>
              <w:rPr/>
            </w:pPr>
            <w:r>
              <w:rPr/>
              <w:t xml:space="preserve">$ </w:t>
            </w:r>
          </w:p>
        </w:tc>
        <w:tc>
          <w:tcPr>
            <w:tcW w:w="1290" w:type="dxa"/>
            <w:tcBorders/>
            <w:shd w:fill="auto" w:val="clear"/>
          </w:tcPr>
          <w:p>
            <w:pPr>
              <w:pStyle w:val="TableContents"/>
              <w:spacing w:before="0" w:after="0"/>
              <w:ind w:left="0" w:right="0" w:hanging="0"/>
              <w:jc w:val="right"/>
              <w:rPr/>
            </w:pPr>
            <w:r>
              <w:rPr/>
              <w:t xml:space="preserve">295,600  </w:t>
            </w:r>
          </w:p>
        </w:tc>
        <w:tc>
          <w:tcPr>
            <w:tcW w:w="1150" w:type="dxa"/>
            <w:tcBorders/>
            <w:shd w:fill="auto" w:val="clear"/>
          </w:tcPr>
          <w:p>
            <w:pPr>
              <w:pStyle w:val="TableContents"/>
              <w:spacing w:before="0" w:after="0"/>
              <w:ind w:left="0" w:right="0" w:hanging="0"/>
              <w:jc w:val="right"/>
              <w:rPr/>
            </w:pPr>
            <w:r>
              <w:rPr/>
              <w:t xml:space="preserve">$ </w:t>
            </w:r>
          </w:p>
        </w:tc>
        <w:tc>
          <w:tcPr>
            <w:tcW w:w="1152" w:type="dxa"/>
            <w:gridSpan w:val="2"/>
            <w:tcBorders/>
            <w:shd w:fill="auto" w:val="clear"/>
          </w:tcPr>
          <w:p>
            <w:pPr>
              <w:pStyle w:val="TableContents"/>
              <w:spacing w:before="0" w:after="0"/>
              <w:ind w:left="0" w:right="0" w:hanging="0"/>
              <w:jc w:val="right"/>
              <w:rPr/>
            </w:pPr>
            <w:r>
              <w:rPr/>
              <w:t xml:space="preserve">6,649  </w:t>
            </w:r>
          </w:p>
        </w:tc>
        <w:tc>
          <w:tcPr>
            <w:tcW w:w="228" w:type="dxa"/>
            <w:tcBorders/>
            <w:shd w:fill="auto" w:val="clear"/>
          </w:tcPr>
          <w:p>
            <w:pPr>
              <w:pStyle w:val="TableContents"/>
              <w:spacing w:before="0" w:after="0"/>
              <w:ind w:left="0" w:right="0" w:hanging="0"/>
              <w:jc w:val="right"/>
              <w:rPr/>
            </w:pPr>
            <w:r>
              <w:rPr/>
              <w:t xml:space="preserve">$ </w:t>
            </w:r>
          </w:p>
        </w:tc>
        <w:tc>
          <w:tcPr>
            <w:tcW w:w="1307" w:type="dxa"/>
            <w:tcBorders/>
            <w:shd w:fill="auto" w:val="clear"/>
          </w:tcPr>
          <w:p>
            <w:pPr>
              <w:pStyle w:val="TableContents"/>
              <w:spacing w:before="0" w:after="0"/>
              <w:ind w:left="0" w:right="0" w:hanging="0"/>
              <w:jc w:val="right"/>
              <w:rPr/>
            </w:pPr>
            <w:r>
              <w:rPr/>
              <w:t>302,249 </w:t>
            </w:r>
          </w:p>
        </w:tc>
      </w:tr>
      <w:tr>
        <w:trPr/>
        <w:tc>
          <w:tcPr>
            <w:tcW w:w="485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Net Loss Before Other Items</w:t>
            </w:r>
          </w:p>
        </w:tc>
        <w:tc>
          <w:tcPr>
            <w:tcW w:w="228"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29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(6,222,798)</w:t>
            </w:r>
          </w:p>
        </w:tc>
        <w:tc>
          <w:tcPr>
            <w:tcW w:w="1150"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152" w:type="dxa"/>
            <w:gridSpan w:val="2"/>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(6,649)</w:t>
            </w:r>
          </w:p>
        </w:tc>
        <w:tc>
          <w:tcPr>
            <w:tcW w:w="228"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307"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(6,229,447)</w:t>
            </w:r>
          </w:p>
        </w:tc>
      </w:tr>
      <w:tr>
        <w:trPr/>
        <w:tc>
          <w:tcPr>
            <w:tcW w:w="4850" w:type="dxa"/>
            <w:tcBorders/>
            <w:shd w:fill="auto" w:val="clear"/>
          </w:tcPr>
          <w:p>
            <w:pPr>
              <w:pStyle w:val="TableContents"/>
              <w:spacing w:before="0" w:after="0"/>
              <w:ind w:left="0" w:right="0" w:hanging="0"/>
              <w:rPr/>
            </w:pPr>
            <w:r>
              <w:rPr/>
              <w:t xml:space="preserve">Changes in fair value of derivative liabilities </w:t>
            </w:r>
          </w:p>
        </w:tc>
        <w:tc>
          <w:tcPr>
            <w:tcW w:w="228" w:type="dxa"/>
            <w:tcBorders/>
            <w:shd w:fill="auto" w:val="clear"/>
          </w:tcPr>
          <w:p>
            <w:pPr>
              <w:pStyle w:val="TableContents"/>
              <w:spacing w:before="0" w:after="0"/>
              <w:ind w:left="0" w:right="0" w:hanging="0"/>
              <w:jc w:val="right"/>
              <w:rPr/>
            </w:pPr>
            <w:r>
              <w:rPr/>
              <w:t> </w:t>
            </w:r>
          </w:p>
        </w:tc>
        <w:tc>
          <w:tcPr>
            <w:tcW w:w="1290" w:type="dxa"/>
            <w:tcBorders/>
            <w:shd w:fill="auto" w:val="clear"/>
          </w:tcPr>
          <w:p>
            <w:pPr>
              <w:pStyle w:val="TableContents"/>
              <w:spacing w:before="0" w:after="0"/>
              <w:ind w:left="0" w:right="0" w:hanging="0"/>
              <w:jc w:val="right"/>
              <w:rPr/>
            </w:pPr>
            <w:r>
              <w:rPr/>
              <w:t xml:space="preserve">536,527  </w:t>
            </w:r>
          </w:p>
        </w:tc>
        <w:tc>
          <w:tcPr>
            <w:tcW w:w="1150" w:type="dxa"/>
            <w:tcBorders/>
            <w:shd w:fill="auto" w:val="clear"/>
          </w:tcPr>
          <w:p>
            <w:pPr>
              <w:pStyle w:val="TableContents"/>
              <w:spacing w:before="0" w:after="0"/>
              <w:ind w:left="0" w:right="0" w:hanging="0"/>
              <w:jc w:val="right"/>
              <w:rPr/>
            </w:pPr>
            <w:r>
              <w:rPr/>
              <w:t> </w:t>
            </w:r>
          </w:p>
        </w:tc>
        <w:tc>
          <w:tcPr>
            <w:tcW w:w="1152" w:type="dxa"/>
            <w:gridSpan w:val="2"/>
            <w:tcBorders/>
            <w:shd w:fill="auto" w:val="clear"/>
          </w:tcPr>
          <w:p>
            <w:pPr>
              <w:pStyle w:val="TableContents"/>
              <w:spacing w:before="0" w:after="0"/>
              <w:ind w:left="0" w:right="0" w:hanging="0"/>
              <w:jc w:val="right"/>
              <w:rPr/>
            </w:pPr>
            <w:r>
              <w:rPr/>
              <w:t xml:space="preserve">(307,375) </w:t>
            </w:r>
          </w:p>
        </w:tc>
        <w:tc>
          <w:tcPr>
            <w:tcW w:w="228" w:type="dxa"/>
            <w:tcBorders/>
            <w:shd w:fill="auto" w:val="clear"/>
          </w:tcPr>
          <w:p>
            <w:pPr>
              <w:pStyle w:val="TableContents"/>
              <w:pBdr/>
              <w:spacing w:before="0" w:after="0"/>
              <w:ind w:left="0" w:right="0" w:hanging="0"/>
              <w:rPr/>
            </w:pPr>
            <w:r>
              <w:rPr/>
              <w:t> </w:t>
            </w:r>
          </w:p>
        </w:tc>
        <w:tc>
          <w:tcPr>
            <w:tcW w:w="1307" w:type="dxa"/>
            <w:tcBorders/>
            <w:shd w:fill="auto" w:val="clear"/>
          </w:tcPr>
          <w:p>
            <w:pPr>
              <w:pStyle w:val="TableContents"/>
              <w:spacing w:before="0" w:after="0"/>
              <w:ind w:left="0" w:right="0" w:hanging="0"/>
              <w:jc w:val="right"/>
              <w:rPr/>
            </w:pPr>
            <w:r>
              <w:rPr/>
              <w:t>229,252 </w:t>
            </w:r>
          </w:p>
        </w:tc>
      </w:tr>
      <w:tr>
        <w:trPr/>
        <w:tc>
          <w:tcPr>
            <w:tcW w:w="485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b/>
              </w:rPr>
            </w:pPr>
            <w:r>
              <w:rPr>
                <w:b/>
              </w:rPr>
              <w:t xml:space="preserve">NET LOSS </w:t>
            </w:r>
          </w:p>
        </w:tc>
        <w:tc>
          <w:tcPr>
            <w:tcW w:w="228"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w:t>
            </w:r>
          </w:p>
        </w:tc>
        <w:tc>
          <w:tcPr>
            <w:tcW w:w="129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(5,857,943)</w:t>
            </w:r>
          </w:p>
        </w:tc>
        <w:tc>
          <w:tcPr>
            <w:tcW w:w="115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w:t>
            </w:r>
          </w:p>
        </w:tc>
        <w:tc>
          <w:tcPr>
            <w:tcW w:w="1152" w:type="dxa"/>
            <w:gridSpan w:val="2"/>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(313,924)</w:t>
            </w:r>
          </w:p>
        </w:tc>
        <w:tc>
          <w:tcPr>
            <w:tcW w:w="228"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w:t>
            </w:r>
          </w:p>
        </w:tc>
        <w:tc>
          <w:tcPr>
            <w:tcW w:w="1307"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(6,171,867)</w:t>
            </w:r>
          </w:p>
        </w:tc>
      </w:tr>
      <w:tr>
        <w:trPr/>
        <w:tc>
          <w:tcPr>
            <w:tcW w:w="10205" w:type="dxa"/>
            <w:gridSpan w:val="8"/>
            <w:tcBorders/>
            <w:shd w:fill="auto" w:val="clear"/>
          </w:tcPr>
          <w:p>
            <w:pPr>
              <w:pStyle w:val="TableContents"/>
              <w:pBdr/>
              <w:spacing w:before="0" w:after="0"/>
              <w:ind w:left="0" w:right="0" w:hanging="0"/>
              <w:rPr/>
            </w:pPr>
            <w:r>
              <w:rPr/>
              <w:t> </w:t>
            </w:r>
          </w:p>
        </w:tc>
      </w:tr>
    </w:tbl>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4723"/>
        <w:gridCol w:w="222"/>
        <w:gridCol w:w="1390"/>
        <w:gridCol w:w="1120"/>
        <w:gridCol w:w="982"/>
        <w:gridCol w:w="139"/>
        <w:gridCol w:w="223"/>
        <w:gridCol w:w="1406"/>
      </w:tblGrid>
      <w:tr>
        <w:trPr/>
        <w:tc>
          <w:tcPr>
            <w:tcW w:w="472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r>
      <w:tr>
        <w:trPr/>
        <w:tc>
          <w:tcPr>
            <w:tcW w:w="6335" w:type="dxa"/>
            <w:gridSpan w:val="3"/>
            <w:tcBorders/>
            <w:shd w:fill="auto" w:val="clear"/>
          </w:tcPr>
          <w:p>
            <w:pPr>
              <w:pStyle w:val="TableContents"/>
              <w:spacing w:before="0" w:after="0"/>
              <w:ind w:left="0" w:right="0" w:hanging="0"/>
              <w:jc w:val="right"/>
              <w:rPr/>
            </w:pPr>
            <w:r>
              <w:rPr/>
              <w:t xml:space="preserve">As reported </w:t>
            </w:r>
          </w:p>
        </w:tc>
        <w:tc>
          <w:tcPr>
            <w:tcW w:w="2102" w:type="dxa"/>
            <w:gridSpan w:val="2"/>
            <w:tcBorders/>
            <w:shd w:fill="auto" w:val="clear"/>
          </w:tcPr>
          <w:p>
            <w:pPr>
              <w:pStyle w:val="TableContents"/>
              <w:spacing w:before="0" w:after="0"/>
              <w:ind w:left="0" w:right="0" w:hanging="0"/>
              <w:jc w:val="right"/>
              <w:rPr/>
            </w:pPr>
            <w:r>
              <w:rPr/>
              <w:t xml:space="preserve">Adjustment </w:t>
            </w:r>
          </w:p>
        </w:tc>
        <w:tc>
          <w:tcPr>
            <w:tcW w:w="1768" w:type="dxa"/>
            <w:gridSpan w:val="3"/>
            <w:tcBorders/>
            <w:shd w:fill="auto" w:val="clear"/>
          </w:tcPr>
          <w:p>
            <w:pPr>
              <w:pStyle w:val="TableContents"/>
              <w:spacing w:before="0" w:after="0"/>
              <w:ind w:left="0" w:right="0" w:hanging="0"/>
              <w:jc w:val="right"/>
              <w:rPr/>
            </w:pPr>
            <w:r>
              <w:rPr/>
              <w:t xml:space="preserve">As restated </w:t>
            </w:r>
          </w:p>
        </w:tc>
      </w:tr>
      <w:tr>
        <w:trPr/>
        <w:tc>
          <w:tcPr>
            <w:tcW w:w="10205" w:type="dxa"/>
            <w:gridSpan w:val="8"/>
            <w:tcBorders/>
            <w:shd w:fill="auto" w:val="clear"/>
          </w:tcPr>
          <w:p>
            <w:pPr>
              <w:pStyle w:val="TableContents"/>
              <w:spacing w:before="0" w:after="0"/>
              <w:ind w:left="0" w:right="0" w:hanging="0"/>
              <w:rPr>
                <w:b/>
              </w:rPr>
            </w:pPr>
            <w:r>
              <w:rPr>
                <w:b/>
              </w:rPr>
              <w:t>Consolidated Statement of Operations data  </w:t>
            </w:r>
          </w:p>
          <w:p>
            <w:pPr>
              <w:pStyle w:val="TableContents"/>
              <w:spacing w:before="0" w:after="0"/>
              <w:ind w:left="0" w:right="0" w:hanging="0"/>
              <w:rPr>
                <w:b/>
              </w:rPr>
            </w:pPr>
            <w:r>
              <w:rPr>
                <w:b/>
              </w:rPr>
              <w:t>From July 27, 1999 (inception) to December 31, 2012</w:t>
            </w:r>
          </w:p>
        </w:tc>
      </w:tr>
      <w:tr>
        <w:trPr/>
        <w:tc>
          <w:tcPr>
            <w:tcW w:w="4723" w:type="dxa"/>
            <w:tcBorders/>
            <w:shd w:fill="auto" w:val="clear"/>
          </w:tcPr>
          <w:p>
            <w:pPr>
              <w:pStyle w:val="TableContents"/>
              <w:spacing w:before="0" w:after="0"/>
              <w:ind w:left="0" w:right="0" w:hanging="0"/>
              <w:rPr/>
            </w:pPr>
            <w:r>
              <w:rPr/>
              <w:t xml:space="preserve">Management fees </w:t>
            </w:r>
          </w:p>
        </w:tc>
        <w:tc>
          <w:tcPr>
            <w:tcW w:w="222" w:type="dxa"/>
            <w:tcBorders/>
            <w:shd w:fill="auto" w:val="clear"/>
          </w:tcPr>
          <w:p>
            <w:pPr>
              <w:pStyle w:val="TableContents"/>
              <w:spacing w:before="0" w:after="0"/>
              <w:ind w:left="0" w:right="0" w:hanging="0"/>
              <w:jc w:val="right"/>
              <w:rPr/>
            </w:pPr>
            <w:r>
              <w:rPr/>
              <w:t xml:space="preserve">$ </w:t>
            </w:r>
          </w:p>
        </w:tc>
        <w:tc>
          <w:tcPr>
            <w:tcW w:w="1390" w:type="dxa"/>
            <w:tcBorders/>
            <w:shd w:fill="auto" w:val="clear"/>
          </w:tcPr>
          <w:p>
            <w:pPr>
              <w:pStyle w:val="TableContents"/>
              <w:spacing w:before="0" w:after="0"/>
              <w:ind w:left="0" w:right="0" w:hanging="0"/>
              <w:jc w:val="right"/>
              <w:rPr/>
            </w:pPr>
            <w:r>
              <w:rPr/>
              <w:t xml:space="preserve">3,067,654  </w:t>
            </w:r>
          </w:p>
        </w:tc>
        <w:tc>
          <w:tcPr>
            <w:tcW w:w="1120" w:type="dxa"/>
            <w:tcBorders/>
            <w:shd w:fill="auto" w:val="clear"/>
          </w:tcPr>
          <w:p>
            <w:pPr>
              <w:pStyle w:val="TableContents"/>
              <w:spacing w:before="0" w:after="0"/>
              <w:ind w:left="0" w:right="0" w:hanging="0"/>
              <w:jc w:val="right"/>
              <w:rPr/>
            </w:pPr>
            <w:r>
              <w:rPr/>
              <w:t xml:space="preserve">$ </w:t>
            </w:r>
          </w:p>
        </w:tc>
        <w:tc>
          <w:tcPr>
            <w:tcW w:w="1121" w:type="dxa"/>
            <w:gridSpan w:val="2"/>
            <w:tcBorders/>
            <w:shd w:fill="auto" w:val="clear"/>
          </w:tcPr>
          <w:p>
            <w:pPr>
              <w:pStyle w:val="TableContents"/>
              <w:spacing w:before="0" w:after="0"/>
              <w:ind w:left="0" w:right="0" w:hanging="0"/>
              <w:jc w:val="right"/>
              <w:rPr/>
            </w:pPr>
            <w:r>
              <w:rPr/>
              <w:t xml:space="preserve">6,649  </w:t>
            </w:r>
          </w:p>
        </w:tc>
        <w:tc>
          <w:tcPr>
            <w:tcW w:w="223" w:type="dxa"/>
            <w:tcBorders/>
            <w:shd w:fill="auto" w:val="clear"/>
          </w:tcPr>
          <w:p>
            <w:pPr>
              <w:pStyle w:val="TableContents"/>
              <w:spacing w:before="0" w:after="0"/>
              <w:ind w:left="0" w:right="0" w:hanging="0"/>
              <w:jc w:val="right"/>
              <w:rPr/>
            </w:pPr>
            <w:r>
              <w:rPr/>
              <w:t xml:space="preserve">$ </w:t>
            </w:r>
          </w:p>
        </w:tc>
        <w:tc>
          <w:tcPr>
            <w:tcW w:w="1406" w:type="dxa"/>
            <w:tcBorders/>
            <w:shd w:fill="auto" w:val="clear"/>
          </w:tcPr>
          <w:p>
            <w:pPr>
              <w:pStyle w:val="TableContents"/>
              <w:spacing w:before="0" w:after="0"/>
              <w:ind w:left="0" w:right="0" w:hanging="0"/>
              <w:jc w:val="right"/>
              <w:rPr/>
            </w:pPr>
            <w:r>
              <w:rPr/>
              <w:t>3,074,303 </w:t>
            </w:r>
          </w:p>
        </w:tc>
      </w:tr>
      <w:tr>
        <w:trPr/>
        <w:tc>
          <w:tcPr>
            <w:tcW w:w="4723"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Net Loss Before Other Items</w:t>
            </w:r>
          </w:p>
        </w:tc>
        <w:tc>
          <w:tcPr>
            <w:tcW w:w="222"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390"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(41,491,894)</w:t>
            </w:r>
          </w:p>
        </w:tc>
        <w:tc>
          <w:tcPr>
            <w:tcW w:w="1120"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121" w:type="dxa"/>
            <w:gridSpan w:val="2"/>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(6,649)</w:t>
            </w:r>
          </w:p>
        </w:tc>
        <w:tc>
          <w:tcPr>
            <w:tcW w:w="223" w:type="dxa"/>
            <w:tcBorders>
              <w:top w:val="single" w:sz="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406" w:type="dxa"/>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jc w:val="right"/>
              <w:rPr/>
            </w:pPr>
            <w:r>
              <w:rPr/>
              <w:t>(41,498,543)</w:t>
            </w:r>
          </w:p>
        </w:tc>
      </w:tr>
      <w:tr>
        <w:trPr/>
        <w:tc>
          <w:tcPr>
            <w:tcW w:w="4723" w:type="dxa"/>
            <w:tcBorders/>
            <w:shd w:fill="auto" w:val="clear"/>
          </w:tcPr>
          <w:p>
            <w:pPr>
              <w:pStyle w:val="TableContents"/>
              <w:spacing w:before="0" w:after="0"/>
              <w:ind w:left="0" w:right="0" w:hanging="0"/>
              <w:rPr/>
            </w:pPr>
            <w:r>
              <w:rPr/>
              <w:t xml:space="preserve">Changes in fair value of derivative liabilities </w:t>
            </w:r>
          </w:p>
        </w:tc>
        <w:tc>
          <w:tcPr>
            <w:tcW w:w="222" w:type="dxa"/>
            <w:tcBorders/>
            <w:shd w:fill="auto" w:val="clear"/>
          </w:tcPr>
          <w:p>
            <w:pPr>
              <w:pStyle w:val="TableContents"/>
              <w:spacing w:before="0" w:after="0"/>
              <w:ind w:left="0" w:right="0" w:hanging="0"/>
              <w:jc w:val="right"/>
              <w:rPr/>
            </w:pPr>
            <w:r>
              <w:rPr/>
              <w:t> </w:t>
            </w:r>
          </w:p>
        </w:tc>
        <w:tc>
          <w:tcPr>
            <w:tcW w:w="1390" w:type="dxa"/>
            <w:tcBorders/>
            <w:shd w:fill="auto" w:val="clear"/>
          </w:tcPr>
          <w:p>
            <w:pPr>
              <w:pStyle w:val="TableContents"/>
              <w:spacing w:before="0" w:after="0"/>
              <w:ind w:left="0" w:right="0" w:hanging="0"/>
              <w:jc w:val="right"/>
              <w:rPr/>
            </w:pPr>
            <w:r>
              <w:rPr/>
              <w:t xml:space="preserve">4,611,667  </w:t>
            </w:r>
          </w:p>
        </w:tc>
        <w:tc>
          <w:tcPr>
            <w:tcW w:w="1120" w:type="dxa"/>
            <w:tcBorders/>
            <w:shd w:fill="auto" w:val="clear"/>
          </w:tcPr>
          <w:p>
            <w:pPr>
              <w:pStyle w:val="TableContents"/>
              <w:spacing w:before="0" w:after="0"/>
              <w:ind w:left="0" w:right="0" w:hanging="0"/>
              <w:jc w:val="right"/>
              <w:rPr/>
            </w:pPr>
            <w:r>
              <w:rPr/>
              <w:t> </w:t>
            </w:r>
          </w:p>
        </w:tc>
        <w:tc>
          <w:tcPr>
            <w:tcW w:w="1121" w:type="dxa"/>
            <w:gridSpan w:val="2"/>
            <w:tcBorders/>
            <w:shd w:fill="auto" w:val="clear"/>
          </w:tcPr>
          <w:p>
            <w:pPr>
              <w:pStyle w:val="TableContents"/>
              <w:spacing w:before="0" w:after="0"/>
              <w:ind w:left="0" w:right="0" w:hanging="0"/>
              <w:jc w:val="right"/>
              <w:rPr/>
            </w:pPr>
            <w:r>
              <w:rPr/>
              <w:t xml:space="preserve">(307,375) </w:t>
            </w:r>
          </w:p>
        </w:tc>
        <w:tc>
          <w:tcPr>
            <w:tcW w:w="223" w:type="dxa"/>
            <w:tcBorders/>
            <w:shd w:fill="auto" w:val="clear"/>
          </w:tcPr>
          <w:p>
            <w:pPr>
              <w:pStyle w:val="TableContents"/>
              <w:spacing w:before="0" w:after="0"/>
              <w:ind w:left="0" w:right="0" w:hanging="0"/>
              <w:jc w:val="right"/>
              <w:rPr/>
            </w:pPr>
            <w:r>
              <w:rPr/>
              <w:t> </w:t>
            </w:r>
          </w:p>
        </w:tc>
        <w:tc>
          <w:tcPr>
            <w:tcW w:w="1406" w:type="dxa"/>
            <w:tcBorders/>
            <w:shd w:fill="auto" w:val="clear"/>
          </w:tcPr>
          <w:p>
            <w:pPr>
              <w:pStyle w:val="TableContents"/>
              <w:spacing w:before="0" w:after="0"/>
              <w:ind w:left="0" w:right="0" w:hanging="0"/>
              <w:jc w:val="right"/>
              <w:rPr/>
            </w:pPr>
            <w:r>
              <w:rPr/>
              <w:t>4,304,392 </w:t>
            </w:r>
          </w:p>
        </w:tc>
      </w:tr>
      <w:tr>
        <w:trPr/>
        <w:tc>
          <w:tcPr>
            <w:tcW w:w="4723"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rPr>
                <w:b/>
              </w:rPr>
            </w:pPr>
            <w:r>
              <w:rPr>
                <w:b/>
              </w:rPr>
              <w:t xml:space="preserve">NET LOSS </w:t>
            </w:r>
          </w:p>
        </w:tc>
        <w:tc>
          <w:tcPr>
            <w:tcW w:w="222"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w:t>
            </w:r>
          </w:p>
        </w:tc>
        <w:tc>
          <w:tcPr>
            <w:tcW w:w="1390"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(49,580,159)</w:t>
            </w:r>
          </w:p>
        </w:tc>
        <w:tc>
          <w:tcPr>
            <w:tcW w:w="1120"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w:t>
            </w:r>
          </w:p>
        </w:tc>
        <w:tc>
          <w:tcPr>
            <w:tcW w:w="1121" w:type="dxa"/>
            <w:gridSpan w:val="2"/>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(313,924)</w:t>
            </w:r>
          </w:p>
        </w:tc>
        <w:tc>
          <w:tcPr>
            <w:tcW w:w="223"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w:t>
            </w:r>
          </w:p>
        </w:tc>
        <w:tc>
          <w:tcPr>
            <w:tcW w:w="1406" w:type="dxa"/>
            <w:tcBorders>
              <w:top w:val="single" w:sz="2" w:space="0" w:color="000000"/>
              <w:bottom w:val="single" w:sz="12" w:space="0" w:color="000000"/>
            </w:tcBorders>
            <w:shd w:fill="auto" w:val="clear"/>
            <w:tcMar>
              <w:top w:w="28" w:type="dxa"/>
              <w:bottom w:w="28" w:type="dxa"/>
            </w:tcMar>
          </w:tcPr>
          <w:p>
            <w:pPr>
              <w:pStyle w:val="TableContents"/>
              <w:spacing w:before="0" w:after="0"/>
              <w:ind w:left="0" w:right="0" w:hanging="0"/>
              <w:jc w:val="right"/>
              <w:rPr/>
            </w:pPr>
            <w:r>
              <w:rPr/>
              <w:t>(49,894,083)</w:t>
            </w:r>
          </w:p>
        </w:tc>
      </w:tr>
    </w:tbl>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30"/>
        <w:jc w:val="both"/>
        <w:rPr>
          <w:b/>
          <w:u w:val="single"/>
        </w:rPr>
      </w:pPr>
      <w:r>
        <w:rPr>
          <w:b/>
          <w:u w:val="single"/>
        </w:rPr>
        <w:t>NATURE OF OPERATIONS</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638175"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1:</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1:</w:t>
                      </w:r>
                    </w:p>
                  </w:txbxContent>
                </v:textbox>
                <w10:wrap type="square" side="right"/>
              </v:rect>
            </w:pict>
          </mc:Fallback>
        </mc:AlternateContent>
      </w:r>
    </w:p>
    <w:p>
      <w:pPr>
        <w:pStyle w:val="TextBody"/>
        <w:spacing w:before="90" w:after="0"/>
        <w:jc w:val="both"/>
        <w:rPr/>
      </w:pPr>
      <w:r>
        <w:rPr/>
        <w:t>TapImmune Inc. (the Company), a Nevada corporation incorporated in 1992, is a clinical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90" w:after="0"/>
        <w:jc w:val="both"/>
        <w:rPr/>
      </w:pPr>
      <w:r>
        <w:rPr/>
        <w:t>Since inception, the Company has been party to various Collaborative Research Agreements (CRA) working with universities to carry out development of the licensed technology and providing TapImmune the option to acquire the rights to commercialize any additional technologies developed within the CRA. The lead product candidate, a set of Class II HER2/neu antigens is in Phase I clinical trials in breast cancer patients at the Mayo Clinic.  This product will be combined with a novel Class I HER2/neu antigen in further clinical trials and with TapImmunes expression vector technology containing TAP in a boost strategy.  TapImmune has a license and an exclusive option to license the HER2/neu antigen technologies from the Mayo Clinic.  The TAP technology is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The Company plans to continue development of the lead product vaccine through to clinical trials in both oncology and infectious diseases alone or in partnership with other vaccine developers.</w:t>
      </w:r>
    </w:p>
    <w:p>
      <w:pPr>
        <w:pStyle w:val="TextBody"/>
        <w:spacing w:before="90" w:after="0"/>
        <w:jc w:val="both"/>
        <w:rPr/>
      </w:pPr>
      <w:r>
        <w:rPr/>
        <w:t>These consolidated financial statements have been prepared on the basis of a going concern which contemplates the realization of assets and the satisfaction of liabilities in the normal course of business. As at September 30, 2013, the Company had a working capital deficiency of $5,102,681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90" w:after="0"/>
        <w:jc w:val="both"/>
        <w:rPr/>
      </w:pPr>
      <w:r>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90" w:after="0"/>
        <w:jc w:val="both"/>
        <w:rPr/>
      </w:pPr>
      <w:r>
        <w:rPr/>
        <w:t xml:space="preserve">Additional funding was raised through equity and debt placements in 2013 and 2012, and management intends to continue restructuring outstanding debt and equity instruments. Additional capital is required currently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 </w:t>
      </w:r>
    </w:p>
    <w:p>
      <w:pPr>
        <w:pStyle w:val="TextBody"/>
        <w:spacing w:before="90" w:after="0"/>
        <w:jc w:val="both"/>
        <w:rPr/>
      </w:pPr>
      <w:r>
        <w:rPr/>
        <w:t>There is no certainty that the Company will be able to arrange sufficient funding to satisfy current debt obligations or to continue development of products to marketability.</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UNAUDITED CONSOLIDATED FINANCIAL STATEMENTS FOR AN INTERIM PERIOD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38175"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2:</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2:</w:t>
                      </w:r>
                    </w:p>
                  </w:txbxContent>
                </v:textbox>
                <w10:wrap type="square" side="right"/>
              </v:rect>
            </w:pict>
          </mc:Fallback>
        </mc:AlternateContent>
      </w:r>
    </w:p>
    <w:p>
      <w:pPr>
        <w:pStyle w:val="TextBody"/>
        <w:spacing w:before="90" w:after="0"/>
        <w:jc w:val="both"/>
        <w:rPr>
          <w:b/>
        </w:rPr>
      </w:pPr>
      <w:r>
        <w:rPr>
          <w:b/>
        </w:rPr>
        <w:t>Basis of Presentation</w:t>
      </w:r>
    </w:p>
    <w:p>
      <w:pPr>
        <w:pStyle w:val="TextBody"/>
        <w:spacing w:before="90" w:after="0"/>
        <w:jc w:val="both"/>
        <w:rPr/>
      </w:pPr>
      <w:r>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pStyle w:val="TextBody"/>
        <w:spacing w:before="90" w:after="0"/>
        <w:jc w:val="both"/>
        <w:rPr/>
      </w:pPr>
      <w:r>
        <w:rPr/>
        <w:t>Interim results are not necessarily indicative of results for a full year. The information included in this quarterly report on Form 10-Q should be read in conjunction with information included in the Companys annual report on Form 10-K filed on May 15, 2013, with the U.S. Securities and Exchange Commission.</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RESEARCH AGREEMENTS</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38175"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3:</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3:</w:t>
                      </w:r>
                    </w:p>
                  </w:txbxContent>
                </v:textbox>
                <w10:wrap type="square" side="right"/>
              </v:rect>
            </w:pict>
          </mc:Fallback>
        </mc:AlternateContent>
      </w:r>
    </w:p>
    <w:p>
      <w:pPr>
        <w:pStyle w:val="TextBody"/>
        <w:spacing w:before="90" w:after="0"/>
        <w:jc w:val="both"/>
        <w:rPr>
          <w:b/>
          <w:i/>
        </w:rPr>
      </w:pPr>
      <w:r>
        <w:rPr>
          <w:b/>
          <w:i/>
        </w:rPr>
        <w:t>Crucell Holland B.V. (Crucell)  Research License and Option Agreement</w:t>
      </w:r>
    </w:p>
    <w:p>
      <w:pPr>
        <w:pStyle w:val="TextBody"/>
        <w:spacing w:before="90" w:after="0"/>
        <w:jc w:val="both"/>
        <w:rPr/>
      </w:pPr>
      <w:r>
        <w:rPr/>
        <w:t>Effective August 7, 2003, Crucell and the Companys subsidiary GPI entered into a five-year research license and option agreement. In addition, retroactively effective August 7, 2008, the Company negotiated an amended license agreement for the use of Crucell</w:t>
      </w:r>
      <w:r>
        <w:rPr>
          <w:rFonts w:ascii="Arial Unicode MS;Times New Roman" w:hAnsi="Arial Unicode MS;Times New Roman"/>
        </w:rPr>
        <w:t></w:t>
      </w:r>
      <w:r>
        <w:rPr/>
        <w:t xml:space="preserve">s adenovirus technology. The Company was required to make annual license payments on the anniversary of the effective date for the three year term equal to </w:t>
      </w:r>
      <w:r>
        <w:rPr>
          <w:rFonts w:ascii="Arial Unicode MS;Times New Roman" w:hAnsi="Arial Unicode MS;Times New Roman"/>
        </w:rPr>
        <w:t></w:t>
      </w:r>
      <w:r>
        <w:rPr/>
        <w:t>75,000 per annum for three years through December 2011. As at September 30, 2013, the Company accrued $492,365 (</w:t>
      </w:r>
      <w:r>
        <w:rPr>
          <w:rFonts w:ascii="Arial Unicode MS;Times New Roman" w:hAnsi="Arial Unicode MS;Times New Roman"/>
        </w:rPr>
        <w:t></w:t>
      </w:r>
      <w:r>
        <w:rPr/>
        <w:t xml:space="preserve">378,384) under the amended agreement, inclusive of interest on outstanding amounts. </w:t>
      </w:r>
    </w:p>
    <w:p>
      <w:pPr>
        <w:pStyle w:val="TextBody"/>
        <w:spacing w:before="90" w:after="0"/>
        <w:jc w:val="both"/>
        <w:rPr/>
      </w:pPr>
      <w:r>
        <w:rPr/>
        <w:t>The Company is currently delinquent on making its annual license payments under the amended license agreement. Crucell has the right to cancel the agreement; however, to date, the Company has not received any notice terminating the license agreement. </w:t>
      </w:r>
    </w:p>
    <w:p>
      <w:pPr>
        <w:pStyle w:val="TextBody"/>
        <w:spacing w:before="90" w:after="0"/>
        <w:jc w:val="both"/>
        <w:rPr>
          <w:b/>
          <w:i/>
        </w:rPr>
      </w:pPr>
      <w:r>
        <w:rPr>
          <w:b/>
          <w:i/>
        </w:rPr>
        <w:t>Mayo Clinic License Option Agreement</w:t>
      </w:r>
    </w:p>
    <w:p>
      <w:pPr>
        <w:pStyle w:val="TextBody"/>
        <w:spacing w:before="90" w:after="0"/>
        <w:jc w:val="both"/>
        <w:rPr/>
      </w:pPr>
      <w:r>
        <w:rPr/>
        <w:t>For details regarding the license option agreement with Mayo Clinic, please refer to Note 11.</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DERIVATIVE WARRANT AND CONVERSION OPTION LIABILITY AND FAIR VALUE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38175"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4:</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4:</w:t>
                      </w:r>
                    </w:p>
                  </w:txbxContent>
                </v:textbox>
                <w10:wrap type="square" side="right"/>
              </v:rect>
            </w:pict>
          </mc:Fallback>
        </mc:AlternateContent>
      </w:r>
    </w:p>
    <w:p>
      <w:pPr>
        <w:pStyle w:val="TextBody"/>
        <w:spacing w:before="90" w:after="0"/>
        <w:jc w:val="both"/>
        <w:rPr/>
      </w:pPr>
      <w:r>
        <w:rPr/>
        <w:t xml:space="preserve">The Company has evaluated the application ASC 480-10 </w:t>
      </w:r>
      <w:r>
        <w:rPr>
          <w:i/>
        </w:rPr>
        <w:t>Distinguishing liabilities from equity</w:t>
      </w:r>
      <w:r>
        <w:rPr/>
        <w:t xml:space="preserve">, ASC 815-40 </w:t>
      </w:r>
      <w:r>
        <w:rPr>
          <w:i/>
        </w:rPr>
        <w:t>Contracts in an Entitys Own Equity</w:t>
      </w:r>
      <w:r>
        <w:rPr/>
        <w:t xml:space="preserve"> and ASC 718-10 </w:t>
      </w:r>
      <w:r>
        <w:rPr>
          <w:i/>
        </w:rPr>
        <w:t>Compensation  Stock Compensation</w:t>
      </w:r>
      <w:r>
        <w:rPr/>
        <w:t xml:space="preserve"> to the issued and outstanding warrants to purchase common stock that were issued with the convertible notes, private placements, consulting agreements, and various debt settlements during 2009 through 2013.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pStyle w:val="TextBody"/>
        <w:spacing w:before="90" w:after="0"/>
        <w:jc w:val="both"/>
        <w:rPr/>
      </w:pPr>
      <w:r>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issued with the convertible notes during the year ended December 31, 2011. At December 31, 2012 and September 30, 2013,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i/>
        </w:rPr>
      </w:pPr>
      <w:r>
        <w:rPr>
          <w:i/>
        </w:rPr>
        <w:t>Level 3 Valuation Techniques</w:t>
      </w:r>
    </w:p>
    <w:p>
      <w:pPr>
        <w:pStyle w:val="TextBody"/>
        <w:spacing w:before="90" w:after="0"/>
        <w:jc w:val="both"/>
        <w:rPr/>
      </w:pPr>
      <w:r>
        <w:rPr/>
        <w:t xml:space="preserve">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 </w:t>
      </w:r>
    </w:p>
    <w:p>
      <w:pPr>
        <w:pStyle w:val="TextBody"/>
        <w:spacing w:before="90" w:after="0"/>
        <w:jc w:val="both"/>
        <w:rPr/>
      </w:pPr>
      <w:r>
        <w:rPr/>
        <w:t xml:space="preserve">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 </w:t>
      </w:r>
    </w:p>
    <w:tbl>
      <w:tblPr>
        <w:tblW w:w="5000" w:type="pct"/>
        <w:jc w:val="left"/>
        <w:tblInd w:w="0" w:type="dxa"/>
        <w:tblCellMar>
          <w:top w:w="0" w:type="dxa"/>
          <w:left w:w="0" w:type="dxa"/>
          <w:bottom w:w="0" w:type="dxa"/>
          <w:right w:w="0" w:type="dxa"/>
        </w:tblCellMar>
      </w:tblPr>
      <w:tblGrid>
        <w:gridCol w:w="1440"/>
        <w:gridCol w:w="1373"/>
        <w:gridCol w:w="987"/>
        <w:gridCol w:w="1107"/>
        <w:gridCol w:w="905"/>
        <w:gridCol w:w="1373"/>
        <w:gridCol w:w="987"/>
        <w:gridCol w:w="1107"/>
        <w:gridCol w:w="926"/>
      </w:tblGrid>
      <w:tr>
        <w:trPr/>
        <w:tc>
          <w:tcPr>
            <w:tcW w:w="1440"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r>
      <w:tr>
        <w:trPr/>
        <w:tc>
          <w:tcPr>
            <w:tcW w:w="144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4372" w:type="dxa"/>
            <w:gridSpan w:val="4"/>
            <w:tcBorders>
              <w:bottom w:val="single" w:sz="2" w:space="0" w:color="000000"/>
            </w:tcBorders>
            <w:shd w:fill="auto" w:val="clear"/>
            <w:tcMar>
              <w:bottom w:w="28" w:type="dxa"/>
            </w:tcMar>
          </w:tcPr>
          <w:p>
            <w:pPr>
              <w:pStyle w:val="TableContents"/>
              <w:spacing w:before="90" w:after="0"/>
              <w:jc w:val="center"/>
              <w:rPr/>
            </w:pPr>
            <w:r>
              <w:rPr/>
              <w:t>December 31, 2012</w:t>
            </w:r>
          </w:p>
        </w:tc>
        <w:tc>
          <w:tcPr>
            <w:tcW w:w="4393" w:type="dxa"/>
            <w:gridSpan w:val="4"/>
            <w:tcBorders>
              <w:bottom w:val="single" w:sz="2" w:space="0" w:color="000000"/>
            </w:tcBorders>
            <w:shd w:fill="auto" w:val="clear"/>
            <w:tcMar>
              <w:bottom w:w="28" w:type="dxa"/>
            </w:tcMar>
          </w:tcPr>
          <w:p>
            <w:pPr>
              <w:pStyle w:val="TableContents"/>
              <w:spacing w:before="90" w:after="0"/>
              <w:jc w:val="center"/>
              <w:rPr/>
            </w:pPr>
            <w:r>
              <w:rPr/>
              <w:t xml:space="preserve">September 30, 2013 </w:t>
            </w:r>
          </w:p>
        </w:tc>
      </w:tr>
      <w:tr>
        <w:trPr/>
        <w:tc>
          <w:tcPr>
            <w:tcW w:w="1440" w:type="dxa"/>
            <w:tcBorders>
              <w:bottom w:val="single" w:sz="12" w:space="0" w:color="000000"/>
            </w:tcBorders>
            <w:shd w:fill="auto" w:val="clear"/>
            <w:tcMar>
              <w:bottom w:w="28" w:type="dxa"/>
            </w:tcMar>
          </w:tcPr>
          <w:p>
            <w:pPr>
              <w:pStyle w:val="TableContents"/>
              <w:pBdr/>
              <w:spacing w:before="0" w:after="0"/>
              <w:ind w:left="0" w:right="0" w:hanging="0"/>
              <w:rPr/>
            </w:pPr>
            <w:r>
              <w:rPr/>
              <w:t> </w:t>
            </w:r>
          </w:p>
        </w:tc>
        <w:tc>
          <w:tcPr>
            <w:tcW w:w="1373" w:type="dxa"/>
            <w:tcBorders>
              <w:bottom w:val="single" w:sz="12" w:space="0" w:color="000000"/>
            </w:tcBorders>
            <w:shd w:fill="auto" w:val="clear"/>
            <w:tcMar>
              <w:bottom w:w="28" w:type="dxa"/>
            </w:tcMar>
            <w:vAlign w:val="bottom"/>
          </w:tcPr>
          <w:p>
            <w:pPr>
              <w:pStyle w:val="TableContents"/>
              <w:spacing w:before="90" w:after="0"/>
              <w:jc w:val="center"/>
              <w:rPr/>
            </w:pPr>
            <w:r>
              <w:rPr/>
              <w:t>Expected Life (Years)</w:t>
            </w:r>
          </w:p>
        </w:tc>
        <w:tc>
          <w:tcPr>
            <w:tcW w:w="987" w:type="dxa"/>
            <w:tcBorders>
              <w:bottom w:val="single" w:sz="12" w:space="0" w:color="000000"/>
            </w:tcBorders>
            <w:shd w:fill="auto" w:val="clear"/>
            <w:tcMar>
              <w:bottom w:w="28" w:type="dxa"/>
            </w:tcMar>
            <w:vAlign w:val="bottom"/>
          </w:tcPr>
          <w:p>
            <w:pPr>
              <w:pStyle w:val="TableContents"/>
              <w:spacing w:before="90" w:after="0"/>
              <w:jc w:val="center"/>
              <w:rPr/>
            </w:pPr>
            <w:r>
              <w:rPr/>
              <w:t>Risk free Rate</w:t>
            </w:r>
          </w:p>
        </w:tc>
        <w:tc>
          <w:tcPr>
            <w:tcW w:w="1107" w:type="dxa"/>
            <w:tcBorders>
              <w:bottom w:val="single" w:sz="12" w:space="0" w:color="000000"/>
            </w:tcBorders>
            <w:shd w:fill="auto" w:val="clear"/>
            <w:tcMar>
              <w:bottom w:w="28" w:type="dxa"/>
            </w:tcMar>
            <w:vAlign w:val="bottom"/>
          </w:tcPr>
          <w:p>
            <w:pPr>
              <w:pStyle w:val="TableContents"/>
              <w:spacing w:before="90" w:after="0"/>
              <w:jc w:val="center"/>
              <w:rPr/>
            </w:pPr>
            <w:r>
              <w:rPr/>
              <w:t>Dividend yield</w:t>
            </w:r>
          </w:p>
        </w:tc>
        <w:tc>
          <w:tcPr>
            <w:tcW w:w="905" w:type="dxa"/>
            <w:tcBorders>
              <w:bottom w:val="single" w:sz="12" w:space="0" w:color="000000"/>
            </w:tcBorders>
            <w:shd w:fill="auto" w:val="clear"/>
            <w:tcMar>
              <w:bottom w:w="28" w:type="dxa"/>
            </w:tcMar>
            <w:vAlign w:val="bottom"/>
          </w:tcPr>
          <w:p>
            <w:pPr>
              <w:pStyle w:val="TableContents"/>
              <w:spacing w:before="90" w:after="0"/>
              <w:jc w:val="center"/>
              <w:rPr/>
            </w:pPr>
            <w:r>
              <w:rPr/>
              <w:t>Volatility</w:t>
            </w:r>
          </w:p>
        </w:tc>
        <w:tc>
          <w:tcPr>
            <w:tcW w:w="1373" w:type="dxa"/>
            <w:tcBorders>
              <w:bottom w:val="single" w:sz="12" w:space="0" w:color="000000"/>
            </w:tcBorders>
            <w:shd w:fill="auto" w:val="clear"/>
            <w:tcMar>
              <w:bottom w:w="28" w:type="dxa"/>
            </w:tcMar>
            <w:vAlign w:val="bottom"/>
          </w:tcPr>
          <w:p>
            <w:pPr>
              <w:pStyle w:val="TableContents"/>
              <w:spacing w:before="90" w:after="0"/>
              <w:jc w:val="center"/>
              <w:rPr/>
            </w:pPr>
            <w:r>
              <w:rPr/>
              <w:t>Expected Life (Years)</w:t>
            </w:r>
          </w:p>
        </w:tc>
        <w:tc>
          <w:tcPr>
            <w:tcW w:w="987" w:type="dxa"/>
            <w:tcBorders>
              <w:bottom w:val="single" w:sz="12" w:space="0" w:color="000000"/>
            </w:tcBorders>
            <w:shd w:fill="auto" w:val="clear"/>
            <w:tcMar>
              <w:bottom w:w="28" w:type="dxa"/>
            </w:tcMar>
            <w:vAlign w:val="bottom"/>
          </w:tcPr>
          <w:p>
            <w:pPr>
              <w:pStyle w:val="TableContents"/>
              <w:spacing w:before="90" w:after="0"/>
              <w:jc w:val="center"/>
              <w:rPr/>
            </w:pPr>
            <w:r>
              <w:rPr/>
              <w:t>Risk free Rate</w:t>
            </w:r>
          </w:p>
        </w:tc>
        <w:tc>
          <w:tcPr>
            <w:tcW w:w="1107" w:type="dxa"/>
            <w:tcBorders>
              <w:bottom w:val="single" w:sz="12" w:space="0" w:color="000000"/>
            </w:tcBorders>
            <w:shd w:fill="auto" w:val="clear"/>
            <w:tcMar>
              <w:bottom w:w="28" w:type="dxa"/>
            </w:tcMar>
            <w:vAlign w:val="bottom"/>
          </w:tcPr>
          <w:p>
            <w:pPr>
              <w:pStyle w:val="TableContents"/>
              <w:spacing w:before="90" w:after="0"/>
              <w:jc w:val="center"/>
              <w:rPr/>
            </w:pPr>
            <w:r>
              <w:rPr/>
              <w:t>Dividend yield</w:t>
            </w:r>
          </w:p>
        </w:tc>
        <w:tc>
          <w:tcPr>
            <w:tcW w:w="926" w:type="dxa"/>
            <w:tcBorders>
              <w:bottom w:val="single" w:sz="12" w:space="0" w:color="000000"/>
            </w:tcBorders>
            <w:shd w:fill="auto" w:val="clear"/>
            <w:tcMar>
              <w:bottom w:w="28" w:type="dxa"/>
            </w:tcMar>
            <w:vAlign w:val="bottom"/>
          </w:tcPr>
          <w:p>
            <w:pPr>
              <w:pStyle w:val="TableContents"/>
              <w:spacing w:before="90" w:after="0"/>
              <w:jc w:val="center"/>
              <w:rPr/>
            </w:pPr>
            <w:r>
              <w:rPr/>
              <w:t>Volatility</w:t>
            </w:r>
          </w:p>
        </w:tc>
      </w:tr>
      <w:tr>
        <w:trPr/>
        <w:tc>
          <w:tcPr>
            <w:tcW w:w="1440" w:type="dxa"/>
            <w:tcBorders>
              <w:bottom w:val="single" w:sz="12" w:space="0" w:color="000000"/>
            </w:tcBorders>
            <w:shd w:fill="auto" w:val="clear"/>
            <w:tcMar>
              <w:bottom w:w="28" w:type="dxa"/>
            </w:tcMar>
          </w:tcPr>
          <w:p>
            <w:pPr>
              <w:pStyle w:val="TableContents"/>
              <w:spacing w:before="0" w:after="0"/>
              <w:ind w:left="0" w:right="0" w:hanging="0"/>
              <w:jc w:val="both"/>
              <w:rPr/>
            </w:pPr>
            <w:r>
              <w:rPr/>
              <w:t>Share purchase warrants</w:t>
            </w:r>
          </w:p>
        </w:tc>
        <w:tc>
          <w:tcPr>
            <w:tcW w:w="1373" w:type="dxa"/>
            <w:tcBorders>
              <w:bottom w:val="single" w:sz="12" w:space="0" w:color="000000"/>
            </w:tcBorders>
            <w:shd w:fill="auto" w:val="clear"/>
            <w:tcMar>
              <w:bottom w:w="28" w:type="dxa"/>
            </w:tcMar>
          </w:tcPr>
          <w:p>
            <w:pPr>
              <w:pStyle w:val="TableContents"/>
              <w:spacing w:before="0" w:after="0"/>
              <w:ind w:left="0" w:right="0" w:hanging="0"/>
              <w:jc w:val="center"/>
              <w:rPr/>
            </w:pPr>
            <w:r>
              <w:rPr/>
              <w:t>0.08 to 3.78</w:t>
            </w:r>
          </w:p>
        </w:tc>
        <w:tc>
          <w:tcPr>
            <w:tcW w:w="987" w:type="dxa"/>
            <w:tcBorders>
              <w:bottom w:val="single" w:sz="12" w:space="0" w:color="000000"/>
            </w:tcBorders>
            <w:shd w:fill="auto" w:val="clear"/>
            <w:tcMar>
              <w:bottom w:w="28" w:type="dxa"/>
            </w:tcMar>
          </w:tcPr>
          <w:p>
            <w:pPr>
              <w:pStyle w:val="TableContents"/>
              <w:spacing w:before="0" w:after="0"/>
              <w:ind w:left="0" w:right="0" w:hanging="0"/>
              <w:jc w:val="center"/>
              <w:rPr/>
            </w:pPr>
            <w:r>
              <w:rPr/>
              <w:t>0.02% to 0.36%</w:t>
            </w:r>
          </w:p>
        </w:tc>
        <w:tc>
          <w:tcPr>
            <w:tcW w:w="1107" w:type="dxa"/>
            <w:tcBorders>
              <w:bottom w:val="single" w:sz="12" w:space="0" w:color="000000"/>
            </w:tcBorders>
            <w:shd w:fill="auto" w:val="clear"/>
            <w:tcMar>
              <w:bottom w:w="28" w:type="dxa"/>
            </w:tcMar>
          </w:tcPr>
          <w:p>
            <w:pPr>
              <w:pStyle w:val="TableContents"/>
              <w:spacing w:before="0" w:after="0"/>
              <w:ind w:left="0" w:right="0" w:hanging="0"/>
              <w:jc w:val="center"/>
              <w:rPr/>
            </w:pPr>
            <w:r>
              <w:rPr/>
              <w:t>0.00%</w:t>
            </w:r>
          </w:p>
        </w:tc>
        <w:tc>
          <w:tcPr>
            <w:tcW w:w="905" w:type="dxa"/>
            <w:tcBorders>
              <w:bottom w:val="single" w:sz="12" w:space="0" w:color="000000"/>
            </w:tcBorders>
            <w:shd w:fill="auto" w:val="clear"/>
            <w:tcMar>
              <w:bottom w:w="28" w:type="dxa"/>
            </w:tcMar>
          </w:tcPr>
          <w:p>
            <w:pPr>
              <w:pStyle w:val="TableContents"/>
              <w:spacing w:before="0" w:after="0"/>
              <w:ind w:left="0" w:right="0" w:hanging="0"/>
              <w:jc w:val="center"/>
              <w:rPr/>
            </w:pPr>
            <w:r>
              <w:rPr/>
              <w:t>199%</w:t>
            </w:r>
          </w:p>
        </w:tc>
        <w:tc>
          <w:tcPr>
            <w:tcW w:w="1373" w:type="dxa"/>
            <w:tcBorders>
              <w:bottom w:val="single" w:sz="12" w:space="0" w:color="000000"/>
            </w:tcBorders>
            <w:shd w:fill="auto" w:val="clear"/>
            <w:tcMar>
              <w:bottom w:w="28" w:type="dxa"/>
            </w:tcMar>
          </w:tcPr>
          <w:p>
            <w:pPr>
              <w:pStyle w:val="TableContents"/>
              <w:spacing w:before="0" w:after="0"/>
              <w:ind w:left="0" w:right="0" w:hanging="0"/>
              <w:jc w:val="center"/>
              <w:rPr/>
            </w:pPr>
            <w:r>
              <w:rPr/>
              <w:t>1.10 to 3.03</w:t>
            </w:r>
          </w:p>
        </w:tc>
        <w:tc>
          <w:tcPr>
            <w:tcW w:w="987" w:type="dxa"/>
            <w:tcBorders>
              <w:bottom w:val="single" w:sz="12" w:space="0" w:color="000000"/>
            </w:tcBorders>
            <w:shd w:fill="auto" w:val="clear"/>
            <w:tcMar>
              <w:bottom w:w="28" w:type="dxa"/>
            </w:tcMar>
          </w:tcPr>
          <w:p>
            <w:pPr>
              <w:pStyle w:val="TableContents"/>
              <w:spacing w:before="0" w:after="0"/>
              <w:ind w:left="0" w:right="0" w:hanging="0"/>
              <w:jc w:val="center"/>
              <w:rPr/>
            </w:pPr>
            <w:r>
              <w:rPr/>
              <w:t>0.09% to 0.63%</w:t>
            </w:r>
          </w:p>
        </w:tc>
        <w:tc>
          <w:tcPr>
            <w:tcW w:w="1107" w:type="dxa"/>
            <w:tcBorders>
              <w:bottom w:val="single" w:sz="12" w:space="0" w:color="000000"/>
            </w:tcBorders>
            <w:shd w:fill="auto" w:val="clear"/>
            <w:tcMar>
              <w:bottom w:w="28" w:type="dxa"/>
            </w:tcMar>
          </w:tcPr>
          <w:p>
            <w:pPr>
              <w:pStyle w:val="TableContents"/>
              <w:spacing w:before="0" w:after="0"/>
              <w:ind w:left="0" w:right="0" w:hanging="0"/>
              <w:jc w:val="center"/>
              <w:rPr/>
            </w:pPr>
            <w:r>
              <w:rPr/>
              <w:t>0.00%</w:t>
            </w:r>
          </w:p>
        </w:tc>
        <w:tc>
          <w:tcPr>
            <w:tcW w:w="926" w:type="dxa"/>
            <w:tcBorders>
              <w:bottom w:val="single" w:sz="12" w:space="0" w:color="000000"/>
            </w:tcBorders>
            <w:shd w:fill="auto" w:val="clear"/>
            <w:tcMar>
              <w:bottom w:w="28" w:type="dxa"/>
            </w:tcMar>
          </w:tcPr>
          <w:p>
            <w:pPr>
              <w:pStyle w:val="TableContents"/>
              <w:spacing w:before="0" w:after="0"/>
              <w:ind w:left="0" w:right="0" w:hanging="0"/>
              <w:jc w:val="center"/>
              <w:rPr/>
            </w:pPr>
            <w:r>
              <w:rPr/>
              <w:t>199%</w:t>
            </w:r>
          </w:p>
        </w:tc>
      </w:tr>
    </w:tbl>
    <w:p>
      <w:pPr>
        <w:pStyle w:val="TextBody"/>
        <w:spacing w:before="90" w:after="0"/>
        <w:jc w:val="both"/>
        <w:rPr/>
      </w:pPr>
      <w:r>
        <w:rPr/>
      </w:r>
    </w:p>
    <w:tbl>
      <w:tblPr>
        <w:tblW w:w="5000" w:type="pct"/>
        <w:jc w:val="left"/>
        <w:tblInd w:w="0" w:type="dxa"/>
        <w:tblCellMar>
          <w:top w:w="0" w:type="dxa"/>
          <w:left w:w="0" w:type="dxa"/>
          <w:bottom w:w="0" w:type="dxa"/>
          <w:right w:w="0" w:type="dxa"/>
        </w:tblCellMar>
      </w:tblPr>
      <w:tblGrid>
        <w:gridCol w:w="1341"/>
        <w:gridCol w:w="1264"/>
        <w:gridCol w:w="905"/>
        <w:gridCol w:w="1060"/>
        <w:gridCol w:w="1237"/>
        <w:gridCol w:w="1264"/>
        <w:gridCol w:w="905"/>
        <w:gridCol w:w="1060"/>
        <w:gridCol w:w="1169"/>
      </w:tblGrid>
      <w:tr>
        <w:trPr/>
        <w:tc>
          <w:tcPr>
            <w:tcW w:w="1341"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r>
      <w:tr>
        <w:trPr/>
        <w:tc>
          <w:tcPr>
            <w:tcW w:w="1341"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4466" w:type="dxa"/>
            <w:gridSpan w:val="4"/>
            <w:tcBorders>
              <w:bottom w:val="single" w:sz="2" w:space="0" w:color="000000"/>
            </w:tcBorders>
            <w:shd w:fill="auto" w:val="clear"/>
            <w:tcMar>
              <w:bottom w:w="28" w:type="dxa"/>
            </w:tcMar>
          </w:tcPr>
          <w:p>
            <w:pPr>
              <w:pStyle w:val="TableContents"/>
              <w:spacing w:before="90" w:after="0"/>
              <w:jc w:val="center"/>
              <w:rPr/>
            </w:pPr>
            <w:r>
              <w:rPr/>
              <w:t>December 31, 2012</w:t>
            </w:r>
          </w:p>
        </w:tc>
        <w:tc>
          <w:tcPr>
            <w:tcW w:w="4398" w:type="dxa"/>
            <w:gridSpan w:val="4"/>
            <w:tcBorders>
              <w:bottom w:val="single" w:sz="2" w:space="0" w:color="000000"/>
            </w:tcBorders>
            <w:shd w:fill="auto" w:val="clear"/>
            <w:tcMar>
              <w:bottom w:w="28" w:type="dxa"/>
            </w:tcMar>
          </w:tcPr>
          <w:p>
            <w:pPr>
              <w:pStyle w:val="TableContents"/>
              <w:spacing w:before="90" w:after="0"/>
              <w:jc w:val="center"/>
              <w:rPr/>
            </w:pPr>
            <w:r>
              <w:rPr/>
              <w:t xml:space="preserve">September 30, 2013 </w:t>
            </w:r>
          </w:p>
        </w:tc>
      </w:tr>
      <w:tr>
        <w:trPr/>
        <w:tc>
          <w:tcPr>
            <w:tcW w:w="1341" w:type="dxa"/>
            <w:tcBorders>
              <w:bottom w:val="single" w:sz="12" w:space="0" w:color="000000"/>
            </w:tcBorders>
            <w:shd w:fill="auto" w:val="clear"/>
            <w:tcMar>
              <w:bottom w:w="28" w:type="dxa"/>
            </w:tcMar>
          </w:tcPr>
          <w:p>
            <w:pPr>
              <w:pStyle w:val="TableContents"/>
              <w:pBdr/>
              <w:spacing w:before="0" w:after="0"/>
              <w:ind w:left="0" w:right="0" w:hanging="0"/>
              <w:rPr/>
            </w:pPr>
            <w:r>
              <w:rPr/>
              <w:t> </w:t>
            </w:r>
          </w:p>
        </w:tc>
        <w:tc>
          <w:tcPr>
            <w:tcW w:w="1264" w:type="dxa"/>
            <w:tcBorders>
              <w:bottom w:val="single" w:sz="12" w:space="0" w:color="000000"/>
            </w:tcBorders>
            <w:shd w:fill="auto" w:val="clear"/>
            <w:tcMar>
              <w:bottom w:w="28" w:type="dxa"/>
            </w:tcMar>
            <w:vAlign w:val="bottom"/>
          </w:tcPr>
          <w:p>
            <w:pPr>
              <w:pStyle w:val="TableContents"/>
              <w:spacing w:before="90" w:after="0"/>
              <w:jc w:val="center"/>
              <w:rPr/>
            </w:pPr>
            <w:r>
              <w:rPr/>
              <w:t>Expected Life (Years)</w:t>
            </w:r>
          </w:p>
        </w:tc>
        <w:tc>
          <w:tcPr>
            <w:tcW w:w="905" w:type="dxa"/>
            <w:tcBorders>
              <w:bottom w:val="single" w:sz="12" w:space="0" w:color="000000"/>
            </w:tcBorders>
            <w:shd w:fill="auto" w:val="clear"/>
            <w:tcMar>
              <w:bottom w:w="28" w:type="dxa"/>
            </w:tcMar>
            <w:vAlign w:val="bottom"/>
          </w:tcPr>
          <w:p>
            <w:pPr>
              <w:pStyle w:val="TableContents"/>
              <w:spacing w:before="90" w:after="0"/>
              <w:jc w:val="center"/>
              <w:rPr/>
            </w:pPr>
            <w:r>
              <w:rPr/>
              <w:t>Risk free Rate</w:t>
            </w:r>
          </w:p>
        </w:tc>
        <w:tc>
          <w:tcPr>
            <w:tcW w:w="1060" w:type="dxa"/>
            <w:tcBorders>
              <w:bottom w:val="single" w:sz="12" w:space="0" w:color="000000"/>
            </w:tcBorders>
            <w:shd w:fill="auto" w:val="clear"/>
            <w:tcMar>
              <w:bottom w:w="28" w:type="dxa"/>
            </w:tcMar>
            <w:vAlign w:val="bottom"/>
          </w:tcPr>
          <w:p>
            <w:pPr>
              <w:pStyle w:val="TableContents"/>
              <w:spacing w:before="90" w:after="0"/>
              <w:jc w:val="center"/>
              <w:rPr/>
            </w:pPr>
            <w:r>
              <w:rPr/>
              <w:t>Dividend yield</w:t>
            </w:r>
          </w:p>
        </w:tc>
        <w:tc>
          <w:tcPr>
            <w:tcW w:w="1237" w:type="dxa"/>
            <w:tcBorders>
              <w:bottom w:val="single" w:sz="12" w:space="0" w:color="000000"/>
            </w:tcBorders>
            <w:shd w:fill="auto" w:val="clear"/>
            <w:tcMar>
              <w:bottom w:w="28" w:type="dxa"/>
            </w:tcMar>
            <w:vAlign w:val="bottom"/>
          </w:tcPr>
          <w:p>
            <w:pPr>
              <w:pStyle w:val="TableContents"/>
              <w:spacing w:before="90" w:after="0"/>
              <w:jc w:val="center"/>
              <w:rPr/>
            </w:pPr>
            <w:r>
              <w:rPr/>
              <w:t>Volatility</w:t>
            </w:r>
          </w:p>
        </w:tc>
        <w:tc>
          <w:tcPr>
            <w:tcW w:w="1264" w:type="dxa"/>
            <w:tcBorders>
              <w:bottom w:val="single" w:sz="12" w:space="0" w:color="000000"/>
            </w:tcBorders>
            <w:shd w:fill="auto" w:val="clear"/>
            <w:tcMar>
              <w:bottom w:w="28" w:type="dxa"/>
            </w:tcMar>
            <w:vAlign w:val="bottom"/>
          </w:tcPr>
          <w:p>
            <w:pPr>
              <w:pStyle w:val="TableContents"/>
              <w:spacing w:before="90" w:after="0"/>
              <w:jc w:val="center"/>
              <w:rPr/>
            </w:pPr>
            <w:r>
              <w:rPr/>
              <w:t>Expected Life (Years)</w:t>
            </w:r>
          </w:p>
        </w:tc>
        <w:tc>
          <w:tcPr>
            <w:tcW w:w="905" w:type="dxa"/>
            <w:tcBorders>
              <w:bottom w:val="single" w:sz="12" w:space="0" w:color="000000"/>
            </w:tcBorders>
            <w:shd w:fill="auto" w:val="clear"/>
            <w:tcMar>
              <w:bottom w:w="28" w:type="dxa"/>
            </w:tcMar>
            <w:vAlign w:val="bottom"/>
          </w:tcPr>
          <w:p>
            <w:pPr>
              <w:pStyle w:val="TableContents"/>
              <w:spacing w:before="90" w:after="0"/>
              <w:jc w:val="center"/>
              <w:rPr/>
            </w:pPr>
            <w:r>
              <w:rPr/>
              <w:t>Risk free Rate</w:t>
            </w:r>
          </w:p>
        </w:tc>
        <w:tc>
          <w:tcPr>
            <w:tcW w:w="1060" w:type="dxa"/>
            <w:tcBorders>
              <w:bottom w:val="single" w:sz="12" w:space="0" w:color="000000"/>
            </w:tcBorders>
            <w:shd w:fill="auto" w:val="clear"/>
            <w:tcMar>
              <w:bottom w:w="28" w:type="dxa"/>
            </w:tcMar>
            <w:vAlign w:val="bottom"/>
          </w:tcPr>
          <w:p>
            <w:pPr>
              <w:pStyle w:val="TableContents"/>
              <w:spacing w:before="90" w:after="0"/>
              <w:jc w:val="center"/>
              <w:rPr/>
            </w:pPr>
            <w:r>
              <w:rPr/>
              <w:t>Dividend yield</w:t>
            </w:r>
          </w:p>
        </w:tc>
        <w:tc>
          <w:tcPr>
            <w:tcW w:w="1169" w:type="dxa"/>
            <w:tcBorders>
              <w:bottom w:val="single" w:sz="12" w:space="0" w:color="000000"/>
            </w:tcBorders>
            <w:shd w:fill="auto" w:val="clear"/>
            <w:tcMar>
              <w:bottom w:w="28" w:type="dxa"/>
            </w:tcMar>
            <w:vAlign w:val="bottom"/>
          </w:tcPr>
          <w:p>
            <w:pPr>
              <w:pStyle w:val="TableContents"/>
              <w:spacing w:before="90" w:after="0"/>
              <w:jc w:val="center"/>
              <w:rPr/>
            </w:pPr>
            <w:r>
              <w:rPr/>
              <w:t>Volatility</w:t>
            </w:r>
          </w:p>
        </w:tc>
      </w:tr>
      <w:tr>
        <w:trPr/>
        <w:tc>
          <w:tcPr>
            <w:tcW w:w="1341" w:type="dxa"/>
            <w:tcBorders>
              <w:bottom w:val="single" w:sz="12" w:space="0" w:color="000000"/>
            </w:tcBorders>
            <w:shd w:fill="auto" w:val="clear"/>
            <w:tcMar>
              <w:bottom w:w="28" w:type="dxa"/>
            </w:tcMar>
          </w:tcPr>
          <w:p>
            <w:pPr>
              <w:pStyle w:val="TableContents"/>
              <w:spacing w:before="0" w:after="0"/>
              <w:ind w:left="0" w:right="0" w:hanging="0"/>
              <w:jc w:val="both"/>
              <w:rPr/>
            </w:pPr>
            <w:r>
              <w:rPr/>
              <w:t>Conversion Option</w:t>
            </w:r>
          </w:p>
        </w:tc>
        <w:tc>
          <w:tcPr>
            <w:tcW w:w="1264" w:type="dxa"/>
            <w:tcBorders>
              <w:bottom w:val="single" w:sz="12" w:space="0" w:color="000000"/>
            </w:tcBorders>
            <w:shd w:fill="auto" w:val="clear"/>
            <w:tcMar>
              <w:bottom w:w="28" w:type="dxa"/>
            </w:tcMar>
          </w:tcPr>
          <w:p>
            <w:pPr>
              <w:pStyle w:val="TableContents"/>
              <w:spacing w:before="0" w:after="0"/>
              <w:ind w:left="0" w:right="0" w:hanging="0"/>
              <w:jc w:val="center"/>
              <w:rPr/>
            </w:pPr>
            <w:r>
              <w:rPr/>
              <w:t>0.003 to 0.89</w:t>
            </w:r>
          </w:p>
        </w:tc>
        <w:tc>
          <w:tcPr>
            <w:tcW w:w="905" w:type="dxa"/>
            <w:tcBorders>
              <w:bottom w:val="single" w:sz="12" w:space="0" w:color="000000"/>
            </w:tcBorders>
            <w:shd w:fill="auto" w:val="clear"/>
            <w:tcMar>
              <w:bottom w:w="28" w:type="dxa"/>
            </w:tcMar>
          </w:tcPr>
          <w:p>
            <w:pPr>
              <w:pStyle w:val="TableContents"/>
              <w:spacing w:before="0" w:after="0"/>
              <w:ind w:left="0" w:right="0" w:hanging="0"/>
              <w:jc w:val="center"/>
              <w:rPr/>
            </w:pPr>
            <w:r>
              <w:rPr/>
              <w:t>0.05% to 0.19%</w:t>
            </w:r>
          </w:p>
        </w:tc>
        <w:tc>
          <w:tcPr>
            <w:tcW w:w="1060" w:type="dxa"/>
            <w:tcBorders>
              <w:bottom w:val="single" w:sz="12" w:space="0" w:color="000000"/>
            </w:tcBorders>
            <w:shd w:fill="auto" w:val="clear"/>
            <w:tcMar>
              <w:bottom w:w="28" w:type="dxa"/>
            </w:tcMar>
          </w:tcPr>
          <w:p>
            <w:pPr>
              <w:pStyle w:val="TableContents"/>
              <w:spacing w:before="0" w:after="0"/>
              <w:ind w:left="0" w:right="0" w:hanging="0"/>
              <w:jc w:val="center"/>
              <w:rPr/>
            </w:pPr>
            <w:r>
              <w:rPr/>
              <w:t>0.00%</w:t>
            </w:r>
          </w:p>
        </w:tc>
        <w:tc>
          <w:tcPr>
            <w:tcW w:w="1237" w:type="dxa"/>
            <w:tcBorders>
              <w:bottom w:val="single" w:sz="12" w:space="0" w:color="000000"/>
            </w:tcBorders>
            <w:shd w:fill="auto" w:val="clear"/>
            <w:tcMar>
              <w:bottom w:w="28" w:type="dxa"/>
            </w:tcMar>
          </w:tcPr>
          <w:p>
            <w:pPr>
              <w:pStyle w:val="TableContents"/>
              <w:spacing w:before="0" w:after="0"/>
              <w:ind w:left="0" w:right="0" w:hanging="0"/>
              <w:jc w:val="center"/>
              <w:rPr/>
            </w:pPr>
            <w:r>
              <w:rPr/>
              <w:t>100.88% to 141.21%</w:t>
            </w:r>
          </w:p>
        </w:tc>
        <w:tc>
          <w:tcPr>
            <w:tcW w:w="1264" w:type="dxa"/>
            <w:tcBorders>
              <w:bottom w:val="single" w:sz="12" w:space="0" w:color="000000"/>
            </w:tcBorders>
            <w:shd w:fill="auto" w:val="clear"/>
            <w:tcMar>
              <w:bottom w:w="28" w:type="dxa"/>
            </w:tcMar>
          </w:tcPr>
          <w:p>
            <w:pPr>
              <w:pStyle w:val="TableContents"/>
              <w:spacing w:before="0" w:after="0"/>
              <w:ind w:left="0" w:right="0" w:hanging="0"/>
              <w:jc w:val="center"/>
              <w:rPr/>
            </w:pPr>
            <w:r>
              <w:rPr/>
              <w:t>0.14 to 0.78</w:t>
            </w:r>
          </w:p>
        </w:tc>
        <w:tc>
          <w:tcPr>
            <w:tcW w:w="905" w:type="dxa"/>
            <w:tcBorders>
              <w:bottom w:val="single" w:sz="12" w:space="0" w:color="000000"/>
            </w:tcBorders>
            <w:shd w:fill="auto" w:val="clear"/>
            <w:tcMar>
              <w:bottom w:w="28" w:type="dxa"/>
            </w:tcMar>
          </w:tcPr>
          <w:p>
            <w:pPr>
              <w:pStyle w:val="TableContents"/>
              <w:spacing w:before="0" w:after="0"/>
              <w:ind w:left="0" w:right="0" w:hanging="0"/>
              <w:jc w:val="center"/>
              <w:rPr/>
            </w:pPr>
            <w:r>
              <w:rPr/>
              <w:t>0.02% to 0.15%</w:t>
            </w:r>
          </w:p>
        </w:tc>
        <w:tc>
          <w:tcPr>
            <w:tcW w:w="1060" w:type="dxa"/>
            <w:tcBorders>
              <w:bottom w:val="single" w:sz="12" w:space="0" w:color="000000"/>
            </w:tcBorders>
            <w:shd w:fill="auto" w:val="clear"/>
            <w:tcMar>
              <w:bottom w:w="28" w:type="dxa"/>
            </w:tcMar>
          </w:tcPr>
          <w:p>
            <w:pPr>
              <w:pStyle w:val="TableContents"/>
              <w:spacing w:before="0" w:after="0"/>
              <w:ind w:left="0" w:right="0" w:hanging="0"/>
              <w:jc w:val="center"/>
              <w:rPr/>
            </w:pPr>
            <w:r>
              <w:rPr/>
              <w:t>0.00%</w:t>
            </w:r>
          </w:p>
        </w:tc>
        <w:tc>
          <w:tcPr>
            <w:tcW w:w="1169" w:type="dxa"/>
            <w:tcBorders>
              <w:bottom w:val="single" w:sz="12" w:space="0" w:color="000000"/>
            </w:tcBorders>
            <w:shd w:fill="auto" w:val="clear"/>
            <w:tcMar>
              <w:bottom w:w="28" w:type="dxa"/>
            </w:tcMar>
          </w:tcPr>
          <w:p>
            <w:pPr>
              <w:pStyle w:val="TableContents"/>
              <w:spacing w:before="0" w:after="0"/>
              <w:ind w:left="0" w:right="0" w:hanging="0"/>
              <w:jc w:val="center"/>
              <w:rPr/>
            </w:pPr>
            <w:r>
              <w:rPr/>
              <w:t>108% to 161.97%</w:t>
            </w:r>
          </w:p>
        </w:tc>
      </w:tr>
    </w:tbl>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r>
    </w:p>
    <w:p>
      <w:pPr>
        <w:pStyle w:val="TextBody"/>
        <w:spacing w:before="90" w:after="0"/>
        <w:jc w:val="both"/>
        <w:rPr/>
      </w:pPr>
      <w:r>
        <w:rPr/>
        <w:t>The foregoing assumptions are reviewed quarterly and are subject to change based primarily on managements assessment of the probability of the events described occurring. Accordingly, changes to these assessments could materially affect the valuations.</w:t>
      </w:r>
    </w:p>
    <w:p>
      <w:pPr>
        <w:pStyle w:val="TextBody"/>
        <w:spacing w:before="90" w:after="0"/>
        <w:jc w:val="both"/>
        <w:rPr>
          <w:i/>
        </w:rPr>
      </w:pPr>
      <w:r>
        <w:rPr>
          <w:i/>
        </w:rPr>
        <w:t>Financial Assets and Liabilities Measured at Fair Value on a Recurring Basis</w:t>
      </w:r>
    </w:p>
    <w:p>
      <w:pPr>
        <w:pStyle w:val="TextBody"/>
        <w:spacing w:before="90" w:after="0"/>
        <w:jc w:val="both"/>
        <w:rPr/>
      </w:pPr>
      <w:r>
        <w:rPr/>
        <w:t>Financial assets and liabilities measured at fair value on a recurring basis are summarized below and disclosed on the balance sheet under Derivative liability  warrants and Derivative liability  conversion option:</w:t>
      </w:r>
    </w:p>
    <w:tbl>
      <w:tblPr>
        <w:tblW w:w="5000" w:type="pct"/>
        <w:jc w:val="left"/>
        <w:tblInd w:w="0" w:type="dxa"/>
        <w:tblCellMar>
          <w:top w:w="0" w:type="dxa"/>
          <w:left w:w="0" w:type="dxa"/>
          <w:bottom w:w="0" w:type="dxa"/>
          <w:right w:w="0" w:type="dxa"/>
        </w:tblCellMar>
      </w:tblPr>
      <w:tblGrid>
        <w:gridCol w:w="3525"/>
        <w:gridCol w:w="1683"/>
        <w:gridCol w:w="2165"/>
        <w:gridCol w:w="319"/>
        <w:gridCol w:w="415"/>
        <w:gridCol w:w="508"/>
        <w:gridCol w:w="532"/>
        <w:gridCol w:w="300"/>
        <w:gridCol w:w="758"/>
      </w:tblGrid>
      <w:tr>
        <w:trPr/>
        <w:tc>
          <w:tcPr>
            <w:tcW w:w="3525"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3525" w:type="dxa"/>
            <w:tcBorders>
              <w:top w:val="single" w:sz="12" w:space="0" w:color="000000"/>
            </w:tcBorders>
            <w:shd w:fill="auto" w:val="clear"/>
            <w:tcMar>
              <w:top w:w="28" w:type="dxa"/>
            </w:tcMar>
            <w:vAlign w:val="bottom"/>
          </w:tcPr>
          <w:p>
            <w:pPr>
              <w:pStyle w:val="TableContents"/>
              <w:pBdr/>
              <w:spacing w:before="0" w:after="0"/>
              <w:ind w:left="0" w:right="0" w:hanging="0"/>
              <w:rPr/>
            </w:pPr>
            <w:r>
              <w:rPr/>
              <w:t> </w:t>
            </w:r>
          </w:p>
        </w:tc>
        <w:tc>
          <w:tcPr>
            <w:tcW w:w="4167" w:type="dxa"/>
            <w:gridSpan w:val="3"/>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b/>
              </w:rPr>
            </w:pPr>
            <w:r>
              <w:rPr>
                <w:b/>
              </w:rPr>
              <w:t>As of September 30, 2013</w:t>
            </w:r>
          </w:p>
        </w:tc>
        <w:tc>
          <w:tcPr>
            <w:tcW w:w="923" w:type="dxa"/>
            <w:gridSpan w:val="2"/>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832" w:type="dxa"/>
            <w:gridSpan w:val="2"/>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758"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r>
      <w:tr>
        <w:trPr/>
        <w:tc>
          <w:tcPr>
            <w:tcW w:w="3525" w:type="dxa"/>
            <w:tcBorders>
              <w:bottom w:val="single" w:sz="2" w:space="0" w:color="000000"/>
            </w:tcBorders>
            <w:shd w:fill="auto" w:val="clear"/>
            <w:tcMar>
              <w:bottom w:w="28" w:type="dxa"/>
            </w:tcMar>
            <w:vAlign w:val="bottom"/>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tc>
        <w:tc>
          <w:tcPr>
            <w:tcW w:w="1683" w:type="dxa"/>
            <w:tcBorders/>
            <w:shd w:fill="auto" w:val="clear"/>
            <w:vAlign w:val="bottom"/>
          </w:tcPr>
          <w:p>
            <w:pPr>
              <w:pStyle w:val="TableContents"/>
              <w:pBdr/>
              <w:spacing w:before="0" w:after="0"/>
              <w:ind w:left="0" w:right="0" w:hanging="0"/>
              <w:rPr/>
            </w:pPr>
            <w:r>
              <w:rPr/>
              <w:t> </w:t>
            </w:r>
          </w:p>
        </w:tc>
        <w:tc>
          <w:tcPr>
            <w:tcW w:w="3939" w:type="dxa"/>
            <w:gridSpan w:val="5"/>
            <w:tcBorders/>
            <w:shd w:fill="auto" w:val="clear"/>
            <w:vAlign w:val="bottom"/>
          </w:tcPr>
          <w:p>
            <w:pPr>
              <w:pStyle w:val="TableContents"/>
              <w:spacing w:before="0" w:after="0"/>
              <w:ind w:left="0" w:right="0" w:hanging="0"/>
              <w:jc w:val="center"/>
              <w:rPr>
                <w:b/>
              </w:rPr>
            </w:pPr>
            <w:r>
              <w:rPr>
                <w:b/>
              </w:rPr>
              <w:t xml:space="preserve">Fair Value Measurements </w:t>
            </w:r>
          </w:p>
        </w:tc>
        <w:tc>
          <w:tcPr>
            <w:tcW w:w="1058" w:type="dxa"/>
            <w:gridSpan w:val="2"/>
            <w:tcBorders/>
            <w:shd w:fill="auto" w:val="clear"/>
            <w:vAlign w:val="bottom"/>
          </w:tcPr>
          <w:p>
            <w:pPr>
              <w:pStyle w:val="TableContents"/>
              <w:pBdr/>
              <w:spacing w:before="0" w:after="0"/>
              <w:ind w:left="0" w:right="0" w:hanging="0"/>
              <w:rPr/>
            </w:pPr>
            <w:r>
              <w:rPr/>
              <w:t> </w:t>
            </w:r>
          </w:p>
        </w:tc>
      </w:tr>
      <w:tr>
        <w:trPr/>
        <w:tc>
          <w:tcPr>
            <w:tcW w:w="3525" w:type="dxa"/>
            <w:tcBorders/>
            <w:shd w:fill="auto" w:val="clear"/>
            <w:vAlign w:val="bottom"/>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tc>
        <w:tc>
          <w:tcPr>
            <w:tcW w:w="1683"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Carrying Value</w:t>
            </w:r>
          </w:p>
        </w:tc>
        <w:tc>
          <w:tcPr>
            <w:tcW w:w="2165"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1</w:t>
            </w:r>
          </w:p>
        </w:tc>
        <w:tc>
          <w:tcPr>
            <w:tcW w:w="734" w:type="dxa"/>
            <w:gridSpan w:val="2"/>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2</w:t>
            </w:r>
          </w:p>
        </w:tc>
        <w:tc>
          <w:tcPr>
            <w:tcW w:w="1040" w:type="dxa"/>
            <w:gridSpan w:val="2"/>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3</w:t>
            </w:r>
          </w:p>
        </w:tc>
        <w:tc>
          <w:tcPr>
            <w:tcW w:w="1058" w:type="dxa"/>
            <w:gridSpan w:val="2"/>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Total</w:t>
            </w:r>
          </w:p>
        </w:tc>
      </w:tr>
      <w:tr>
        <w:trPr/>
        <w:tc>
          <w:tcPr>
            <w:tcW w:w="3525" w:type="dxa"/>
            <w:tcBorders/>
            <w:shd w:fill="auto" w:val="clear"/>
            <w:vAlign w:val="bottom"/>
          </w:tcPr>
          <w:p>
            <w:pPr>
              <w:pStyle w:val="TableContents"/>
              <w:spacing w:before="0" w:after="0"/>
              <w:ind w:left="0" w:right="0" w:hanging="0"/>
              <w:rPr/>
            </w:pPr>
            <w:r>
              <w:rPr/>
              <w:t>Derivative liability - warrants</w:t>
            </w:r>
          </w:p>
        </w:tc>
        <w:tc>
          <w:tcPr>
            <w:tcW w:w="1683" w:type="dxa"/>
            <w:tcBorders/>
            <w:shd w:fill="auto" w:val="clear"/>
            <w:vAlign w:val="bottom"/>
          </w:tcPr>
          <w:p>
            <w:pPr>
              <w:pStyle w:val="TableContents"/>
              <w:spacing w:before="0" w:after="0"/>
              <w:ind w:left="0" w:right="0" w:hanging="0"/>
              <w:jc w:val="right"/>
              <w:rPr/>
            </w:pPr>
            <w:r>
              <w:rPr/>
              <w:t>$    89,195</w:t>
            </w:r>
          </w:p>
        </w:tc>
        <w:tc>
          <w:tcPr>
            <w:tcW w:w="2165" w:type="dxa"/>
            <w:tcBorders/>
            <w:shd w:fill="auto" w:val="clear"/>
          </w:tcPr>
          <w:p>
            <w:pPr>
              <w:pStyle w:val="TableContents"/>
              <w:spacing w:before="0" w:after="0"/>
              <w:ind w:left="0" w:right="0" w:hanging="0"/>
              <w:jc w:val="right"/>
              <w:rPr/>
            </w:pPr>
            <w:r>
              <w:rPr/>
              <w:t>- </w:t>
            </w:r>
          </w:p>
        </w:tc>
        <w:tc>
          <w:tcPr>
            <w:tcW w:w="734" w:type="dxa"/>
            <w:gridSpan w:val="2"/>
            <w:tcBorders/>
            <w:shd w:fill="auto" w:val="clear"/>
            <w:vAlign w:val="bottom"/>
          </w:tcPr>
          <w:p>
            <w:pPr>
              <w:pStyle w:val="TableContents"/>
              <w:spacing w:before="0" w:after="0"/>
              <w:ind w:left="0" w:right="0" w:hanging="0"/>
              <w:jc w:val="right"/>
              <w:rPr/>
            </w:pPr>
            <w:r>
              <w:rPr/>
              <w:t>- </w:t>
            </w:r>
          </w:p>
        </w:tc>
        <w:tc>
          <w:tcPr>
            <w:tcW w:w="1040" w:type="dxa"/>
            <w:gridSpan w:val="2"/>
            <w:tcBorders/>
            <w:shd w:fill="auto" w:val="clear"/>
            <w:vAlign w:val="bottom"/>
          </w:tcPr>
          <w:p>
            <w:pPr>
              <w:pStyle w:val="TableContents"/>
              <w:spacing w:before="0" w:after="0"/>
              <w:ind w:left="0" w:right="0" w:hanging="0"/>
              <w:jc w:val="right"/>
              <w:rPr/>
            </w:pPr>
            <w:r>
              <w:rPr/>
              <w:t>$    89,195</w:t>
            </w:r>
          </w:p>
        </w:tc>
        <w:tc>
          <w:tcPr>
            <w:tcW w:w="1058" w:type="dxa"/>
            <w:gridSpan w:val="2"/>
            <w:tcBorders/>
            <w:shd w:fill="auto" w:val="clear"/>
            <w:vAlign w:val="bottom"/>
          </w:tcPr>
          <w:p>
            <w:pPr>
              <w:pStyle w:val="TableContents"/>
              <w:spacing w:before="0" w:after="0"/>
              <w:ind w:left="0" w:right="0" w:hanging="0"/>
              <w:jc w:val="right"/>
              <w:rPr/>
            </w:pPr>
            <w:r>
              <w:rPr/>
              <w:t>$    89,195</w:t>
            </w:r>
          </w:p>
        </w:tc>
      </w:tr>
      <w:tr>
        <w:trPr/>
        <w:tc>
          <w:tcPr>
            <w:tcW w:w="3525" w:type="dxa"/>
            <w:tcBorders>
              <w:bottom w:val="single" w:sz="2" w:space="0" w:color="000000"/>
            </w:tcBorders>
            <w:shd w:fill="auto" w:val="clear"/>
            <w:tcMar>
              <w:bottom w:w="28" w:type="dxa"/>
            </w:tcMar>
            <w:vAlign w:val="bottom"/>
          </w:tcPr>
          <w:p>
            <w:pPr>
              <w:pStyle w:val="TableContents"/>
              <w:spacing w:before="0" w:after="0"/>
              <w:ind w:left="0" w:right="0" w:hanging="0"/>
              <w:rPr/>
            </w:pPr>
            <w:r>
              <w:rPr/>
              <w:t>Derivative liability  conversion option</w:t>
            </w:r>
          </w:p>
        </w:tc>
        <w:tc>
          <w:tcPr>
            <w:tcW w:w="1683"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195,300</w:t>
            </w:r>
          </w:p>
        </w:tc>
        <w:tc>
          <w:tcPr>
            <w:tcW w:w="2165" w:type="dxa"/>
            <w:tcBorders>
              <w:bottom w:val="single" w:sz="2" w:space="0" w:color="000000"/>
            </w:tcBorders>
            <w:shd w:fill="auto" w:val="clear"/>
            <w:tcMar>
              <w:bottom w:w="28" w:type="dxa"/>
            </w:tcMar>
          </w:tcPr>
          <w:p>
            <w:pPr>
              <w:pStyle w:val="TableContents"/>
              <w:spacing w:before="0" w:after="0"/>
              <w:ind w:left="0" w:right="0" w:hanging="0"/>
              <w:jc w:val="right"/>
              <w:rPr/>
            </w:pPr>
            <w:r>
              <w:rPr/>
              <w:t>- </w:t>
            </w:r>
          </w:p>
        </w:tc>
        <w:tc>
          <w:tcPr>
            <w:tcW w:w="734" w:type="dxa"/>
            <w:gridSpan w:val="2"/>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0"/>
              <w:ind w:left="0" w:right="0" w:hanging="0"/>
              <w:jc w:val="right"/>
              <w:rPr/>
            </w:pPr>
            <w:r>
              <w:rPr/>
              <w:t>195,300</w:t>
            </w:r>
          </w:p>
        </w:tc>
        <w:tc>
          <w:tcPr>
            <w:tcW w:w="1058" w:type="dxa"/>
            <w:gridSpan w:val="2"/>
            <w:tcBorders>
              <w:bottom w:val="single" w:sz="2" w:space="0" w:color="000000"/>
            </w:tcBorders>
            <w:shd w:fill="auto" w:val="clear"/>
            <w:tcMar>
              <w:bottom w:w="28" w:type="dxa"/>
            </w:tcMar>
            <w:vAlign w:val="bottom"/>
          </w:tcPr>
          <w:p>
            <w:pPr>
              <w:pStyle w:val="TableContents"/>
              <w:spacing w:before="0" w:after="0"/>
              <w:ind w:left="0" w:right="0" w:hanging="0"/>
              <w:jc w:val="right"/>
              <w:rPr/>
            </w:pPr>
            <w:r>
              <w:rPr/>
              <w:t>195,300</w:t>
            </w:r>
          </w:p>
        </w:tc>
      </w:tr>
      <w:tr>
        <w:trPr/>
        <w:tc>
          <w:tcPr>
            <w:tcW w:w="3525" w:type="dxa"/>
            <w:tcBorders>
              <w:bottom w:val="single" w:sz="12" w:space="0" w:color="000000"/>
            </w:tcBorders>
            <w:shd w:fill="auto" w:val="clear"/>
            <w:tcMar>
              <w:bottom w:w="28" w:type="dxa"/>
            </w:tcMar>
            <w:vAlign w:val="bottom"/>
          </w:tcPr>
          <w:p>
            <w:pPr>
              <w:pStyle w:val="TableContents"/>
              <w:spacing w:before="0" w:after="0"/>
              <w:ind w:left="0" w:right="0" w:hanging="0"/>
              <w:rPr/>
            </w:pPr>
            <w:r>
              <w:rPr/>
              <w:t>Total</w:t>
            </w:r>
          </w:p>
        </w:tc>
        <w:tc>
          <w:tcPr>
            <w:tcW w:w="1683"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284,495</w:t>
            </w:r>
          </w:p>
        </w:tc>
        <w:tc>
          <w:tcPr>
            <w:tcW w:w="2165"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p>
        </w:tc>
        <w:tc>
          <w:tcPr>
            <w:tcW w:w="7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284,495</w:t>
            </w:r>
          </w:p>
        </w:tc>
        <w:tc>
          <w:tcPr>
            <w:tcW w:w="10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284,495</w:t>
            </w:r>
          </w:p>
        </w:tc>
      </w:tr>
    </w:tbl>
    <w:p>
      <w:pPr>
        <w:pStyle w:val="TextBody"/>
        <w:spacing w:before="90" w:after="0"/>
        <w:jc w:val="both"/>
        <w:rPr/>
      </w:pPr>
      <w:r>
        <w:rPr/>
      </w:r>
    </w:p>
    <w:tbl>
      <w:tblPr>
        <w:tblW w:w="5000" w:type="pct"/>
        <w:jc w:val="left"/>
        <w:tblInd w:w="0" w:type="dxa"/>
        <w:tblCellMar>
          <w:top w:w="0" w:type="dxa"/>
          <w:left w:w="0" w:type="dxa"/>
          <w:bottom w:w="0" w:type="dxa"/>
          <w:right w:w="0" w:type="dxa"/>
        </w:tblCellMar>
      </w:tblPr>
      <w:tblGrid>
        <w:gridCol w:w="3882"/>
        <w:gridCol w:w="1667"/>
        <w:gridCol w:w="937"/>
        <w:gridCol w:w="938"/>
        <w:gridCol w:w="1514"/>
        <w:gridCol w:w="294"/>
        <w:gridCol w:w="973"/>
      </w:tblGrid>
      <w:tr>
        <w:trPr/>
        <w:tc>
          <w:tcPr>
            <w:tcW w:w="3882"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r>
      <w:tr>
        <w:trPr/>
        <w:tc>
          <w:tcPr>
            <w:tcW w:w="3882" w:type="dxa"/>
            <w:tcBorders>
              <w:top w:val="single" w:sz="12" w:space="0" w:color="000000"/>
            </w:tcBorders>
            <w:shd w:fill="auto" w:val="clear"/>
            <w:tcMar>
              <w:top w:w="28" w:type="dxa"/>
            </w:tcMar>
            <w:vAlign w:val="bottom"/>
          </w:tcPr>
          <w:p>
            <w:pPr>
              <w:pStyle w:val="TableContents"/>
              <w:pBdr/>
              <w:spacing w:before="0" w:after="0"/>
              <w:ind w:left="0" w:right="0" w:hanging="0"/>
              <w:rPr/>
            </w:pPr>
            <w:r>
              <w:rPr/>
              <w:t> </w:t>
            </w:r>
          </w:p>
        </w:tc>
        <w:tc>
          <w:tcPr>
            <w:tcW w:w="3542" w:type="dxa"/>
            <w:gridSpan w:val="3"/>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pPr>
            <w:r>
              <w:rPr/>
            </w:r>
          </w:p>
          <w:p>
            <w:pPr>
              <w:pStyle w:val="TableContents"/>
              <w:spacing w:before="0" w:after="0"/>
              <w:ind w:left="0" w:right="0" w:hanging="0"/>
              <w:rPr>
                <w:b/>
              </w:rPr>
            </w:pPr>
            <w:r>
              <w:rPr>
                <w:b/>
              </w:rPr>
              <w:t xml:space="preserve">As of December 31, 2012 </w:t>
            </w:r>
          </w:p>
        </w:tc>
        <w:tc>
          <w:tcPr>
            <w:tcW w:w="1808" w:type="dxa"/>
            <w:gridSpan w:val="2"/>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973"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r>
      <w:tr>
        <w:trPr/>
        <w:tc>
          <w:tcPr>
            <w:tcW w:w="3882" w:type="dxa"/>
            <w:tcBorders>
              <w:bottom w:val="single" w:sz="2" w:space="0" w:color="000000"/>
            </w:tcBorders>
            <w:shd w:fill="auto" w:val="clear"/>
            <w:tcMar>
              <w:bottom w:w="28" w:type="dxa"/>
            </w:tcMar>
            <w:vAlign w:val="bottom"/>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tc>
        <w:tc>
          <w:tcPr>
            <w:tcW w:w="1667" w:type="dxa"/>
            <w:tcBorders/>
            <w:shd w:fill="auto" w:val="clear"/>
            <w:vAlign w:val="bottom"/>
          </w:tcPr>
          <w:p>
            <w:pPr>
              <w:pStyle w:val="TableContents"/>
              <w:pBdr/>
              <w:spacing w:before="0" w:after="0"/>
              <w:ind w:left="0" w:right="0" w:hanging="0"/>
              <w:rPr/>
            </w:pPr>
            <w:r>
              <w:rPr/>
              <w:t> </w:t>
            </w:r>
          </w:p>
        </w:tc>
        <w:tc>
          <w:tcPr>
            <w:tcW w:w="3389" w:type="dxa"/>
            <w:gridSpan w:val="3"/>
            <w:tcBorders/>
            <w:shd w:fill="auto" w:val="clear"/>
            <w:vAlign w:val="bottom"/>
          </w:tcPr>
          <w:p>
            <w:pPr>
              <w:pStyle w:val="TableContents"/>
              <w:spacing w:before="0" w:after="0"/>
              <w:ind w:left="0" w:right="0" w:hanging="0"/>
              <w:jc w:val="center"/>
              <w:rPr>
                <w:b/>
              </w:rPr>
            </w:pPr>
            <w:r>
              <w:rPr>
                <w:b/>
              </w:rPr>
              <w:t>Fair Value Measurements Using</w:t>
            </w:r>
          </w:p>
        </w:tc>
        <w:tc>
          <w:tcPr>
            <w:tcW w:w="1267" w:type="dxa"/>
            <w:gridSpan w:val="2"/>
            <w:tcBorders/>
            <w:shd w:fill="auto" w:val="clear"/>
            <w:vAlign w:val="bottom"/>
          </w:tcPr>
          <w:p>
            <w:pPr>
              <w:pStyle w:val="TableContents"/>
              <w:pBdr/>
              <w:spacing w:before="0" w:after="0"/>
              <w:ind w:left="0" w:right="0" w:hanging="0"/>
              <w:rPr/>
            </w:pPr>
            <w:r>
              <w:rPr/>
              <w:t> </w:t>
            </w:r>
          </w:p>
        </w:tc>
      </w:tr>
      <w:tr>
        <w:trPr/>
        <w:tc>
          <w:tcPr>
            <w:tcW w:w="3882" w:type="dxa"/>
            <w:tcBorders/>
            <w:shd w:fill="auto" w:val="clear"/>
            <w:vAlign w:val="bottom"/>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rPr/>
            </w:pPr>
            <w:r>
              <w:rPr/>
            </w:r>
          </w:p>
        </w:tc>
        <w:tc>
          <w:tcPr>
            <w:tcW w:w="1667"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Carrying Value</w:t>
            </w:r>
          </w:p>
        </w:tc>
        <w:tc>
          <w:tcPr>
            <w:tcW w:w="937"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1</w:t>
            </w:r>
          </w:p>
        </w:tc>
        <w:tc>
          <w:tcPr>
            <w:tcW w:w="938"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2</w:t>
            </w:r>
          </w:p>
        </w:tc>
        <w:tc>
          <w:tcPr>
            <w:tcW w:w="1514" w:type="dxa"/>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Level 3</w:t>
            </w:r>
          </w:p>
        </w:tc>
        <w:tc>
          <w:tcPr>
            <w:tcW w:w="1267" w:type="dxa"/>
            <w:gridSpan w:val="2"/>
            <w:tcBorders>
              <w:top w:val="single" w:sz="2" w:space="0" w:color="000000"/>
            </w:tcBorders>
            <w:shd w:fill="auto" w:val="clear"/>
            <w:tcMar>
              <w:top w:w="28" w:type="dxa"/>
            </w:tcMar>
            <w:vAlign w:val="bottom"/>
          </w:tcPr>
          <w:p>
            <w:pPr>
              <w:pStyle w:val="TableContents"/>
              <w:spacing w:before="0" w:after="0"/>
              <w:ind w:left="0" w:right="0" w:hanging="0"/>
              <w:jc w:val="center"/>
              <w:rPr>
                <w:b/>
              </w:rPr>
            </w:pPr>
            <w:r>
              <w:rPr>
                <w:b/>
              </w:rPr>
              <w:t>Total</w:t>
            </w:r>
          </w:p>
        </w:tc>
      </w:tr>
      <w:tr>
        <w:trPr/>
        <w:tc>
          <w:tcPr>
            <w:tcW w:w="3882" w:type="dxa"/>
            <w:tcBorders/>
            <w:shd w:fill="auto" w:val="clear"/>
            <w:vAlign w:val="bottom"/>
          </w:tcPr>
          <w:p>
            <w:pPr>
              <w:pStyle w:val="TableContents"/>
              <w:spacing w:before="0" w:after="0"/>
              <w:ind w:left="0" w:right="0" w:hanging="0"/>
              <w:rPr/>
            </w:pPr>
            <w:r>
              <w:rPr/>
              <w:t>Derivative liability - warrants</w:t>
            </w:r>
          </w:p>
        </w:tc>
        <w:tc>
          <w:tcPr>
            <w:tcW w:w="1667" w:type="dxa"/>
            <w:tcBorders/>
            <w:shd w:fill="auto" w:val="clear"/>
            <w:vAlign w:val="bottom"/>
          </w:tcPr>
          <w:p>
            <w:pPr>
              <w:pStyle w:val="TableContents"/>
              <w:spacing w:before="0" w:after="0"/>
              <w:ind w:left="0" w:right="0" w:hanging="0"/>
              <w:jc w:val="right"/>
              <w:rPr/>
            </w:pPr>
            <w:r>
              <w:rPr/>
              <w:t>$     977,086</w:t>
            </w:r>
          </w:p>
        </w:tc>
        <w:tc>
          <w:tcPr>
            <w:tcW w:w="937" w:type="dxa"/>
            <w:tcBorders/>
            <w:shd w:fill="auto" w:val="clear"/>
          </w:tcPr>
          <w:p>
            <w:pPr>
              <w:pStyle w:val="TableContents"/>
              <w:spacing w:before="0" w:after="0"/>
              <w:ind w:left="0" w:right="0" w:hanging="0"/>
              <w:jc w:val="right"/>
              <w:rPr/>
            </w:pPr>
            <w:r>
              <w:rPr/>
              <w:t>- </w:t>
            </w:r>
          </w:p>
        </w:tc>
        <w:tc>
          <w:tcPr>
            <w:tcW w:w="938" w:type="dxa"/>
            <w:tcBorders/>
            <w:shd w:fill="auto" w:val="clear"/>
            <w:vAlign w:val="bottom"/>
          </w:tcPr>
          <w:p>
            <w:pPr>
              <w:pStyle w:val="TableContents"/>
              <w:spacing w:before="0" w:after="0"/>
              <w:ind w:left="0" w:right="0" w:hanging="0"/>
              <w:jc w:val="right"/>
              <w:rPr/>
            </w:pPr>
            <w:r>
              <w:rPr/>
              <w:t>- </w:t>
            </w:r>
          </w:p>
        </w:tc>
        <w:tc>
          <w:tcPr>
            <w:tcW w:w="1514" w:type="dxa"/>
            <w:tcBorders/>
            <w:shd w:fill="auto" w:val="clear"/>
            <w:vAlign w:val="bottom"/>
          </w:tcPr>
          <w:p>
            <w:pPr>
              <w:pStyle w:val="TableContents"/>
              <w:spacing w:before="0" w:after="0"/>
              <w:ind w:left="0" w:right="0" w:hanging="0"/>
              <w:jc w:val="right"/>
              <w:rPr/>
            </w:pPr>
            <w:r>
              <w:rPr/>
              <w:t>$     977,086</w:t>
            </w:r>
          </w:p>
        </w:tc>
        <w:tc>
          <w:tcPr>
            <w:tcW w:w="1267" w:type="dxa"/>
            <w:gridSpan w:val="2"/>
            <w:tcBorders/>
            <w:shd w:fill="auto" w:val="clear"/>
            <w:vAlign w:val="bottom"/>
          </w:tcPr>
          <w:p>
            <w:pPr>
              <w:pStyle w:val="TableContents"/>
              <w:spacing w:before="0" w:after="0"/>
              <w:ind w:left="0" w:right="0" w:hanging="0"/>
              <w:jc w:val="right"/>
              <w:rPr/>
            </w:pPr>
            <w:r>
              <w:rPr/>
              <w:t>$     977,086</w:t>
            </w:r>
          </w:p>
        </w:tc>
      </w:tr>
      <w:tr>
        <w:trPr/>
        <w:tc>
          <w:tcPr>
            <w:tcW w:w="3882" w:type="dxa"/>
            <w:tcBorders>
              <w:bottom w:val="single" w:sz="2" w:space="0" w:color="000000"/>
            </w:tcBorders>
            <w:shd w:fill="auto" w:val="clear"/>
            <w:tcMar>
              <w:bottom w:w="28" w:type="dxa"/>
            </w:tcMar>
            <w:vAlign w:val="bottom"/>
          </w:tcPr>
          <w:p>
            <w:pPr>
              <w:pStyle w:val="TableContents"/>
              <w:spacing w:before="0" w:after="0"/>
              <w:ind w:left="0" w:right="0" w:hanging="0"/>
              <w:rPr/>
            </w:pPr>
            <w:r>
              <w:rPr/>
              <w:t>Derivative liability  conversion option</w:t>
            </w:r>
          </w:p>
        </w:tc>
        <w:tc>
          <w:tcPr>
            <w:tcW w:w="1667"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867,575</w:t>
            </w:r>
          </w:p>
        </w:tc>
        <w:tc>
          <w:tcPr>
            <w:tcW w:w="937" w:type="dxa"/>
            <w:tcBorders>
              <w:bottom w:val="single" w:sz="2" w:space="0" w:color="000000"/>
            </w:tcBorders>
            <w:shd w:fill="auto" w:val="clear"/>
            <w:tcMar>
              <w:bottom w:w="28" w:type="dxa"/>
            </w:tcMar>
          </w:tcPr>
          <w:p>
            <w:pPr>
              <w:pStyle w:val="TableContents"/>
              <w:spacing w:before="0" w:after="0"/>
              <w:ind w:left="0" w:right="0" w:hanging="0"/>
              <w:jc w:val="right"/>
              <w:rPr/>
            </w:pPr>
            <w:r>
              <w:rPr/>
              <w:t>- </w:t>
            </w:r>
          </w:p>
        </w:tc>
        <w:tc>
          <w:tcPr>
            <w:tcW w:w="938"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 </w:t>
            </w:r>
          </w:p>
        </w:tc>
        <w:tc>
          <w:tcPr>
            <w:tcW w:w="1514"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867,575</w:t>
            </w:r>
          </w:p>
        </w:tc>
        <w:tc>
          <w:tcPr>
            <w:tcW w:w="1267" w:type="dxa"/>
            <w:gridSpan w:val="2"/>
            <w:tcBorders>
              <w:bottom w:val="single" w:sz="2" w:space="0" w:color="000000"/>
            </w:tcBorders>
            <w:shd w:fill="auto" w:val="clear"/>
            <w:tcMar>
              <w:bottom w:w="28" w:type="dxa"/>
            </w:tcMar>
            <w:vAlign w:val="bottom"/>
          </w:tcPr>
          <w:p>
            <w:pPr>
              <w:pStyle w:val="TableContents"/>
              <w:spacing w:before="0" w:after="0"/>
              <w:ind w:left="0" w:right="0" w:hanging="0"/>
              <w:jc w:val="right"/>
              <w:rPr/>
            </w:pPr>
            <w:r>
              <w:rPr/>
              <w:t>867,575</w:t>
            </w:r>
          </w:p>
        </w:tc>
      </w:tr>
      <w:tr>
        <w:trPr/>
        <w:tc>
          <w:tcPr>
            <w:tcW w:w="3882" w:type="dxa"/>
            <w:tcBorders>
              <w:bottom w:val="single" w:sz="12" w:space="0" w:color="000000"/>
            </w:tcBorders>
            <w:shd w:fill="auto" w:val="clear"/>
            <w:tcMar>
              <w:bottom w:w="28" w:type="dxa"/>
            </w:tcMar>
            <w:vAlign w:val="bottom"/>
          </w:tcPr>
          <w:p>
            <w:pPr>
              <w:pStyle w:val="TableContents"/>
              <w:spacing w:before="0" w:after="0"/>
              <w:ind w:left="0" w:right="0" w:hanging="0"/>
              <w:rPr/>
            </w:pPr>
            <w:r>
              <w:rPr/>
              <w:t>Total</w:t>
            </w:r>
          </w:p>
        </w:tc>
        <w:tc>
          <w:tcPr>
            <w:tcW w:w="166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1,844,661</w:t>
            </w:r>
          </w:p>
        </w:tc>
        <w:tc>
          <w:tcPr>
            <w:tcW w:w="937"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p>
        </w:tc>
        <w:tc>
          <w:tcPr>
            <w:tcW w:w="938"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w:t>
            </w:r>
          </w:p>
        </w:tc>
        <w:tc>
          <w:tcPr>
            <w:tcW w:w="1514"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1,844,661</w:t>
            </w:r>
          </w:p>
        </w:tc>
        <w:tc>
          <w:tcPr>
            <w:tcW w:w="12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1,844,661</w:t>
            </w:r>
          </w:p>
        </w:tc>
      </w:tr>
    </w:tbl>
    <w:p>
      <w:pPr>
        <w:pStyle w:val="TextBody"/>
        <w:spacing w:before="90" w:after="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r>
    </w:p>
    <w:p>
      <w:pPr>
        <w:pStyle w:val="TextBody"/>
        <w:spacing w:before="0" w:after="0"/>
        <w:ind w:left="0" w:right="0" w:hanging="0"/>
        <w:jc w:val="both"/>
        <w:rPr/>
      </w:pPr>
      <w:r>
        <w:rPr/>
        <w:t>The table below provides a summary of the changes in fair value, including net transfers, in and/or out, of financial assets and liabilities measured at fair value on a recurring basis using significant unobservable inputs (Level 3) during the nine months ended September 30, 2013 and the year ended December 31, 2012:</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383"/>
        <w:gridCol w:w="85"/>
        <w:gridCol w:w="2329"/>
        <w:gridCol w:w="3110"/>
        <w:gridCol w:w="486"/>
        <w:gridCol w:w="812"/>
      </w:tblGrid>
      <w:tr>
        <w:trPr/>
        <w:tc>
          <w:tcPr>
            <w:tcW w:w="3383"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2329"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3383" w:type="dxa"/>
            <w:tcBorders/>
            <w:shd w:fill="auto" w:val="clear"/>
          </w:tcPr>
          <w:p>
            <w:pPr>
              <w:pStyle w:val="TableContents"/>
              <w:spacing w:before="30" w:after="0"/>
              <w:jc w:val="both"/>
              <w:rPr/>
            </w:pPr>
            <w:r>
              <w:rPr/>
            </w:r>
          </w:p>
          <w:p>
            <w:pPr>
              <w:pStyle w:val="TableContents"/>
              <w:spacing w:before="30" w:after="0"/>
              <w:jc w:val="both"/>
              <w:rPr/>
            </w:pPr>
            <w:r>
              <w:rPr/>
            </w:r>
          </w:p>
          <w:p>
            <w:pPr>
              <w:pStyle w:val="TableContents"/>
              <w:spacing w:before="30" w:after="0"/>
              <w:jc w:val="both"/>
              <w:rPr/>
            </w:pPr>
            <w:r>
              <w:rPr/>
            </w:r>
          </w:p>
        </w:tc>
        <w:tc>
          <w:tcPr>
            <w:tcW w:w="85"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6737" w:type="dxa"/>
            <w:gridSpan w:val="4"/>
            <w:tcBorders>
              <w:bottom w:val="single" w:sz="2" w:space="0" w:color="000000"/>
            </w:tcBorders>
            <w:shd w:fill="auto" w:val="clear"/>
            <w:tcMar>
              <w:bottom w:w="28" w:type="dxa"/>
            </w:tcMar>
          </w:tcPr>
          <w:p>
            <w:pPr>
              <w:pStyle w:val="TableContents"/>
              <w:spacing w:before="90" w:after="0"/>
              <w:jc w:val="both"/>
              <w:rPr>
                <w:b/>
              </w:rPr>
            </w:pPr>
            <w:r>
              <w:rPr>
                <w:b/>
              </w:rPr>
              <w:t>Fair Value Measurements Using Level 3 Inputs</w:t>
            </w:r>
          </w:p>
        </w:tc>
      </w:tr>
      <w:tr>
        <w:trPr/>
        <w:tc>
          <w:tcPr>
            <w:tcW w:w="3468" w:type="dxa"/>
            <w:gridSpan w:val="2"/>
            <w:tcBorders>
              <w:bottom w:val="single" w:sz="2" w:space="0" w:color="000000"/>
            </w:tcBorders>
            <w:shd w:fill="auto" w:val="clear"/>
            <w:tcMar>
              <w:bottom w:w="28" w:type="dxa"/>
            </w:tcMar>
          </w:tcPr>
          <w:p>
            <w:pPr>
              <w:pStyle w:val="TableContents"/>
              <w:spacing w:before="0" w:after="0"/>
              <w:ind w:left="0" w:right="0" w:hanging="0"/>
              <w:rPr/>
            </w:pPr>
            <w:r>
              <w:rPr/>
            </w:r>
          </w:p>
        </w:tc>
        <w:tc>
          <w:tcPr>
            <w:tcW w:w="2329"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Derivative liability - warrants</w:t>
            </w:r>
          </w:p>
        </w:tc>
        <w:tc>
          <w:tcPr>
            <w:tcW w:w="3110" w:type="dxa"/>
            <w:tcBorders>
              <w:bottom w:val="single" w:sz="2" w:space="0" w:color="000000"/>
            </w:tcBorders>
            <w:shd w:fill="auto" w:val="clear"/>
            <w:tcMar>
              <w:bottom w:w="28" w:type="dxa"/>
            </w:tcMar>
          </w:tcPr>
          <w:p>
            <w:pPr>
              <w:pStyle w:val="TableContents"/>
              <w:spacing w:before="0" w:after="0"/>
              <w:ind w:left="0" w:right="0" w:hanging="0"/>
              <w:jc w:val="center"/>
              <w:rPr>
                <w:b/>
              </w:rPr>
            </w:pPr>
            <w:r>
              <w:rPr>
                <w:b/>
              </w:rPr>
              <w:t>Derivative liability  conversion option</w:t>
            </w:r>
          </w:p>
        </w:tc>
        <w:tc>
          <w:tcPr>
            <w:tcW w:w="1298" w:type="dxa"/>
            <w:gridSpan w:val="2"/>
            <w:tcBorders>
              <w:bottom w:val="single" w:sz="2" w:space="0" w:color="000000"/>
            </w:tcBorders>
            <w:shd w:fill="auto" w:val="clear"/>
            <w:tcMar>
              <w:bottom w:w="28" w:type="dxa"/>
            </w:tcMar>
          </w:tcPr>
          <w:p>
            <w:pPr>
              <w:pStyle w:val="TableContents"/>
              <w:spacing w:before="0" w:after="0"/>
              <w:ind w:left="0" w:right="0" w:hanging="0"/>
              <w:jc w:val="center"/>
              <w:rPr>
                <w:b/>
              </w:rPr>
            </w:pPr>
            <w:r>
              <w:rPr>
                <w:b/>
              </w:rPr>
              <w:t>Total</w:t>
            </w:r>
          </w:p>
        </w:tc>
      </w:tr>
      <w:tr>
        <w:trPr/>
        <w:tc>
          <w:tcPr>
            <w:tcW w:w="3468" w:type="dxa"/>
            <w:gridSpan w:val="2"/>
            <w:tcBorders/>
            <w:shd w:fill="auto" w:val="clear"/>
          </w:tcPr>
          <w:p>
            <w:pPr>
              <w:pStyle w:val="TableContents"/>
              <w:spacing w:before="0" w:after="0"/>
              <w:ind w:left="0" w:right="0" w:hanging="0"/>
              <w:rPr/>
            </w:pPr>
            <w:r>
              <w:rPr/>
              <w:t xml:space="preserve">Balance,  December 31, 2011 </w:t>
            </w:r>
          </w:p>
        </w:tc>
        <w:tc>
          <w:tcPr>
            <w:tcW w:w="2329" w:type="dxa"/>
            <w:tcBorders/>
            <w:shd w:fill="auto" w:val="clear"/>
            <w:vAlign w:val="bottom"/>
          </w:tcPr>
          <w:p>
            <w:pPr>
              <w:pStyle w:val="TableContents"/>
              <w:spacing w:before="0" w:after="0"/>
              <w:ind w:left="0" w:right="0" w:hanging="0"/>
              <w:jc w:val="right"/>
              <w:rPr/>
            </w:pPr>
            <w:r>
              <w:rPr/>
              <w:t>$  1,317,834 </w:t>
            </w:r>
          </w:p>
        </w:tc>
        <w:tc>
          <w:tcPr>
            <w:tcW w:w="3110" w:type="dxa"/>
            <w:tcBorders/>
            <w:shd w:fill="auto" w:val="clear"/>
            <w:vAlign w:val="bottom"/>
          </w:tcPr>
          <w:p>
            <w:pPr>
              <w:pStyle w:val="TableContents"/>
              <w:spacing w:before="0" w:after="0"/>
              <w:ind w:left="0" w:right="0" w:hanging="0"/>
              <w:jc w:val="right"/>
              <w:rPr/>
            </w:pPr>
            <w:r>
              <w:rPr/>
              <w:t>$                   - </w:t>
            </w:r>
          </w:p>
        </w:tc>
        <w:tc>
          <w:tcPr>
            <w:tcW w:w="1298" w:type="dxa"/>
            <w:gridSpan w:val="2"/>
            <w:tcBorders/>
            <w:shd w:fill="auto" w:val="clear"/>
            <w:vAlign w:val="bottom"/>
          </w:tcPr>
          <w:p>
            <w:pPr>
              <w:pStyle w:val="TableContents"/>
              <w:spacing w:before="0" w:after="0"/>
              <w:ind w:left="0" w:right="0" w:hanging="0"/>
              <w:jc w:val="right"/>
              <w:rPr/>
            </w:pPr>
            <w:r>
              <w:rPr/>
              <w:t>$  1,317,834 </w:t>
            </w:r>
          </w:p>
        </w:tc>
      </w:tr>
      <w:tr>
        <w:trPr/>
        <w:tc>
          <w:tcPr>
            <w:tcW w:w="3468" w:type="dxa"/>
            <w:gridSpan w:val="2"/>
            <w:tcBorders/>
            <w:shd w:fill="auto" w:val="clear"/>
          </w:tcPr>
          <w:p>
            <w:pPr>
              <w:pStyle w:val="TableContents"/>
              <w:spacing w:before="0" w:after="0"/>
              <w:ind w:left="0" w:right="0" w:hanging="0"/>
              <w:rPr/>
            </w:pPr>
            <w:r>
              <w:rPr/>
              <w:t>Additions during the year</w:t>
            </w:r>
          </w:p>
        </w:tc>
        <w:tc>
          <w:tcPr>
            <w:tcW w:w="2329" w:type="dxa"/>
            <w:tcBorders/>
            <w:shd w:fill="auto" w:val="clear"/>
            <w:vAlign w:val="bottom"/>
          </w:tcPr>
          <w:p>
            <w:pPr>
              <w:pStyle w:val="TableContents"/>
              <w:spacing w:before="0" w:after="0"/>
              <w:ind w:left="0" w:right="0" w:hanging="0"/>
              <w:jc w:val="right"/>
              <w:rPr/>
            </w:pPr>
            <w:r>
              <w:rPr/>
              <w:t>300,000 </w:t>
            </w:r>
          </w:p>
        </w:tc>
        <w:tc>
          <w:tcPr>
            <w:tcW w:w="3110" w:type="dxa"/>
            <w:tcBorders/>
            <w:shd w:fill="auto" w:val="clear"/>
            <w:vAlign w:val="bottom"/>
          </w:tcPr>
          <w:p>
            <w:pPr>
              <w:pStyle w:val="TableContents"/>
              <w:spacing w:before="0" w:after="0"/>
              <w:ind w:left="0" w:right="0" w:hanging="0"/>
              <w:jc w:val="right"/>
              <w:rPr/>
            </w:pPr>
            <w:r>
              <w:rPr/>
              <w:t>737,700 </w:t>
            </w:r>
          </w:p>
        </w:tc>
        <w:tc>
          <w:tcPr>
            <w:tcW w:w="1298" w:type="dxa"/>
            <w:gridSpan w:val="2"/>
            <w:tcBorders/>
            <w:shd w:fill="auto" w:val="clear"/>
            <w:vAlign w:val="bottom"/>
          </w:tcPr>
          <w:p>
            <w:pPr>
              <w:pStyle w:val="TableContents"/>
              <w:spacing w:before="0" w:after="0"/>
              <w:ind w:left="0" w:right="0" w:hanging="0"/>
              <w:jc w:val="right"/>
              <w:rPr/>
            </w:pPr>
            <w:r>
              <w:rPr/>
              <w:t>  </w:t>
            </w:r>
            <w:r>
              <w:rPr/>
              <w:t>1,037,700 </w:t>
            </w:r>
          </w:p>
        </w:tc>
      </w:tr>
      <w:tr>
        <w:trPr/>
        <w:tc>
          <w:tcPr>
            <w:tcW w:w="3468" w:type="dxa"/>
            <w:gridSpan w:val="2"/>
            <w:tcBorders/>
            <w:shd w:fill="auto" w:val="clear"/>
            <w:vAlign w:val="bottom"/>
          </w:tcPr>
          <w:p>
            <w:pPr>
              <w:pStyle w:val="TableContents"/>
              <w:spacing w:before="0" w:after="0"/>
              <w:ind w:left="0" w:right="0" w:hanging="0"/>
              <w:rPr/>
            </w:pPr>
            <w:r>
              <w:rPr/>
              <w:t>Total unrealized (gains) or losses included in net loss</w:t>
            </w:r>
          </w:p>
        </w:tc>
        <w:tc>
          <w:tcPr>
            <w:tcW w:w="2329" w:type="dxa"/>
            <w:tcBorders/>
            <w:shd w:fill="auto" w:val="clear"/>
            <w:vAlign w:val="bottom"/>
          </w:tcPr>
          <w:p>
            <w:pPr>
              <w:pStyle w:val="TableContents"/>
              <w:spacing w:before="0" w:after="0"/>
              <w:ind w:left="0" w:right="0" w:hanging="0"/>
              <w:jc w:val="right"/>
              <w:rPr/>
            </w:pPr>
            <w:r>
              <w:rPr/>
              <w:t>(597,127)</w:t>
            </w:r>
          </w:p>
        </w:tc>
        <w:tc>
          <w:tcPr>
            <w:tcW w:w="3110" w:type="dxa"/>
            <w:tcBorders/>
            <w:shd w:fill="auto" w:val="clear"/>
            <w:vAlign w:val="bottom"/>
          </w:tcPr>
          <w:p>
            <w:pPr>
              <w:pStyle w:val="TableContents"/>
              <w:spacing w:before="0" w:after="0"/>
              <w:ind w:left="0" w:right="0" w:hanging="0"/>
              <w:jc w:val="right"/>
              <w:rPr/>
            </w:pPr>
            <w:r>
              <w:rPr/>
              <w:t>129,875 </w:t>
            </w:r>
          </w:p>
        </w:tc>
        <w:tc>
          <w:tcPr>
            <w:tcW w:w="1298" w:type="dxa"/>
            <w:gridSpan w:val="2"/>
            <w:tcBorders/>
            <w:shd w:fill="auto" w:val="clear"/>
            <w:vAlign w:val="bottom"/>
          </w:tcPr>
          <w:p>
            <w:pPr>
              <w:pStyle w:val="TableContents"/>
              <w:spacing w:before="0" w:after="0"/>
              <w:ind w:left="0" w:right="0" w:hanging="0"/>
              <w:jc w:val="right"/>
              <w:rPr/>
            </w:pPr>
            <w:r>
              <w:rPr/>
              <w:t>(467,252)</w:t>
            </w:r>
          </w:p>
        </w:tc>
      </w:tr>
      <w:tr>
        <w:trPr/>
        <w:tc>
          <w:tcPr>
            <w:tcW w:w="3468" w:type="dxa"/>
            <w:gridSpan w:val="2"/>
            <w:tcBorders/>
            <w:shd w:fill="auto" w:val="clear"/>
            <w:vAlign w:val="bottom"/>
          </w:tcPr>
          <w:p>
            <w:pPr>
              <w:pStyle w:val="TableContents"/>
              <w:spacing w:before="0" w:after="0"/>
              <w:ind w:left="0" w:right="0" w:hanging="0"/>
              <w:rPr/>
            </w:pPr>
            <w:r>
              <w:rPr/>
              <w:t>Debt settlement</w:t>
            </w:r>
          </w:p>
        </w:tc>
        <w:tc>
          <w:tcPr>
            <w:tcW w:w="2329" w:type="dxa"/>
            <w:tcBorders/>
            <w:shd w:fill="auto" w:val="clear"/>
            <w:vAlign w:val="bottom"/>
          </w:tcPr>
          <w:p>
            <w:pPr>
              <w:pStyle w:val="TableContents"/>
              <w:spacing w:before="0" w:after="0"/>
              <w:ind w:left="0" w:right="0" w:hanging="0"/>
              <w:jc w:val="right"/>
              <w:rPr/>
            </w:pPr>
            <w:r>
              <w:rPr/>
              <w:t>(43,621)</w:t>
            </w:r>
          </w:p>
        </w:tc>
        <w:tc>
          <w:tcPr>
            <w:tcW w:w="3110" w:type="dxa"/>
            <w:tcBorders/>
            <w:shd w:fill="auto" w:val="clear"/>
            <w:vAlign w:val="bottom"/>
          </w:tcPr>
          <w:p>
            <w:pPr>
              <w:pStyle w:val="TableContents"/>
              <w:spacing w:before="0" w:after="0"/>
              <w:ind w:left="0" w:right="0" w:hanging="0"/>
              <w:jc w:val="right"/>
              <w:rPr/>
            </w:pPr>
            <w:r>
              <w:rPr/>
              <w:t>- </w:t>
            </w:r>
          </w:p>
        </w:tc>
        <w:tc>
          <w:tcPr>
            <w:tcW w:w="1298" w:type="dxa"/>
            <w:gridSpan w:val="2"/>
            <w:tcBorders/>
            <w:shd w:fill="auto" w:val="clear"/>
            <w:vAlign w:val="bottom"/>
          </w:tcPr>
          <w:p>
            <w:pPr>
              <w:pStyle w:val="TableContents"/>
              <w:spacing w:before="0" w:after="0"/>
              <w:ind w:left="0" w:right="0" w:hanging="0"/>
              <w:jc w:val="right"/>
              <w:rPr/>
            </w:pPr>
            <w:r>
              <w:rPr/>
              <w:t>  </w:t>
            </w:r>
            <w:r>
              <w:rPr/>
              <w:t>(43,621)</w:t>
            </w:r>
          </w:p>
        </w:tc>
      </w:tr>
      <w:tr>
        <w:trPr/>
        <w:tc>
          <w:tcPr>
            <w:tcW w:w="3468"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Transfers in and/or out of Level 3</w:t>
            </w:r>
          </w:p>
        </w:tc>
        <w:tc>
          <w:tcPr>
            <w:tcW w:w="2329" w:type="dxa"/>
            <w:tcBorders>
              <w:bottom w:val="single" w:sz="2" w:space="0" w:color="000000"/>
            </w:tcBorders>
            <w:shd w:fill="auto" w:val="clear"/>
            <w:tcMar>
              <w:bottom w:w="28" w:type="dxa"/>
            </w:tcMar>
          </w:tcPr>
          <w:p>
            <w:pPr>
              <w:pStyle w:val="TableContents"/>
              <w:spacing w:before="0" w:after="0"/>
              <w:ind w:left="0" w:right="0" w:hanging="0"/>
              <w:jc w:val="right"/>
              <w:rPr/>
            </w:pPr>
            <w:r>
              <w:rPr/>
              <w:t>- </w:t>
            </w:r>
          </w:p>
        </w:tc>
        <w:tc>
          <w:tcPr>
            <w:tcW w:w="3110" w:type="dxa"/>
            <w:tcBorders>
              <w:bottom w:val="single" w:sz="2" w:space="0" w:color="000000"/>
            </w:tcBorders>
            <w:shd w:fill="auto" w:val="clear"/>
            <w:tcMar>
              <w:bottom w:w="28" w:type="dxa"/>
            </w:tcMar>
          </w:tcPr>
          <w:p>
            <w:pPr>
              <w:pStyle w:val="TableContents"/>
              <w:spacing w:before="0" w:after="0"/>
              <w:ind w:left="0" w:right="0" w:hanging="0"/>
              <w:jc w:val="right"/>
              <w:rPr/>
            </w:pPr>
            <w:r>
              <w:rPr/>
              <w:t>- </w:t>
            </w:r>
          </w:p>
        </w:tc>
        <w:tc>
          <w:tcPr>
            <w:tcW w:w="1298" w:type="dxa"/>
            <w:gridSpan w:val="2"/>
            <w:tcBorders>
              <w:bottom w:val="single" w:sz="2" w:space="0" w:color="000000"/>
            </w:tcBorders>
            <w:shd w:fill="auto" w:val="clear"/>
            <w:tcMar>
              <w:bottom w:w="28" w:type="dxa"/>
            </w:tcMar>
          </w:tcPr>
          <w:p>
            <w:pPr>
              <w:pStyle w:val="TableContents"/>
              <w:spacing w:before="0" w:after="0"/>
              <w:ind w:left="0" w:right="0" w:hanging="0"/>
              <w:jc w:val="right"/>
              <w:rPr/>
            </w:pPr>
            <w:r>
              <w:rPr/>
              <w:t>- </w:t>
            </w:r>
          </w:p>
        </w:tc>
      </w:tr>
      <w:tr>
        <w:trPr/>
        <w:tc>
          <w:tcPr>
            <w:tcW w:w="3468" w:type="dxa"/>
            <w:gridSpan w:val="2"/>
            <w:tcBorders/>
            <w:shd w:fill="auto" w:val="clear"/>
          </w:tcPr>
          <w:p>
            <w:pPr>
              <w:pStyle w:val="TableContents"/>
              <w:spacing w:before="0" w:after="0"/>
              <w:ind w:left="0" w:right="0" w:hanging="0"/>
              <w:rPr/>
            </w:pPr>
            <w:r>
              <w:rPr/>
              <w:t xml:space="preserve">Balance,  December 31, 2012 </w:t>
            </w:r>
          </w:p>
        </w:tc>
        <w:tc>
          <w:tcPr>
            <w:tcW w:w="2329" w:type="dxa"/>
            <w:tcBorders/>
            <w:shd w:fill="auto" w:val="clear"/>
            <w:vAlign w:val="bottom"/>
          </w:tcPr>
          <w:p>
            <w:pPr>
              <w:pStyle w:val="TableContents"/>
              <w:spacing w:before="0" w:after="0"/>
              <w:ind w:left="0" w:right="0" w:hanging="0"/>
              <w:jc w:val="right"/>
              <w:rPr/>
            </w:pPr>
            <w:r>
              <w:rPr/>
              <w:t>  </w:t>
            </w:r>
            <w:r>
              <w:rPr/>
              <w:t>977,086 </w:t>
            </w:r>
          </w:p>
        </w:tc>
        <w:tc>
          <w:tcPr>
            <w:tcW w:w="3110" w:type="dxa"/>
            <w:tcBorders/>
            <w:shd w:fill="auto" w:val="clear"/>
            <w:vAlign w:val="bottom"/>
          </w:tcPr>
          <w:p>
            <w:pPr>
              <w:pStyle w:val="TableContents"/>
              <w:spacing w:before="0" w:after="0"/>
              <w:ind w:left="0" w:right="0" w:hanging="0"/>
              <w:jc w:val="right"/>
              <w:rPr/>
            </w:pPr>
            <w:r>
              <w:rPr/>
              <w:t>               </w:t>
            </w:r>
            <w:r>
              <w:rPr/>
              <w:t>867,575 </w:t>
            </w:r>
          </w:p>
        </w:tc>
        <w:tc>
          <w:tcPr>
            <w:tcW w:w="1298" w:type="dxa"/>
            <w:gridSpan w:val="2"/>
            <w:tcBorders/>
            <w:shd w:fill="auto" w:val="clear"/>
            <w:vAlign w:val="bottom"/>
          </w:tcPr>
          <w:p>
            <w:pPr>
              <w:pStyle w:val="TableContents"/>
              <w:spacing w:before="0" w:after="0"/>
              <w:ind w:left="0" w:right="0" w:hanging="0"/>
              <w:jc w:val="right"/>
              <w:rPr/>
            </w:pPr>
            <w:r>
              <w:rPr/>
              <w:t>1,844,661 </w:t>
            </w:r>
          </w:p>
        </w:tc>
      </w:tr>
      <w:tr>
        <w:trPr/>
        <w:tc>
          <w:tcPr>
            <w:tcW w:w="3468" w:type="dxa"/>
            <w:gridSpan w:val="2"/>
            <w:tcBorders/>
            <w:shd w:fill="auto" w:val="clear"/>
          </w:tcPr>
          <w:p>
            <w:pPr>
              <w:pStyle w:val="TableContents"/>
              <w:spacing w:before="0" w:after="0"/>
              <w:ind w:left="0" w:right="0" w:hanging="0"/>
              <w:rPr/>
            </w:pPr>
            <w:r>
              <w:rPr/>
              <w:t>Additions during the period</w:t>
            </w:r>
          </w:p>
        </w:tc>
        <w:tc>
          <w:tcPr>
            <w:tcW w:w="2329" w:type="dxa"/>
            <w:tcBorders/>
            <w:shd w:fill="auto" w:val="clear"/>
            <w:vAlign w:val="bottom"/>
          </w:tcPr>
          <w:p>
            <w:pPr>
              <w:pStyle w:val="TableContents"/>
              <w:spacing w:before="0" w:after="0"/>
              <w:ind w:left="0" w:right="0" w:hanging="0"/>
              <w:jc w:val="right"/>
              <w:rPr/>
            </w:pPr>
            <w:r>
              <w:rPr/>
              <w:t>200,000 </w:t>
            </w:r>
          </w:p>
        </w:tc>
        <w:tc>
          <w:tcPr>
            <w:tcW w:w="3110" w:type="dxa"/>
            <w:tcBorders/>
            <w:shd w:fill="auto" w:val="clear"/>
            <w:vAlign w:val="bottom"/>
          </w:tcPr>
          <w:p>
            <w:pPr>
              <w:pStyle w:val="TableContents"/>
              <w:spacing w:before="0" w:after="0"/>
              <w:ind w:left="0" w:right="0" w:hanging="0"/>
              <w:jc w:val="right"/>
              <w:rPr/>
            </w:pPr>
            <w:r>
              <w:rPr/>
              <w:t>363,300 </w:t>
            </w:r>
          </w:p>
        </w:tc>
        <w:tc>
          <w:tcPr>
            <w:tcW w:w="1298" w:type="dxa"/>
            <w:gridSpan w:val="2"/>
            <w:tcBorders/>
            <w:shd w:fill="auto" w:val="clear"/>
            <w:vAlign w:val="bottom"/>
          </w:tcPr>
          <w:p>
            <w:pPr>
              <w:pStyle w:val="TableContents"/>
              <w:spacing w:before="0" w:after="0"/>
              <w:ind w:left="0" w:right="0" w:hanging="0"/>
              <w:jc w:val="right"/>
              <w:rPr/>
            </w:pPr>
            <w:r>
              <w:rPr/>
              <w:t>  </w:t>
            </w:r>
            <w:r>
              <w:rPr/>
              <w:t>563,300 </w:t>
            </w:r>
          </w:p>
        </w:tc>
      </w:tr>
      <w:tr>
        <w:trPr/>
        <w:tc>
          <w:tcPr>
            <w:tcW w:w="3468" w:type="dxa"/>
            <w:gridSpan w:val="2"/>
            <w:tcBorders/>
            <w:shd w:fill="auto" w:val="clear"/>
            <w:vAlign w:val="bottom"/>
          </w:tcPr>
          <w:p>
            <w:pPr>
              <w:pStyle w:val="TableContents"/>
              <w:spacing w:before="0" w:after="0"/>
              <w:ind w:left="0" w:right="0" w:hanging="0"/>
              <w:rPr/>
            </w:pPr>
            <w:r>
              <w:rPr/>
              <w:t>Total unrealized (gains) or losses included in net loss</w:t>
            </w:r>
          </w:p>
        </w:tc>
        <w:tc>
          <w:tcPr>
            <w:tcW w:w="2329" w:type="dxa"/>
            <w:tcBorders/>
            <w:shd w:fill="auto" w:val="clear"/>
            <w:vAlign w:val="bottom"/>
          </w:tcPr>
          <w:p>
            <w:pPr>
              <w:pStyle w:val="TableContents"/>
              <w:spacing w:before="0" w:after="0"/>
              <w:ind w:left="0" w:right="0" w:hanging="0"/>
              <w:jc w:val="right"/>
              <w:rPr/>
            </w:pPr>
            <w:r>
              <w:rPr/>
              <w:t>(1,087,891)</w:t>
            </w:r>
          </w:p>
        </w:tc>
        <w:tc>
          <w:tcPr>
            <w:tcW w:w="3110" w:type="dxa"/>
            <w:tcBorders/>
            <w:shd w:fill="auto" w:val="clear"/>
            <w:vAlign w:val="bottom"/>
          </w:tcPr>
          <w:p>
            <w:pPr>
              <w:pStyle w:val="TableContents"/>
              <w:spacing w:before="0" w:after="0"/>
              <w:ind w:left="0" w:right="0" w:hanging="0"/>
              <w:jc w:val="right"/>
              <w:rPr/>
            </w:pPr>
            <w:r>
              <w:rPr/>
              <w:t>(1,035,575)</w:t>
            </w:r>
          </w:p>
        </w:tc>
        <w:tc>
          <w:tcPr>
            <w:tcW w:w="1298" w:type="dxa"/>
            <w:gridSpan w:val="2"/>
            <w:tcBorders/>
            <w:shd w:fill="auto" w:val="clear"/>
            <w:vAlign w:val="bottom"/>
          </w:tcPr>
          <w:p>
            <w:pPr>
              <w:pStyle w:val="TableContents"/>
              <w:spacing w:before="0" w:after="0"/>
              <w:ind w:left="0" w:right="0" w:hanging="0"/>
              <w:jc w:val="right"/>
              <w:rPr/>
            </w:pPr>
            <w:r>
              <w:rPr/>
              <w:t>(2,123,466)</w:t>
            </w:r>
          </w:p>
        </w:tc>
      </w:tr>
      <w:tr>
        <w:trPr/>
        <w:tc>
          <w:tcPr>
            <w:tcW w:w="3468" w:type="dxa"/>
            <w:gridSpan w:val="2"/>
            <w:tcBorders>
              <w:bottom w:val="single" w:sz="12" w:space="0" w:color="000000"/>
            </w:tcBorders>
            <w:shd w:fill="auto" w:val="clear"/>
            <w:tcMar>
              <w:bottom w:w="28" w:type="dxa"/>
            </w:tcMar>
            <w:vAlign w:val="bottom"/>
          </w:tcPr>
          <w:p>
            <w:pPr>
              <w:pStyle w:val="TableContents"/>
              <w:spacing w:before="0" w:after="0"/>
              <w:ind w:left="0" w:right="0" w:hanging="0"/>
              <w:rPr/>
            </w:pPr>
            <w:r>
              <w:rPr/>
              <w:t>Transfers in and/or out of Level 3</w:t>
            </w:r>
          </w:p>
        </w:tc>
        <w:tc>
          <w:tcPr>
            <w:tcW w:w="2329" w:type="dxa"/>
            <w:tcBorders>
              <w:bottom w:val="single" w:sz="12" w:space="0" w:color="000000"/>
            </w:tcBorders>
            <w:shd w:fill="auto" w:val="clear"/>
            <w:tcMar>
              <w:bottom w:w="28" w:type="dxa"/>
            </w:tcMar>
          </w:tcPr>
          <w:p>
            <w:pPr>
              <w:pStyle w:val="TableContents"/>
              <w:spacing w:before="0" w:after="0"/>
              <w:ind w:left="0" w:right="0" w:hanging="0"/>
              <w:jc w:val="right"/>
              <w:rPr/>
            </w:pPr>
            <w:r>
              <w:rPr/>
              <w:t>- </w:t>
            </w:r>
          </w:p>
        </w:tc>
        <w:tc>
          <w:tcPr>
            <w:tcW w:w="3110" w:type="dxa"/>
            <w:tcBorders>
              <w:bottom w:val="single" w:sz="12" w:space="0" w:color="000000"/>
            </w:tcBorders>
            <w:shd w:fill="auto" w:val="clear"/>
            <w:tcMar>
              <w:bottom w:w="28" w:type="dxa"/>
            </w:tcMar>
          </w:tcPr>
          <w:p>
            <w:pPr>
              <w:pStyle w:val="TableContents"/>
              <w:spacing w:before="0" w:after="0"/>
              <w:ind w:left="0" w:right="0" w:hanging="0"/>
              <w:jc w:val="right"/>
              <w:rPr/>
            </w:pPr>
            <w:r>
              <w:rPr/>
              <w:t>- </w:t>
            </w:r>
          </w:p>
        </w:tc>
        <w:tc>
          <w:tcPr>
            <w:tcW w:w="1298" w:type="dxa"/>
            <w:gridSpan w:val="2"/>
            <w:tcBorders>
              <w:bottom w:val="single" w:sz="12" w:space="0" w:color="000000"/>
            </w:tcBorders>
            <w:shd w:fill="auto" w:val="clear"/>
            <w:tcMar>
              <w:bottom w:w="28" w:type="dxa"/>
            </w:tcMar>
          </w:tcPr>
          <w:p>
            <w:pPr>
              <w:pStyle w:val="TableContents"/>
              <w:spacing w:before="0" w:after="0"/>
              <w:ind w:left="0" w:right="0" w:hanging="0"/>
              <w:jc w:val="right"/>
              <w:rPr/>
            </w:pPr>
            <w:r>
              <w:rPr/>
              <w:t>- </w:t>
            </w:r>
          </w:p>
        </w:tc>
      </w:tr>
      <w:tr>
        <w:trPr/>
        <w:tc>
          <w:tcPr>
            <w:tcW w:w="3383" w:type="dxa"/>
            <w:tcBorders>
              <w:bottom w:val="single" w:sz="12" w:space="0" w:color="000000"/>
            </w:tcBorders>
            <w:shd w:fill="auto" w:val="clear"/>
            <w:tcMar>
              <w:bottom w:w="28" w:type="dxa"/>
            </w:tcMar>
            <w:vAlign w:val="bottom"/>
          </w:tcPr>
          <w:p>
            <w:pPr>
              <w:pStyle w:val="TableContents"/>
              <w:spacing w:before="0" w:after="0"/>
              <w:ind w:left="0" w:right="0" w:hanging="0"/>
              <w:rPr/>
            </w:pPr>
            <w:r>
              <w:rPr/>
              <w:t xml:space="preserve">Balance, September 30, 2013 </w:t>
            </w:r>
          </w:p>
        </w:tc>
        <w:tc>
          <w:tcPr>
            <w:tcW w:w="85"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2329"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89,195 </w:t>
            </w:r>
          </w:p>
        </w:tc>
        <w:tc>
          <w:tcPr>
            <w:tcW w:w="3110"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195,300 </w:t>
            </w:r>
          </w:p>
        </w:tc>
        <w:tc>
          <w:tcPr>
            <w:tcW w:w="12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284,495 </w:t>
            </w:r>
          </w:p>
        </w:tc>
      </w:tr>
    </w:tbl>
    <w:p>
      <w:pPr>
        <w:pStyle w:val="TextBody"/>
        <w:spacing w:before="90" w:after="0"/>
        <w:jc w:val="both"/>
        <w:rPr/>
      </w:pPr>
      <w:r>
        <w:rPr/>
      </w:r>
    </w:p>
    <w:p>
      <w:pPr>
        <w:pStyle w:val="TextBody"/>
        <w:spacing w:before="0" w:after="0"/>
        <w:ind w:left="0" w:right="0" w:hanging="0"/>
        <w:jc w:val="both"/>
        <w:rPr/>
      </w:pPr>
      <w:r>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pStyle w:val="TextBody"/>
        <w:spacing w:before="90" w:after="0"/>
        <w:jc w:val="both"/>
        <w:rPr/>
      </w:pPr>
      <w:r>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0" w:after="0"/>
        <w:ind w:left="0" w:right="0" w:hanging="30"/>
        <w:jc w:val="both"/>
        <w:rPr>
          <w:b/>
          <w:u w:val="single"/>
        </w:rPr>
      </w:pPr>
      <w:r>
        <w:rPr>
          <w:b/>
          <w:u w:val="single"/>
        </w:rPr>
        <w:t>CONVERTIBLE NOTES PAYABLE</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638175"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5:</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5:</w:t>
                      </w:r>
                    </w:p>
                  </w:txbxContent>
                </v:textbox>
                <w10:wrap type="square" side="right"/>
              </v:rect>
            </w:pict>
          </mc:Fallback>
        </mc:AlternateContent>
      </w:r>
    </w:p>
    <w:p>
      <w:pPr>
        <w:pStyle w:val="TextBody"/>
        <w:spacing w:before="90" w:after="90"/>
        <w:jc w:val="both"/>
        <w:rPr/>
      </w:pPr>
      <w:r>
        <w:rPr/>
        <w:t>The following is a summary of debt instrument transactions that are relevant to the current period:</w:t>
      </w:r>
    </w:p>
    <w:tbl>
      <w:tblPr>
        <w:tblW w:w="5000" w:type="pct"/>
        <w:jc w:val="left"/>
        <w:tblInd w:w="0" w:type="dxa"/>
        <w:tblCellMar>
          <w:top w:w="0" w:type="dxa"/>
          <w:left w:w="0" w:type="dxa"/>
          <w:bottom w:w="0" w:type="dxa"/>
          <w:right w:w="0" w:type="dxa"/>
        </w:tblCellMar>
      </w:tblPr>
      <w:tblGrid>
        <w:gridCol w:w="3969"/>
        <w:gridCol w:w="1280"/>
        <w:gridCol w:w="2155"/>
        <w:gridCol w:w="1355"/>
        <w:gridCol w:w="1446"/>
      </w:tblGrid>
      <w:tr>
        <w:trPr/>
        <w:tc>
          <w:tcPr>
            <w:tcW w:w="396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r>
      <w:tr>
        <w:trPr/>
        <w:tc>
          <w:tcPr>
            <w:tcW w:w="3969" w:type="dxa"/>
            <w:tcBorders/>
            <w:shd w:fill="auto" w:val="clear"/>
          </w:tcPr>
          <w:p>
            <w:pPr>
              <w:pStyle w:val="TableContents"/>
              <w:pBdr/>
              <w:spacing w:before="0" w:after="0"/>
              <w:ind w:left="0" w:right="0" w:hanging="0"/>
              <w:rPr/>
            </w:pPr>
            <w:r>
              <w:rPr/>
              <w:t> </w:t>
            </w:r>
          </w:p>
        </w:tc>
        <w:tc>
          <w:tcPr>
            <w:tcW w:w="1280" w:type="dxa"/>
            <w:tcBorders/>
            <w:shd w:fill="auto" w:val="clear"/>
          </w:tcPr>
          <w:p>
            <w:pPr>
              <w:pStyle w:val="TableContents"/>
              <w:spacing w:before="0" w:after="0"/>
              <w:ind w:left="0" w:right="0" w:hanging="0"/>
              <w:rPr/>
            </w:pPr>
            <w:r>
              <w:rPr/>
            </w:r>
          </w:p>
          <w:p>
            <w:pPr>
              <w:pStyle w:val="TableContents"/>
              <w:spacing w:before="0" w:after="0"/>
              <w:ind w:left="0" w:right="0" w:hanging="0"/>
              <w:rPr/>
            </w:pPr>
            <w:r>
              <w:rPr/>
            </w:r>
          </w:p>
          <w:p>
            <w:pPr>
              <w:pStyle w:val="TableContents"/>
              <w:spacing w:before="0" w:after="0"/>
              <w:ind w:left="0" w:right="0" w:hanging="0"/>
              <w:jc w:val="center"/>
              <w:rPr>
                <w:b/>
              </w:rPr>
            </w:pPr>
            <w:r>
              <w:rPr>
                <w:b/>
              </w:rPr>
              <w:t>Face Value</w:t>
            </w:r>
          </w:p>
        </w:tc>
        <w:tc>
          <w:tcPr>
            <w:tcW w:w="2155" w:type="dxa"/>
            <w:tcBorders/>
            <w:shd w:fill="auto" w:val="clear"/>
          </w:tcPr>
          <w:p>
            <w:pPr>
              <w:pStyle w:val="TableContents"/>
              <w:spacing w:before="0" w:after="0"/>
              <w:ind w:left="0" w:right="0" w:hanging="0"/>
              <w:jc w:val="center"/>
              <w:rPr>
                <w:b/>
              </w:rPr>
            </w:pPr>
            <w:r>
              <w:rPr>
                <w:b/>
              </w:rPr>
              <w:t>Principal Repayment/</w:t>
            </w:r>
          </w:p>
          <w:p>
            <w:pPr>
              <w:pStyle w:val="TableContents"/>
              <w:spacing w:before="0" w:after="0"/>
              <w:ind w:left="0" w:right="0" w:hanging="0"/>
              <w:jc w:val="center"/>
              <w:rPr>
                <w:b/>
              </w:rPr>
            </w:pPr>
            <w:r>
              <w:rPr>
                <w:b/>
              </w:rPr>
              <w:t>Settlement/Re-issued</w:t>
            </w:r>
          </w:p>
        </w:tc>
        <w:tc>
          <w:tcPr>
            <w:tcW w:w="1355" w:type="dxa"/>
            <w:tcBorders/>
            <w:shd w:fill="auto" w:val="clear"/>
          </w:tcPr>
          <w:p>
            <w:pPr>
              <w:pStyle w:val="TableContents"/>
              <w:spacing w:before="0" w:after="0"/>
              <w:ind w:left="0" w:right="0" w:hanging="0"/>
              <w:jc w:val="center"/>
              <w:rPr>
                <w:b/>
              </w:rPr>
            </w:pPr>
            <w:r>
              <w:rPr>
                <w:b/>
              </w:rPr>
              <w:t>Unamortized</w:t>
            </w:r>
          </w:p>
          <w:p>
            <w:pPr>
              <w:pStyle w:val="TableContents"/>
              <w:spacing w:before="0" w:after="0"/>
              <w:ind w:left="0" w:right="0" w:hanging="0"/>
              <w:jc w:val="center"/>
              <w:rPr>
                <w:b/>
              </w:rPr>
            </w:pPr>
            <w:r>
              <w:rPr>
                <w:b/>
              </w:rPr>
              <w:t>Note</w:t>
            </w:r>
          </w:p>
          <w:p>
            <w:pPr>
              <w:pStyle w:val="TableContents"/>
              <w:spacing w:before="0" w:after="0"/>
              <w:ind w:left="0" w:right="0" w:hanging="0"/>
              <w:jc w:val="center"/>
              <w:rPr>
                <w:b/>
              </w:rPr>
            </w:pPr>
            <w:r>
              <w:rPr>
                <w:b/>
              </w:rPr>
              <w:t>Discount</w:t>
            </w:r>
          </w:p>
        </w:tc>
        <w:tc>
          <w:tcPr>
            <w:tcW w:w="1446" w:type="dxa"/>
            <w:tcBorders/>
            <w:shd w:fill="auto" w:val="clear"/>
          </w:tcPr>
          <w:p>
            <w:pPr>
              <w:pStyle w:val="TableContents"/>
              <w:spacing w:before="0" w:after="0"/>
              <w:ind w:left="0" w:right="0" w:hanging="0"/>
              <w:jc w:val="center"/>
              <w:rPr>
                <w:b/>
              </w:rPr>
            </w:pPr>
            <w:r>
              <w:rPr>
                <w:b/>
              </w:rPr>
              <w:t>Balance at</w:t>
            </w:r>
          </w:p>
          <w:p>
            <w:pPr>
              <w:pStyle w:val="TableContents"/>
              <w:spacing w:before="0" w:after="0"/>
              <w:ind w:left="0" w:right="0" w:hanging="0"/>
              <w:jc w:val="center"/>
              <w:rPr>
                <w:b/>
              </w:rPr>
            </w:pPr>
            <w:r>
              <w:rPr>
                <w:b/>
              </w:rPr>
              <w:t>September 30,</w:t>
            </w:r>
          </w:p>
          <w:p>
            <w:pPr>
              <w:pStyle w:val="TableContents"/>
              <w:spacing w:before="0" w:after="0"/>
              <w:ind w:left="0" w:right="0" w:hanging="0"/>
              <w:jc w:val="center"/>
              <w:rPr>
                <w:b/>
              </w:rPr>
            </w:pPr>
            <w:r>
              <w:rPr>
                <w:b/>
              </w:rPr>
              <w:t>2013</w:t>
            </w:r>
          </w:p>
        </w:tc>
      </w:tr>
      <w:tr>
        <w:trPr/>
        <w:tc>
          <w:tcPr>
            <w:tcW w:w="3969"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80"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2155"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355"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446"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February 2011 Secured Convertible Notes</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Senior Secured Notes, due February 24, 2014</w:t>
            </w:r>
          </w:p>
        </w:tc>
        <w:tc>
          <w:tcPr>
            <w:tcW w:w="1280" w:type="dxa"/>
            <w:tcBorders/>
            <w:shd w:fill="auto" w:val="clear"/>
            <w:vAlign w:val="bottom"/>
          </w:tcPr>
          <w:p>
            <w:pPr>
              <w:pStyle w:val="TableContents"/>
              <w:spacing w:before="0" w:after="0"/>
              <w:ind w:left="0" w:right="0" w:hanging="0"/>
              <w:jc w:val="right"/>
              <w:rPr/>
            </w:pPr>
            <w:r>
              <w:rPr/>
              <w:t>$  1,184,694 </w:t>
            </w:r>
          </w:p>
        </w:tc>
        <w:tc>
          <w:tcPr>
            <w:tcW w:w="2155" w:type="dxa"/>
            <w:tcBorders/>
            <w:shd w:fill="auto" w:val="clear"/>
            <w:vAlign w:val="bottom"/>
          </w:tcPr>
          <w:p>
            <w:pPr>
              <w:pStyle w:val="TableContents"/>
              <w:spacing w:before="0" w:after="0"/>
              <w:ind w:left="0" w:right="0" w:hanging="0"/>
              <w:jc w:val="right"/>
              <w:rPr/>
            </w:pPr>
            <w:r>
              <w:rPr/>
              <w:t>$         203,836  </w:t>
            </w:r>
          </w:p>
        </w:tc>
        <w:tc>
          <w:tcPr>
            <w:tcW w:w="1355" w:type="dxa"/>
            <w:tcBorders/>
            <w:shd w:fill="auto" w:val="clear"/>
            <w:vAlign w:val="bottom"/>
          </w:tcPr>
          <w:p>
            <w:pPr>
              <w:pStyle w:val="TableContents"/>
              <w:spacing w:before="0" w:after="0"/>
              <w:ind w:left="0" w:right="0" w:hanging="0"/>
              <w:jc w:val="right"/>
              <w:rPr/>
            </w:pPr>
            <w:r>
              <w:rPr/>
              <w:t>$    53,676 </w:t>
            </w:r>
          </w:p>
        </w:tc>
        <w:tc>
          <w:tcPr>
            <w:tcW w:w="1446" w:type="dxa"/>
            <w:tcBorders/>
            <w:shd w:fill="auto" w:val="clear"/>
            <w:vAlign w:val="bottom"/>
          </w:tcPr>
          <w:p>
            <w:pPr>
              <w:pStyle w:val="TableContents"/>
              <w:spacing w:before="0" w:after="0"/>
              <w:ind w:left="0" w:right="0" w:hanging="0"/>
              <w:jc w:val="right"/>
              <w:rPr/>
            </w:pPr>
            <w:r>
              <w:rPr/>
              <w:t>$  927,182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April 2011 Secured Convertible Notes</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Senior Secured Notes, due April 4, 2014</w:t>
            </w:r>
          </w:p>
        </w:tc>
        <w:tc>
          <w:tcPr>
            <w:tcW w:w="1280" w:type="dxa"/>
            <w:tcBorders/>
            <w:shd w:fill="auto" w:val="clear"/>
            <w:vAlign w:val="bottom"/>
          </w:tcPr>
          <w:p>
            <w:pPr>
              <w:pStyle w:val="TableContents"/>
              <w:spacing w:before="0" w:after="0"/>
              <w:ind w:left="0" w:right="0" w:hanging="0"/>
              <w:jc w:val="right"/>
              <w:rPr/>
            </w:pPr>
            <w:r>
              <w:rPr/>
              <w:t>  </w:t>
            </w:r>
            <w:r>
              <w:rPr/>
              <w:t>215,000 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17,481 </w:t>
            </w:r>
          </w:p>
        </w:tc>
        <w:tc>
          <w:tcPr>
            <w:tcW w:w="1446" w:type="dxa"/>
            <w:tcBorders/>
            <w:shd w:fill="auto" w:val="clear"/>
            <w:vAlign w:val="bottom"/>
          </w:tcPr>
          <w:p>
            <w:pPr>
              <w:pStyle w:val="TableContents"/>
              <w:spacing w:before="0" w:after="0"/>
              <w:ind w:left="0" w:right="0" w:hanging="0"/>
              <w:jc w:val="right"/>
              <w:rPr/>
            </w:pPr>
            <w:r>
              <w:rPr/>
              <w:t>  </w:t>
            </w:r>
            <w:r>
              <w:rPr/>
              <w:t>197,519 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June 2011 Secured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Senior Secured Notes, due June 6, 2014</w:t>
            </w:r>
          </w:p>
        </w:tc>
        <w:tc>
          <w:tcPr>
            <w:tcW w:w="1280" w:type="dxa"/>
            <w:tcBorders/>
            <w:shd w:fill="auto" w:val="clear"/>
            <w:vAlign w:val="bottom"/>
          </w:tcPr>
          <w:p>
            <w:pPr>
              <w:pStyle w:val="TableContents"/>
              <w:spacing w:before="0" w:after="0"/>
              <w:ind w:left="0" w:right="0" w:hanging="0"/>
              <w:jc w:val="right"/>
              <w:rPr/>
            </w:pPr>
            <w:r>
              <w:rPr/>
              <w:t>  </w:t>
            </w:r>
            <w:r>
              <w:rPr/>
              <w:t>30,000 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1,885 </w:t>
            </w:r>
          </w:p>
        </w:tc>
        <w:tc>
          <w:tcPr>
            <w:tcW w:w="1446" w:type="dxa"/>
            <w:tcBorders/>
            <w:shd w:fill="auto" w:val="clear"/>
            <w:vAlign w:val="bottom"/>
          </w:tcPr>
          <w:p>
            <w:pPr>
              <w:pStyle w:val="TableContents"/>
              <w:spacing w:before="0" w:after="0"/>
              <w:ind w:left="0" w:right="0" w:hanging="0"/>
              <w:jc w:val="right"/>
              <w:rPr/>
            </w:pPr>
            <w:r>
              <w:rPr/>
              <w:t>  </w:t>
            </w:r>
            <w:r>
              <w:rPr/>
              <w:t>28,115 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August 8,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August 8, 2013</w:t>
            </w:r>
          </w:p>
        </w:tc>
        <w:tc>
          <w:tcPr>
            <w:tcW w:w="1280" w:type="dxa"/>
            <w:tcBorders/>
            <w:shd w:fill="auto" w:val="clear"/>
            <w:vAlign w:val="bottom"/>
          </w:tcPr>
          <w:p>
            <w:pPr>
              <w:pStyle w:val="TableContents"/>
              <w:spacing w:before="0" w:after="0"/>
              <w:ind w:left="0" w:right="0" w:hanging="0"/>
              <w:jc w:val="right"/>
              <w:rPr/>
            </w:pPr>
            <w:r>
              <w:rPr/>
              <w:t>  </w:t>
            </w:r>
            <w:r>
              <w:rPr/>
              <w:t>111,430 </w:t>
            </w:r>
          </w:p>
        </w:tc>
        <w:tc>
          <w:tcPr>
            <w:tcW w:w="2155" w:type="dxa"/>
            <w:tcBorders/>
            <w:shd w:fill="auto" w:val="clear"/>
            <w:vAlign w:val="bottom"/>
          </w:tcPr>
          <w:p>
            <w:pPr>
              <w:pStyle w:val="TableContents"/>
              <w:spacing w:before="0" w:after="0"/>
              <w:ind w:left="0" w:right="0" w:hanging="0"/>
              <w:jc w:val="right"/>
              <w:rPr/>
            </w:pPr>
            <w:r>
              <w:rPr/>
              <w:t>         </w:t>
            </w:r>
            <w:r>
              <w:rPr/>
              <w:t>111,430  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August 12,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became due November 12, 2012</w:t>
            </w:r>
          </w:p>
        </w:tc>
        <w:tc>
          <w:tcPr>
            <w:tcW w:w="1280" w:type="dxa"/>
            <w:tcBorders/>
            <w:shd w:fill="auto" w:val="clear"/>
            <w:vAlign w:val="bottom"/>
          </w:tcPr>
          <w:p>
            <w:pPr>
              <w:pStyle w:val="TableContents"/>
              <w:spacing w:before="0" w:after="0"/>
              <w:ind w:left="0" w:right="0" w:hanging="0"/>
              <w:jc w:val="right"/>
              <w:rPr/>
            </w:pPr>
            <w:r>
              <w:rPr/>
              <w:t>  </w:t>
            </w:r>
            <w:r>
              <w:rPr/>
              <w:t>27,500 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p>
        </w:tc>
        <w:tc>
          <w:tcPr>
            <w:tcW w:w="1446" w:type="dxa"/>
            <w:tcBorders/>
            <w:shd w:fill="auto" w:val="clear"/>
            <w:vAlign w:val="bottom"/>
          </w:tcPr>
          <w:p>
            <w:pPr>
              <w:pStyle w:val="TableContents"/>
              <w:spacing w:before="0" w:after="0"/>
              <w:ind w:left="0" w:right="0" w:hanging="0"/>
              <w:jc w:val="right"/>
              <w:rPr/>
            </w:pPr>
            <w:r>
              <w:rPr/>
              <w:t>27,500 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August 20,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August 20, 2013</w:t>
            </w:r>
          </w:p>
        </w:tc>
        <w:tc>
          <w:tcPr>
            <w:tcW w:w="1280" w:type="dxa"/>
            <w:tcBorders/>
            <w:shd w:fill="auto" w:val="clear"/>
            <w:vAlign w:val="bottom"/>
          </w:tcPr>
          <w:p>
            <w:pPr>
              <w:pStyle w:val="TableContents"/>
              <w:spacing w:before="0" w:after="0"/>
              <w:ind w:left="0" w:right="0" w:hanging="0"/>
              <w:jc w:val="right"/>
              <w:rPr/>
            </w:pPr>
            <w:r>
              <w:rPr/>
              <w:t>  </w:t>
            </w:r>
            <w:r>
              <w:rPr/>
              <w:t>20,000 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p>
        </w:tc>
        <w:tc>
          <w:tcPr>
            <w:tcW w:w="1446" w:type="dxa"/>
            <w:tcBorders/>
            <w:shd w:fill="auto" w:val="clear"/>
            <w:vAlign w:val="bottom"/>
          </w:tcPr>
          <w:p>
            <w:pPr>
              <w:pStyle w:val="TableContents"/>
              <w:spacing w:before="0" w:after="0"/>
              <w:ind w:left="0" w:right="0" w:hanging="0"/>
              <w:jc w:val="right"/>
              <w:rPr/>
            </w:pPr>
            <w:r>
              <w:rPr/>
              <w:t>  </w:t>
            </w:r>
            <w:r>
              <w:rPr/>
              <w:t>20,000 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September 18,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October 1, 2013</w:t>
            </w:r>
          </w:p>
        </w:tc>
        <w:tc>
          <w:tcPr>
            <w:tcW w:w="1280" w:type="dxa"/>
            <w:tcBorders/>
            <w:shd w:fill="auto" w:val="clear"/>
            <w:vAlign w:val="bottom"/>
          </w:tcPr>
          <w:p>
            <w:pPr>
              <w:pStyle w:val="TableContents"/>
              <w:spacing w:before="0" w:after="0"/>
              <w:ind w:left="0" w:right="0" w:hanging="0"/>
              <w:jc w:val="right"/>
              <w:rPr/>
            </w:pPr>
            <w:r>
              <w:rPr/>
              <w:t>  </w:t>
            </w:r>
            <w:r>
              <w:rPr/>
              <w:t>82,500 </w:t>
            </w:r>
          </w:p>
        </w:tc>
        <w:tc>
          <w:tcPr>
            <w:tcW w:w="2155" w:type="dxa"/>
            <w:tcBorders/>
            <w:shd w:fill="auto" w:val="clear"/>
            <w:vAlign w:val="bottom"/>
          </w:tcPr>
          <w:p>
            <w:pPr>
              <w:pStyle w:val="TableContents"/>
              <w:spacing w:before="0" w:after="0"/>
              <w:ind w:left="0" w:right="0" w:hanging="0"/>
              <w:jc w:val="right"/>
              <w:rPr/>
            </w:pPr>
            <w:r>
              <w:rPr/>
              <w:t>         </w:t>
            </w:r>
            <w:r>
              <w:rPr/>
              <w:t>58,750  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23,750 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October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October 15, 2013</w:t>
            </w:r>
          </w:p>
        </w:tc>
        <w:tc>
          <w:tcPr>
            <w:tcW w:w="1280" w:type="dxa"/>
            <w:tcBorders/>
            <w:shd w:fill="auto" w:val="clear"/>
            <w:vAlign w:val="bottom"/>
          </w:tcPr>
          <w:p>
            <w:pPr>
              <w:pStyle w:val="TableContents"/>
              <w:spacing w:before="0" w:after="0"/>
              <w:ind w:left="0" w:right="0" w:hanging="0"/>
              <w:jc w:val="right"/>
              <w:rPr/>
            </w:pPr>
            <w:r>
              <w:rPr/>
              <w:t>  </w:t>
            </w:r>
            <w:r>
              <w:rPr/>
              <w:t>340,000 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13,972 </w:t>
            </w:r>
          </w:p>
        </w:tc>
        <w:tc>
          <w:tcPr>
            <w:tcW w:w="1446" w:type="dxa"/>
            <w:tcBorders/>
            <w:shd w:fill="auto" w:val="clear"/>
            <w:vAlign w:val="bottom"/>
          </w:tcPr>
          <w:p>
            <w:pPr>
              <w:pStyle w:val="TableContents"/>
              <w:spacing w:before="0" w:after="0"/>
              <w:ind w:left="0" w:right="0" w:hanging="0"/>
              <w:jc w:val="right"/>
              <w:rPr/>
            </w:pPr>
            <w:r>
              <w:rPr/>
              <w:t>  </w:t>
            </w:r>
            <w:r>
              <w:rPr/>
              <w:t>326,028 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October 9, 2012 Convertible Notes</w:t>
            </w:r>
          </w:p>
        </w:tc>
        <w:tc>
          <w:tcPr>
            <w:tcW w:w="1280" w:type="dxa"/>
            <w:tcBorders/>
            <w:shd w:fill="auto" w:val="clear"/>
            <w:vAlign w:val="bottom"/>
          </w:tcPr>
          <w:p>
            <w:pPr>
              <w:pStyle w:val="TableContents"/>
              <w:spacing w:before="0" w:after="0"/>
              <w:ind w:left="0" w:right="0" w:hanging="0"/>
              <w:jc w:val="right"/>
              <w:rPr/>
            </w:pPr>
            <w:r>
              <w:rPr/>
              <w:t>  </w:t>
            </w:r>
            <w:r>
              <w:rPr/>
              <w:t>100,000 </w:t>
            </w:r>
          </w:p>
        </w:tc>
        <w:tc>
          <w:tcPr>
            <w:tcW w:w="2155" w:type="dxa"/>
            <w:tcBorders/>
            <w:shd w:fill="auto" w:val="clear"/>
            <w:vAlign w:val="bottom"/>
          </w:tcPr>
          <w:p>
            <w:pPr>
              <w:pStyle w:val="TableContents"/>
              <w:spacing w:before="0" w:after="0"/>
              <w:ind w:left="0" w:right="0" w:hanging="0"/>
              <w:jc w:val="right"/>
              <w:rPr/>
            </w:pPr>
            <w:r>
              <w:rPr/>
              <w:t>         </w:t>
            </w:r>
            <w:r>
              <w:rPr/>
              <w:t>100,000  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 </w:t>
            </w:r>
          </w:p>
        </w:tc>
      </w:tr>
      <w:tr>
        <w:trPr/>
        <w:tc>
          <w:tcPr>
            <w:tcW w:w="3969" w:type="dxa"/>
            <w:tcBorders/>
            <w:shd w:fill="auto" w:val="clear"/>
            <w:vAlign w:val="bottom"/>
          </w:tcPr>
          <w:p>
            <w:pPr>
              <w:pStyle w:val="TableContents"/>
              <w:spacing w:before="0" w:after="0"/>
              <w:ind w:left="0" w:right="0" w:hanging="0"/>
              <w:rPr/>
            </w:pPr>
            <w:r>
              <w:rPr/>
              <w:t>Note due April 30, 2013</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November 1,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April 30, 2013</w:t>
            </w:r>
          </w:p>
        </w:tc>
        <w:tc>
          <w:tcPr>
            <w:tcW w:w="1280" w:type="dxa"/>
            <w:tcBorders/>
            <w:shd w:fill="auto" w:val="clear"/>
            <w:vAlign w:val="bottom"/>
          </w:tcPr>
          <w:p>
            <w:pPr>
              <w:pStyle w:val="TableContents"/>
              <w:spacing w:before="0" w:after="0"/>
              <w:ind w:left="0" w:right="0" w:hanging="0"/>
              <w:jc w:val="right"/>
              <w:rPr/>
            </w:pPr>
            <w:r>
              <w:rPr/>
              <w:t>  </w:t>
            </w:r>
            <w:r>
              <w:rPr/>
              <w:t>31,471 </w:t>
            </w:r>
          </w:p>
        </w:tc>
        <w:tc>
          <w:tcPr>
            <w:tcW w:w="2155" w:type="dxa"/>
            <w:tcBorders/>
            <w:shd w:fill="auto" w:val="clear"/>
            <w:vAlign w:val="bottom"/>
          </w:tcPr>
          <w:p>
            <w:pPr>
              <w:pStyle w:val="TableContents"/>
              <w:spacing w:before="0" w:after="0"/>
              <w:ind w:left="0" w:right="0" w:hanging="0"/>
              <w:jc w:val="right"/>
              <w:rPr/>
            </w:pPr>
            <w:r>
              <w:rPr/>
              <w:t>         </w:t>
            </w:r>
            <w:r>
              <w:rPr/>
              <w:t>31,471  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November 20,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November 20, 2013</w:t>
            </w:r>
          </w:p>
        </w:tc>
        <w:tc>
          <w:tcPr>
            <w:tcW w:w="1280" w:type="dxa"/>
            <w:tcBorders/>
            <w:shd w:fill="auto" w:val="clear"/>
            <w:vAlign w:val="bottom"/>
          </w:tcPr>
          <w:p>
            <w:pPr>
              <w:pStyle w:val="TableContents"/>
              <w:spacing w:before="0" w:after="0"/>
              <w:ind w:left="0" w:right="0" w:hanging="0"/>
              <w:jc w:val="right"/>
              <w:rPr/>
            </w:pPr>
            <w:r>
              <w:rPr/>
              <w:t>  </w:t>
            </w:r>
            <w:r>
              <w:rPr/>
              <w:t>55,710 </w:t>
            </w:r>
          </w:p>
        </w:tc>
        <w:tc>
          <w:tcPr>
            <w:tcW w:w="2155" w:type="dxa"/>
            <w:tcBorders/>
            <w:shd w:fill="auto" w:val="clear"/>
            <w:vAlign w:val="bottom"/>
          </w:tcPr>
          <w:p>
            <w:pPr>
              <w:pStyle w:val="TableContents"/>
              <w:spacing w:before="0" w:after="0"/>
              <w:ind w:left="0" w:right="0" w:hanging="0"/>
              <w:jc w:val="right"/>
              <w:rPr/>
            </w:pPr>
            <w:r>
              <w:rPr/>
              <w:t>         </w:t>
            </w:r>
            <w:r>
              <w:rPr/>
              <w:t>44,962  </w:t>
            </w:r>
          </w:p>
        </w:tc>
        <w:tc>
          <w:tcPr>
            <w:tcW w:w="1355" w:type="dxa"/>
            <w:tcBorders/>
            <w:shd w:fill="auto" w:val="clear"/>
          </w:tcPr>
          <w:p>
            <w:pPr>
              <w:pStyle w:val="TableContents"/>
              <w:spacing w:before="0" w:after="0"/>
              <w:ind w:left="0" w:right="0" w:hanging="0"/>
              <w:jc w:val="right"/>
              <w:rPr/>
            </w:pPr>
            <w:r>
              <w:rPr/>
              <w:t>    </w:t>
            </w:r>
            <w:r>
              <w:rPr/>
              <w:t>-  </w:t>
            </w:r>
          </w:p>
        </w:tc>
        <w:tc>
          <w:tcPr>
            <w:tcW w:w="1446" w:type="dxa"/>
            <w:tcBorders/>
            <w:shd w:fill="auto" w:val="clear"/>
          </w:tcPr>
          <w:p>
            <w:pPr>
              <w:pStyle w:val="TableContents"/>
              <w:spacing w:before="0" w:after="0"/>
              <w:ind w:left="0" w:right="0" w:hanging="0"/>
              <w:jc w:val="right"/>
              <w:rPr/>
            </w:pPr>
            <w:r>
              <w:rPr/>
              <w:t>    </w:t>
            </w:r>
            <w:r>
              <w:rPr/>
              <w:t>10,748  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December 14,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April 18, 2013</w:t>
            </w:r>
          </w:p>
        </w:tc>
        <w:tc>
          <w:tcPr>
            <w:tcW w:w="1280" w:type="dxa"/>
            <w:tcBorders/>
            <w:shd w:fill="auto" w:val="clear"/>
            <w:vAlign w:val="bottom"/>
          </w:tcPr>
          <w:p>
            <w:pPr>
              <w:pStyle w:val="TableContents"/>
              <w:spacing w:before="0" w:after="0"/>
              <w:ind w:left="0" w:right="0" w:hanging="0"/>
              <w:jc w:val="right"/>
              <w:rPr/>
            </w:pPr>
            <w:r>
              <w:rPr/>
              <w:t>  </w:t>
            </w:r>
            <w:r>
              <w:rPr/>
              <w:t>189,210 </w:t>
            </w:r>
          </w:p>
        </w:tc>
        <w:tc>
          <w:tcPr>
            <w:tcW w:w="2155" w:type="dxa"/>
            <w:tcBorders/>
            <w:shd w:fill="auto" w:val="clear"/>
            <w:vAlign w:val="bottom"/>
          </w:tcPr>
          <w:p>
            <w:pPr>
              <w:pStyle w:val="TableContents"/>
              <w:spacing w:before="0" w:after="0"/>
              <w:ind w:left="0" w:right="0" w:hanging="0"/>
              <w:jc w:val="right"/>
              <w:rPr/>
            </w:pPr>
            <w:r>
              <w:rPr/>
              <w:t>         </w:t>
            </w:r>
            <w:r>
              <w:rPr/>
              <w:t>189,210  </w:t>
            </w:r>
          </w:p>
        </w:tc>
        <w:tc>
          <w:tcPr>
            <w:tcW w:w="1355" w:type="dxa"/>
            <w:tcBorders/>
            <w:shd w:fill="auto" w:val="clear"/>
            <w:vAlign w:val="bottom"/>
          </w:tcPr>
          <w:p>
            <w:pPr>
              <w:pStyle w:val="TableContents"/>
              <w:spacing w:before="0" w:after="0"/>
              <w:ind w:left="0" w:right="0" w:hanging="0"/>
              <w:jc w:val="right"/>
              <w:rPr/>
            </w:pPr>
            <w:r>
              <w:rPr/>
              <w:t>         </w:t>
            </w:r>
            <w:r>
              <w:rPr/>
              <w:t>-</w:t>
            </w:r>
          </w:p>
        </w:tc>
        <w:tc>
          <w:tcPr>
            <w:tcW w:w="1446" w:type="dxa"/>
            <w:tcBorders/>
            <w:shd w:fill="auto" w:val="clear"/>
            <w:vAlign w:val="bottom"/>
          </w:tcPr>
          <w:p>
            <w:pPr>
              <w:pStyle w:val="TableContents"/>
              <w:spacing w:before="0" w:after="0"/>
              <w:ind w:left="0" w:right="0" w:hanging="0"/>
              <w:jc w:val="right"/>
              <w:rPr/>
            </w:pPr>
            <w:r>
              <w:rPr/>
              <w:t>  </w:t>
            </w:r>
            <w:r>
              <w:rPr/>
              <w:t>-</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December 18, 2012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December 14, 2013</w:t>
            </w:r>
          </w:p>
        </w:tc>
        <w:tc>
          <w:tcPr>
            <w:tcW w:w="1280" w:type="dxa"/>
            <w:tcBorders/>
            <w:shd w:fill="auto" w:val="clear"/>
            <w:vAlign w:val="bottom"/>
          </w:tcPr>
          <w:p>
            <w:pPr>
              <w:pStyle w:val="TableContents"/>
              <w:spacing w:before="0" w:after="0"/>
              <w:ind w:left="0" w:right="0" w:hanging="0"/>
              <w:jc w:val="right"/>
              <w:rPr/>
            </w:pPr>
            <w:r>
              <w:rPr/>
              <w:t>  </w:t>
            </w:r>
            <w:r>
              <w:rPr/>
              <w:t>50,000 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50,000 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January 5, 2013 Convertible Notes</w:t>
            </w:r>
          </w:p>
        </w:tc>
        <w:tc>
          <w:tcPr>
            <w:tcW w:w="1280" w:type="dxa"/>
            <w:tcBorders/>
            <w:shd w:fill="auto" w:val="clear"/>
            <w:vAlign w:val="bottom"/>
          </w:tcPr>
          <w:p>
            <w:pPr>
              <w:pStyle w:val="TableContents"/>
              <w:spacing w:before="0" w:after="0"/>
              <w:ind w:left="0" w:right="0" w:hanging="0"/>
              <w:jc w:val="right"/>
              <w:rPr/>
            </w:pPr>
            <w:r>
              <w:rPr/>
              <w:t>  </w:t>
            </w:r>
            <w:r>
              <w:rPr/>
              <w:t>567,729 </w:t>
            </w:r>
          </w:p>
        </w:tc>
        <w:tc>
          <w:tcPr>
            <w:tcW w:w="2155" w:type="dxa"/>
            <w:tcBorders/>
            <w:shd w:fill="auto" w:val="clear"/>
            <w:vAlign w:val="bottom"/>
          </w:tcPr>
          <w:p>
            <w:pPr>
              <w:pStyle w:val="TableContents"/>
              <w:spacing w:before="0" w:after="0"/>
              <w:ind w:left="0" w:right="0" w:hanging="0"/>
              <w:jc w:val="right"/>
              <w:rPr/>
            </w:pPr>
            <w:r>
              <w:rPr/>
              <w:t>         </w:t>
            </w:r>
            <w:r>
              <w:rPr/>
              <w:t>115,000  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452,729 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February 27,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February 27, 2014</w:t>
            </w:r>
          </w:p>
        </w:tc>
        <w:tc>
          <w:tcPr>
            <w:tcW w:w="1280" w:type="dxa"/>
            <w:tcBorders/>
            <w:shd w:fill="auto" w:val="clear"/>
            <w:vAlign w:val="bottom"/>
          </w:tcPr>
          <w:p>
            <w:pPr>
              <w:pStyle w:val="TableContents"/>
              <w:spacing w:before="0" w:after="0"/>
              <w:ind w:left="0" w:right="0" w:hanging="0"/>
              <w:jc w:val="right"/>
              <w:rPr/>
            </w:pPr>
            <w:r>
              <w:rPr/>
              <w:t>  </w:t>
            </w:r>
            <w:r>
              <w:rPr/>
              <w:t>58,500 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22,808 </w:t>
            </w:r>
          </w:p>
        </w:tc>
        <w:tc>
          <w:tcPr>
            <w:tcW w:w="1446" w:type="dxa"/>
            <w:tcBorders/>
            <w:shd w:fill="auto" w:val="clear"/>
            <w:vAlign w:val="bottom"/>
          </w:tcPr>
          <w:p>
            <w:pPr>
              <w:pStyle w:val="TableContents"/>
              <w:spacing w:before="0" w:after="0"/>
              <w:ind w:left="0" w:right="0" w:hanging="0"/>
              <w:jc w:val="right"/>
              <w:rPr/>
            </w:pPr>
            <w:r>
              <w:rPr/>
              <w:t>  </w:t>
            </w:r>
            <w:r>
              <w:rPr/>
              <w:t>35,692 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April 2, 2013 Convertible Notes</w:t>
            </w:r>
          </w:p>
        </w:tc>
        <w:tc>
          <w:tcPr>
            <w:tcW w:w="1280" w:type="dxa"/>
            <w:tcBorders/>
            <w:shd w:fill="auto" w:val="clear"/>
            <w:vAlign w:val="bottom"/>
          </w:tcPr>
          <w:p>
            <w:pPr>
              <w:pStyle w:val="TableContents"/>
              <w:spacing w:before="0" w:after="0"/>
              <w:ind w:left="0" w:right="0" w:hanging="0"/>
              <w:jc w:val="right"/>
              <w:rPr/>
            </w:pPr>
            <w:r>
              <w:rPr/>
              <w:t>  </w:t>
            </w:r>
            <w:r>
              <w:rPr/>
              <w:t>80,967 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80,967 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April 18,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December 18, 2013</w:t>
            </w:r>
          </w:p>
        </w:tc>
        <w:tc>
          <w:tcPr>
            <w:tcW w:w="1280" w:type="dxa"/>
            <w:tcBorders/>
            <w:shd w:fill="auto" w:val="clear"/>
            <w:vAlign w:val="bottom"/>
          </w:tcPr>
          <w:p>
            <w:pPr>
              <w:pStyle w:val="TableContents"/>
              <w:spacing w:before="0" w:after="0"/>
              <w:ind w:left="0" w:right="0" w:hanging="0"/>
              <w:jc w:val="right"/>
              <w:rPr/>
            </w:pPr>
            <w:r>
              <w:rPr/>
              <w:t>  </w:t>
            </w:r>
            <w:r>
              <w:rPr/>
              <w:t>60,000 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9,868 </w:t>
            </w:r>
          </w:p>
        </w:tc>
        <w:tc>
          <w:tcPr>
            <w:tcW w:w="1446" w:type="dxa"/>
            <w:tcBorders/>
            <w:shd w:fill="auto" w:val="clear"/>
            <w:vAlign w:val="bottom"/>
          </w:tcPr>
          <w:p>
            <w:pPr>
              <w:pStyle w:val="TableContents"/>
              <w:spacing w:before="0" w:after="0"/>
              <w:ind w:left="0" w:right="0" w:hanging="0"/>
              <w:jc w:val="right"/>
              <w:rPr/>
            </w:pPr>
            <w:r>
              <w:rPr/>
              <w:t>  </w:t>
            </w:r>
            <w:r>
              <w:rPr/>
              <w:t>50,132 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May 5, 2013 Convertible Notes</w:t>
            </w:r>
          </w:p>
        </w:tc>
        <w:tc>
          <w:tcPr>
            <w:tcW w:w="1280" w:type="dxa"/>
            <w:tcBorders/>
            <w:shd w:fill="auto" w:val="clear"/>
            <w:vAlign w:val="bottom"/>
          </w:tcPr>
          <w:p>
            <w:pPr>
              <w:pStyle w:val="TableContents"/>
              <w:spacing w:before="0" w:after="0"/>
              <w:ind w:left="0" w:right="0" w:hanging="0"/>
              <w:jc w:val="right"/>
              <w:rPr/>
            </w:pPr>
            <w:r>
              <w:rPr/>
              <w:t>  </w:t>
            </w:r>
            <w:r>
              <w:rPr/>
              <w:t>45,000 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46" w:type="dxa"/>
            <w:tcBorders/>
            <w:shd w:fill="auto" w:val="clear"/>
            <w:vAlign w:val="bottom"/>
          </w:tcPr>
          <w:p>
            <w:pPr>
              <w:pStyle w:val="TableContents"/>
              <w:spacing w:before="0" w:after="0"/>
              <w:ind w:left="0" w:right="0" w:hanging="0"/>
              <w:jc w:val="right"/>
              <w:rPr/>
            </w:pPr>
            <w:r>
              <w:rPr/>
              <w:t>  </w:t>
            </w:r>
            <w:r>
              <w:rPr/>
              <w:t>45,000 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May 14,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May 14, 2014</w:t>
            </w:r>
          </w:p>
        </w:tc>
        <w:tc>
          <w:tcPr>
            <w:tcW w:w="1280" w:type="dxa"/>
            <w:tcBorders/>
            <w:shd w:fill="auto" w:val="clear"/>
            <w:vAlign w:val="bottom"/>
          </w:tcPr>
          <w:p>
            <w:pPr>
              <w:pStyle w:val="TableContents"/>
              <w:spacing w:before="0" w:after="0"/>
              <w:ind w:left="0" w:right="0" w:hanging="0"/>
              <w:jc w:val="right"/>
              <w:rPr/>
            </w:pPr>
            <w:r>
              <w:rPr/>
              <w:t>  </w:t>
            </w:r>
            <w:r>
              <w:rPr/>
              <w:t>126,000 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78,016 </w:t>
            </w:r>
          </w:p>
        </w:tc>
        <w:tc>
          <w:tcPr>
            <w:tcW w:w="1446" w:type="dxa"/>
            <w:tcBorders/>
            <w:shd w:fill="auto" w:val="clear"/>
            <w:vAlign w:val="bottom"/>
          </w:tcPr>
          <w:p>
            <w:pPr>
              <w:pStyle w:val="TableContents"/>
              <w:spacing w:before="0" w:after="0"/>
              <w:ind w:left="0" w:right="0" w:hanging="0"/>
              <w:jc w:val="right"/>
              <w:rPr/>
            </w:pPr>
            <w:r>
              <w:rPr/>
              <w:t>  </w:t>
            </w:r>
            <w:r>
              <w:rPr/>
              <w:t>47,984 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June 27,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June 27, 2014</w:t>
            </w:r>
          </w:p>
        </w:tc>
        <w:tc>
          <w:tcPr>
            <w:tcW w:w="1280" w:type="dxa"/>
            <w:tcBorders/>
            <w:shd w:fill="auto" w:val="clear"/>
            <w:vAlign w:val="bottom"/>
          </w:tcPr>
          <w:p>
            <w:pPr>
              <w:pStyle w:val="TableContents"/>
              <w:spacing w:before="0" w:after="0"/>
              <w:ind w:left="0" w:right="0" w:hanging="0"/>
              <w:jc w:val="right"/>
              <w:rPr/>
            </w:pPr>
            <w:r>
              <w:rPr/>
              <w:t>  </w:t>
            </w:r>
            <w:r>
              <w:rPr/>
              <w:t>37,620 </w:t>
            </w:r>
          </w:p>
        </w:tc>
        <w:tc>
          <w:tcPr>
            <w:tcW w:w="2155"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26,571 </w:t>
            </w:r>
          </w:p>
        </w:tc>
        <w:tc>
          <w:tcPr>
            <w:tcW w:w="1446" w:type="dxa"/>
            <w:tcBorders/>
            <w:shd w:fill="auto" w:val="clear"/>
            <w:vAlign w:val="bottom"/>
          </w:tcPr>
          <w:p>
            <w:pPr>
              <w:pStyle w:val="TableContents"/>
              <w:spacing w:before="0" w:after="0"/>
              <w:ind w:left="0" w:right="0" w:hanging="0"/>
              <w:jc w:val="right"/>
              <w:rPr/>
            </w:pPr>
            <w:r>
              <w:rPr/>
              <w:t>  </w:t>
            </w:r>
            <w:r>
              <w:rPr/>
              <w:t>11,049 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June 19,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June 19, 2014</w:t>
            </w:r>
          </w:p>
        </w:tc>
        <w:tc>
          <w:tcPr>
            <w:tcW w:w="1280" w:type="dxa"/>
            <w:tcBorders/>
            <w:shd w:fill="auto" w:val="clear"/>
            <w:vAlign w:val="bottom"/>
          </w:tcPr>
          <w:p>
            <w:pPr>
              <w:pStyle w:val="TableContents"/>
              <w:spacing w:before="0" w:after="0"/>
              <w:ind w:left="0" w:right="0" w:hanging="0"/>
              <w:jc w:val="right"/>
              <w:rPr/>
            </w:pPr>
            <w:r>
              <w:rPr/>
              <w:t>  </w:t>
            </w:r>
            <w:r>
              <w:rPr/>
              <w:t>115,000 </w:t>
            </w:r>
          </w:p>
        </w:tc>
        <w:tc>
          <w:tcPr>
            <w:tcW w:w="2155" w:type="dxa"/>
            <w:tcBorders/>
            <w:shd w:fill="auto" w:val="clear"/>
            <w:vAlign w:val="bottom"/>
          </w:tcPr>
          <w:p>
            <w:pPr>
              <w:pStyle w:val="TableContents"/>
              <w:spacing w:before="0" w:after="0"/>
              <w:ind w:left="0" w:right="0" w:hanging="0"/>
              <w:jc w:val="right"/>
              <w:rPr/>
            </w:pPr>
            <w:r>
              <w:rPr/>
              <w:t>         </w:t>
            </w:r>
            <w:r>
              <w:rPr/>
              <w:t>83,000  </w:t>
            </w:r>
          </w:p>
        </w:tc>
        <w:tc>
          <w:tcPr>
            <w:tcW w:w="1355" w:type="dxa"/>
            <w:tcBorders/>
            <w:shd w:fill="auto" w:val="clear"/>
            <w:vAlign w:val="bottom"/>
          </w:tcPr>
          <w:p>
            <w:pPr>
              <w:pStyle w:val="TableContents"/>
              <w:spacing w:before="0" w:after="0"/>
              <w:ind w:left="0" w:right="0" w:hanging="0"/>
              <w:jc w:val="right"/>
              <w:rPr/>
            </w:pPr>
            <w:r>
              <w:rPr/>
              <w:t>    </w:t>
            </w:r>
            <w:r>
              <w:rPr/>
              <w:t>28,325 </w:t>
            </w:r>
          </w:p>
        </w:tc>
        <w:tc>
          <w:tcPr>
            <w:tcW w:w="1446" w:type="dxa"/>
            <w:tcBorders/>
            <w:shd w:fill="auto" w:val="clear"/>
            <w:vAlign w:val="bottom"/>
          </w:tcPr>
          <w:p>
            <w:pPr>
              <w:pStyle w:val="TableContents"/>
              <w:spacing w:before="0" w:after="0"/>
              <w:ind w:left="0" w:right="0" w:hanging="0"/>
              <w:jc w:val="right"/>
              <w:rPr/>
            </w:pPr>
            <w:r>
              <w:rPr/>
              <w:t>  </w:t>
            </w:r>
            <w:r>
              <w:rPr/>
              <w:t>3,675 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b/>
              </w:rPr>
            </w:pPr>
            <w:r>
              <w:rPr>
                <w:b/>
              </w:rPr>
              <w:t>July 12, 2013 Convertible Note</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shd w:fill="auto" w:val="clear"/>
            <w:vAlign w:val="bottom"/>
          </w:tcPr>
          <w:p>
            <w:pPr>
              <w:pStyle w:val="TableContents"/>
              <w:spacing w:before="0" w:after="0"/>
              <w:ind w:left="0" w:right="0" w:hanging="0"/>
              <w:rPr/>
            </w:pPr>
            <w:r>
              <w:rPr/>
              <w:t>Note due July 12, 2014</w:t>
            </w:r>
          </w:p>
        </w:tc>
        <w:tc>
          <w:tcPr>
            <w:tcW w:w="1280" w:type="dxa"/>
            <w:tcBorders/>
            <w:shd w:fill="auto" w:val="clear"/>
            <w:vAlign w:val="bottom"/>
          </w:tcPr>
          <w:p>
            <w:pPr>
              <w:pStyle w:val="TableContents"/>
              <w:spacing w:before="0" w:after="0"/>
              <w:ind w:left="0" w:right="0" w:hanging="0"/>
              <w:jc w:val="right"/>
              <w:rPr/>
            </w:pPr>
            <w:r>
              <w:rPr/>
              <w:t>  </w:t>
            </w:r>
            <w:r>
              <w:rPr/>
              <w:t>125,000 </w:t>
            </w:r>
          </w:p>
        </w:tc>
        <w:tc>
          <w:tcPr>
            <w:tcW w:w="2155" w:type="dxa"/>
            <w:tcBorders/>
            <w:shd w:fill="auto" w:val="clear"/>
            <w:vAlign w:val="bottom"/>
          </w:tcPr>
          <w:p>
            <w:pPr>
              <w:pStyle w:val="TableContents"/>
              <w:spacing w:before="0" w:after="0"/>
              <w:ind w:left="0" w:right="0" w:hanging="0"/>
              <w:jc w:val="right"/>
              <w:rPr/>
            </w:pPr>
            <w:r>
              <w:rPr/>
              <w:t>         </w:t>
            </w:r>
            <w:r>
              <w:rPr/>
              <w:t>28,200  </w:t>
            </w:r>
          </w:p>
        </w:tc>
        <w:tc>
          <w:tcPr>
            <w:tcW w:w="1355" w:type="dxa"/>
            <w:tcBorders/>
            <w:shd w:fill="auto" w:val="clear"/>
            <w:vAlign w:val="bottom"/>
          </w:tcPr>
          <w:p>
            <w:pPr>
              <w:pStyle w:val="TableContents"/>
              <w:spacing w:before="0" w:after="0"/>
              <w:ind w:left="0" w:right="0" w:hanging="0"/>
              <w:jc w:val="right"/>
              <w:rPr/>
            </w:pPr>
            <w:r>
              <w:rPr/>
              <w:t>    </w:t>
            </w:r>
            <w:r>
              <w:rPr/>
              <w:t>86,114 </w:t>
            </w:r>
          </w:p>
        </w:tc>
        <w:tc>
          <w:tcPr>
            <w:tcW w:w="1446" w:type="dxa"/>
            <w:tcBorders/>
            <w:shd w:fill="auto" w:val="clear"/>
            <w:vAlign w:val="bottom"/>
          </w:tcPr>
          <w:p>
            <w:pPr>
              <w:pStyle w:val="TableContents"/>
              <w:spacing w:before="0" w:after="0"/>
              <w:ind w:left="0" w:right="0" w:hanging="0"/>
              <w:jc w:val="right"/>
              <w:rPr/>
            </w:pPr>
            <w:r>
              <w:rPr/>
              <w:t>  </w:t>
            </w:r>
            <w:r>
              <w:rPr/>
              <w:t>10,686 </w:t>
            </w:r>
          </w:p>
        </w:tc>
      </w:tr>
      <w:tr>
        <w:trPr/>
        <w:tc>
          <w:tcPr>
            <w:tcW w:w="3969"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55"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46" w:type="dxa"/>
            <w:tcBorders/>
            <w:shd w:fill="auto" w:val="clear"/>
            <w:vAlign w:val="bottom"/>
          </w:tcPr>
          <w:p>
            <w:pPr>
              <w:pStyle w:val="TableContents"/>
              <w:pBdr/>
              <w:spacing w:before="0" w:after="0"/>
              <w:ind w:left="0" w:right="0" w:hanging="0"/>
              <w:rPr/>
            </w:pPr>
            <w:r>
              <w:rPr/>
              <w:t> </w:t>
            </w:r>
          </w:p>
        </w:tc>
      </w:tr>
      <w:tr>
        <w:trPr/>
        <w:tc>
          <w:tcPr>
            <w:tcW w:w="3969"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b/>
              </w:rPr>
            </w:pPr>
            <w:r>
              <w:rPr>
                <w:b/>
              </w:rPr>
              <w:t>Total</w:t>
            </w:r>
          </w:p>
        </w:tc>
        <w:tc>
          <w:tcPr>
            <w:tcW w:w="1280"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3,653,331 </w:t>
            </w:r>
          </w:p>
        </w:tc>
        <w:tc>
          <w:tcPr>
            <w:tcW w:w="2155"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965,859  </w:t>
            </w:r>
          </w:p>
        </w:tc>
        <w:tc>
          <w:tcPr>
            <w:tcW w:w="1355"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338,716 </w:t>
            </w:r>
          </w:p>
        </w:tc>
        <w:tc>
          <w:tcPr>
            <w:tcW w:w="1446"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2,,348,756 </w:t>
            </w:r>
          </w:p>
        </w:tc>
      </w:tr>
    </w:tbl>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90"/>
        <w:ind w:left="90" w:right="90" w:hanging="0"/>
        <w:jc w:val="both"/>
        <w:rPr/>
      </w:pPr>
      <w:r>
        <w:rPr/>
        <w:t> </w:t>
      </w:r>
    </w:p>
    <w:p>
      <w:pPr>
        <w:pStyle w:val="TextBody"/>
        <w:spacing w:before="90" w:after="90"/>
        <w:ind w:left="90" w:right="90" w:hanging="0"/>
        <w:jc w:val="both"/>
        <w:rPr/>
      </w:pPr>
      <w:r>
        <w:rPr/>
        <w:t>The following is a summary of debt instrument transactions that are relevant to the previous year:</w:t>
      </w:r>
    </w:p>
    <w:tbl>
      <w:tblPr>
        <w:tblW w:w="5000" w:type="pct"/>
        <w:jc w:val="left"/>
        <w:tblInd w:w="0" w:type="dxa"/>
        <w:tblCellMar>
          <w:top w:w="0" w:type="dxa"/>
          <w:left w:w="0" w:type="dxa"/>
          <w:bottom w:w="0" w:type="dxa"/>
          <w:right w:w="0" w:type="dxa"/>
        </w:tblCellMar>
      </w:tblPr>
      <w:tblGrid>
        <w:gridCol w:w="3994"/>
        <w:gridCol w:w="1280"/>
        <w:gridCol w:w="2161"/>
        <w:gridCol w:w="1355"/>
        <w:gridCol w:w="1415"/>
      </w:tblGrid>
      <w:tr>
        <w:trPr/>
        <w:tc>
          <w:tcPr>
            <w:tcW w:w="399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r>
      <w:tr>
        <w:trPr/>
        <w:tc>
          <w:tcPr>
            <w:tcW w:w="3994" w:type="dxa"/>
            <w:tcBorders/>
            <w:shd w:fill="auto" w:val="clear"/>
          </w:tcPr>
          <w:p>
            <w:pPr>
              <w:pStyle w:val="TableContents"/>
              <w:pBdr/>
              <w:spacing w:before="0" w:after="0"/>
              <w:ind w:left="0" w:right="0" w:hanging="0"/>
              <w:rPr/>
            </w:pPr>
            <w:r>
              <w:rPr/>
              <w:t> </w:t>
            </w:r>
          </w:p>
        </w:tc>
        <w:tc>
          <w:tcPr>
            <w:tcW w:w="1280" w:type="dxa"/>
            <w:tcBorders/>
            <w:shd w:fill="auto" w:val="clear"/>
          </w:tcPr>
          <w:p>
            <w:pPr>
              <w:pStyle w:val="TableContents"/>
              <w:spacing w:before="0" w:after="0"/>
              <w:ind w:left="0" w:right="0" w:hanging="0"/>
              <w:rPr/>
            </w:pPr>
            <w:r>
              <w:rPr/>
            </w:r>
          </w:p>
          <w:p>
            <w:pPr>
              <w:pStyle w:val="TableContents"/>
              <w:spacing w:before="0" w:after="0"/>
              <w:ind w:left="0" w:right="0" w:hanging="0"/>
              <w:jc w:val="center"/>
              <w:rPr/>
            </w:pPr>
            <w:r>
              <w:rPr/>
            </w:r>
          </w:p>
          <w:p>
            <w:pPr>
              <w:pStyle w:val="TableContents"/>
              <w:spacing w:before="0" w:after="0"/>
              <w:ind w:left="0" w:right="0" w:hanging="0"/>
              <w:jc w:val="center"/>
              <w:rPr>
                <w:b/>
              </w:rPr>
            </w:pPr>
            <w:r>
              <w:rPr>
                <w:b/>
              </w:rPr>
              <w:t>Face Value</w:t>
            </w:r>
          </w:p>
        </w:tc>
        <w:tc>
          <w:tcPr>
            <w:tcW w:w="2161" w:type="dxa"/>
            <w:tcBorders/>
            <w:shd w:fill="auto" w:val="clear"/>
          </w:tcPr>
          <w:p>
            <w:pPr>
              <w:pStyle w:val="TableContents"/>
              <w:spacing w:before="0" w:after="0"/>
              <w:ind w:left="0" w:right="0" w:hanging="0"/>
              <w:jc w:val="center"/>
              <w:rPr>
                <w:b/>
              </w:rPr>
            </w:pPr>
            <w:r>
              <w:rPr>
                <w:b/>
              </w:rPr>
              <w:t>Principal Repayment/</w:t>
            </w:r>
          </w:p>
          <w:p>
            <w:pPr>
              <w:pStyle w:val="TableContents"/>
              <w:spacing w:before="0" w:after="0"/>
              <w:ind w:left="0" w:right="0" w:hanging="0"/>
              <w:jc w:val="center"/>
              <w:rPr>
                <w:b/>
              </w:rPr>
            </w:pPr>
            <w:r>
              <w:rPr>
                <w:b/>
              </w:rPr>
              <w:t>Settlement</w:t>
            </w:r>
          </w:p>
        </w:tc>
        <w:tc>
          <w:tcPr>
            <w:tcW w:w="1355" w:type="dxa"/>
            <w:tcBorders/>
            <w:shd w:fill="auto" w:val="clear"/>
          </w:tcPr>
          <w:p>
            <w:pPr>
              <w:pStyle w:val="TableContents"/>
              <w:spacing w:before="0" w:after="0"/>
              <w:ind w:left="0" w:right="0" w:hanging="0"/>
              <w:jc w:val="center"/>
              <w:rPr>
                <w:b/>
              </w:rPr>
            </w:pPr>
            <w:r>
              <w:rPr>
                <w:b/>
              </w:rPr>
              <w:t>Unamortized</w:t>
            </w:r>
          </w:p>
          <w:p>
            <w:pPr>
              <w:pStyle w:val="TableContents"/>
              <w:spacing w:before="0" w:after="0"/>
              <w:ind w:left="0" w:right="0" w:hanging="0"/>
              <w:jc w:val="center"/>
              <w:rPr>
                <w:b/>
              </w:rPr>
            </w:pPr>
            <w:r>
              <w:rPr>
                <w:b/>
              </w:rPr>
              <w:t>Note</w:t>
            </w:r>
          </w:p>
          <w:p>
            <w:pPr>
              <w:pStyle w:val="TableContents"/>
              <w:spacing w:before="0" w:after="0"/>
              <w:ind w:left="0" w:right="0" w:hanging="0"/>
              <w:jc w:val="center"/>
              <w:rPr>
                <w:b/>
              </w:rPr>
            </w:pPr>
            <w:r>
              <w:rPr>
                <w:b/>
              </w:rPr>
              <w:t>Discount</w:t>
            </w:r>
          </w:p>
        </w:tc>
        <w:tc>
          <w:tcPr>
            <w:tcW w:w="1415" w:type="dxa"/>
            <w:tcBorders/>
            <w:shd w:fill="auto" w:val="clear"/>
          </w:tcPr>
          <w:p>
            <w:pPr>
              <w:pStyle w:val="TableContents"/>
              <w:spacing w:before="0" w:after="0"/>
              <w:ind w:left="0" w:right="0" w:hanging="0"/>
              <w:jc w:val="center"/>
              <w:rPr>
                <w:b/>
              </w:rPr>
            </w:pPr>
            <w:r>
              <w:rPr>
                <w:b/>
              </w:rPr>
              <w:t>Balance at</w:t>
            </w:r>
          </w:p>
          <w:p>
            <w:pPr>
              <w:pStyle w:val="TableContents"/>
              <w:spacing w:before="0" w:after="0"/>
              <w:ind w:left="0" w:right="0" w:hanging="0"/>
              <w:jc w:val="center"/>
              <w:rPr>
                <w:b/>
              </w:rPr>
            </w:pPr>
            <w:r>
              <w:rPr>
                <w:b/>
              </w:rPr>
              <w:t>December 31,</w:t>
            </w:r>
          </w:p>
          <w:p>
            <w:pPr>
              <w:pStyle w:val="TableContents"/>
              <w:spacing w:before="0" w:after="0"/>
              <w:ind w:left="0" w:right="0" w:hanging="0"/>
              <w:jc w:val="center"/>
              <w:rPr>
                <w:b/>
              </w:rPr>
            </w:pPr>
            <w:r>
              <w:rPr>
                <w:b/>
              </w:rPr>
              <w:t>2012</w:t>
            </w:r>
          </w:p>
        </w:tc>
      </w:tr>
      <w:tr>
        <w:trPr/>
        <w:tc>
          <w:tcPr>
            <w:tcW w:w="3994"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280"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2161"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355"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c>
          <w:tcPr>
            <w:tcW w:w="1415" w:type="dxa"/>
            <w:tcBorders>
              <w:top w:val="single" w:sz="2" w:space="0" w:color="000000"/>
            </w:tcBorders>
            <w:shd w:fill="auto" w:val="clear"/>
            <w:tcMar>
              <w:top w:w="28" w:type="dxa"/>
            </w:tcM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February 2011 Secured Convertible Notes</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Senior Secured Notes, due February 24, 2014</w:t>
            </w:r>
          </w:p>
        </w:tc>
        <w:tc>
          <w:tcPr>
            <w:tcW w:w="1280" w:type="dxa"/>
            <w:tcBorders/>
            <w:shd w:fill="auto" w:val="clear"/>
            <w:vAlign w:val="bottom"/>
          </w:tcPr>
          <w:p>
            <w:pPr>
              <w:pStyle w:val="TableContents"/>
              <w:spacing w:before="0" w:after="0"/>
              <w:ind w:left="0" w:right="0" w:hanging="0"/>
              <w:jc w:val="right"/>
              <w:rPr/>
            </w:pPr>
            <w:r>
              <w:rPr/>
              <w:t>$  1,184,694 </w:t>
            </w:r>
          </w:p>
        </w:tc>
        <w:tc>
          <w:tcPr>
            <w:tcW w:w="2161" w:type="dxa"/>
            <w:tcBorders/>
            <w:shd w:fill="auto" w:val="clear"/>
            <w:vAlign w:val="bottom"/>
          </w:tcPr>
          <w:p>
            <w:pPr>
              <w:pStyle w:val="TableContents"/>
              <w:spacing w:before="0" w:after="0"/>
              <w:ind w:left="0" w:right="0" w:hanging="0"/>
              <w:jc w:val="right"/>
              <w:rPr/>
            </w:pPr>
            <w:r>
              <w:rPr/>
              <w:t>$         203,836  </w:t>
            </w:r>
          </w:p>
        </w:tc>
        <w:tc>
          <w:tcPr>
            <w:tcW w:w="1355" w:type="dxa"/>
            <w:tcBorders/>
            <w:shd w:fill="auto" w:val="clear"/>
            <w:vAlign w:val="bottom"/>
          </w:tcPr>
          <w:p>
            <w:pPr>
              <w:pStyle w:val="TableContents"/>
              <w:spacing w:before="0" w:after="0"/>
              <w:ind w:left="0" w:right="0" w:hanging="0"/>
              <w:jc w:val="right"/>
              <w:rPr/>
            </w:pPr>
            <w:r>
              <w:rPr/>
              <w:t>$    153,358 </w:t>
            </w:r>
          </w:p>
        </w:tc>
        <w:tc>
          <w:tcPr>
            <w:tcW w:w="1415" w:type="dxa"/>
            <w:tcBorders/>
            <w:shd w:fill="auto" w:val="clear"/>
            <w:vAlign w:val="bottom"/>
          </w:tcPr>
          <w:p>
            <w:pPr>
              <w:pStyle w:val="TableContents"/>
              <w:spacing w:before="0" w:after="0"/>
              <w:ind w:left="0" w:right="0" w:hanging="0"/>
              <w:jc w:val="right"/>
              <w:rPr/>
            </w:pPr>
            <w:r>
              <w:rPr/>
              <w:t>$  827,500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April 2011 Secured Convertible Notes</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Senior Secured Notes, due April 4, 2014</w:t>
            </w:r>
          </w:p>
        </w:tc>
        <w:tc>
          <w:tcPr>
            <w:tcW w:w="1280" w:type="dxa"/>
            <w:tcBorders/>
            <w:shd w:fill="auto" w:val="clear"/>
            <w:vAlign w:val="bottom"/>
          </w:tcPr>
          <w:p>
            <w:pPr>
              <w:pStyle w:val="TableContents"/>
              <w:spacing w:before="0" w:after="0"/>
              <w:ind w:left="0" w:right="0" w:hanging="0"/>
              <w:jc w:val="right"/>
              <w:rPr/>
            </w:pPr>
            <w:r>
              <w:rPr/>
              <w:t>  </w:t>
            </w:r>
            <w:r>
              <w:rPr/>
              <w:t>215,000 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43,140 </w:t>
            </w:r>
          </w:p>
        </w:tc>
        <w:tc>
          <w:tcPr>
            <w:tcW w:w="1415" w:type="dxa"/>
            <w:tcBorders/>
            <w:shd w:fill="auto" w:val="clear"/>
            <w:vAlign w:val="bottom"/>
          </w:tcPr>
          <w:p>
            <w:pPr>
              <w:pStyle w:val="TableContents"/>
              <w:spacing w:before="0" w:after="0"/>
              <w:ind w:left="0" w:right="0" w:hanging="0"/>
              <w:jc w:val="right"/>
              <w:rPr/>
            </w:pPr>
            <w:r>
              <w:rPr/>
              <w:t>  </w:t>
            </w:r>
            <w:r>
              <w:rPr/>
              <w:t>171,860 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June 2011 Secured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Senior Secured Notes, due June 6, 2014</w:t>
            </w:r>
          </w:p>
        </w:tc>
        <w:tc>
          <w:tcPr>
            <w:tcW w:w="1280" w:type="dxa"/>
            <w:tcBorders/>
            <w:shd w:fill="auto" w:val="clear"/>
            <w:vAlign w:val="bottom"/>
          </w:tcPr>
          <w:p>
            <w:pPr>
              <w:pStyle w:val="TableContents"/>
              <w:spacing w:before="0" w:after="0"/>
              <w:ind w:left="0" w:right="0" w:hanging="0"/>
              <w:jc w:val="right"/>
              <w:rPr/>
            </w:pPr>
            <w:r>
              <w:rPr/>
              <w:t>  </w:t>
            </w:r>
            <w:r>
              <w:rPr/>
              <w:t>30,000 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3,953 </w:t>
            </w:r>
          </w:p>
        </w:tc>
        <w:tc>
          <w:tcPr>
            <w:tcW w:w="1415" w:type="dxa"/>
            <w:tcBorders/>
            <w:shd w:fill="auto" w:val="clear"/>
            <w:vAlign w:val="bottom"/>
          </w:tcPr>
          <w:p>
            <w:pPr>
              <w:pStyle w:val="TableContents"/>
              <w:spacing w:before="0" w:after="0"/>
              <w:ind w:left="0" w:right="0" w:hanging="0"/>
              <w:jc w:val="right"/>
              <w:rPr/>
            </w:pPr>
            <w:r>
              <w:rPr/>
              <w:t>  </w:t>
            </w:r>
            <w:r>
              <w:rPr/>
              <w:t>26,047 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August 8,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August 8, 2013</w:t>
            </w:r>
          </w:p>
        </w:tc>
        <w:tc>
          <w:tcPr>
            <w:tcW w:w="1280" w:type="dxa"/>
            <w:tcBorders/>
            <w:shd w:fill="auto" w:val="clear"/>
            <w:vAlign w:val="bottom"/>
          </w:tcPr>
          <w:p>
            <w:pPr>
              <w:pStyle w:val="TableContents"/>
              <w:spacing w:before="0" w:after="0"/>
              <w:ind w:left="0" w:right="0" w:hanging="0"/>
              <w:jc w:val="right"/>
              <w:rPr/>
            </w:pPr>
            <w:r>
              <w:rPr/>
              <w:t>  </w:t>
            </w:r>
            <w:r>
              <w:rPr/>
              <w:t>111,430 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67,163 </w:t>
            </w:r>
          </w:p>
        </w:tc>
        <w:tc>
          <w:tcPr>
            <w:tcW w:w="1415" w:type="dxa"/>
            <w:tcBorders/>
            <w:shd w:fill="auto" w:val="clear"/>
            <w:vAlign w:val="bottom"/>
          </w:tcPr>
          <w:p>
            <w:pPr>
              <w:pStyle w:val="TableContents"/>
              <w:spacing w:before="0" w:after="0"/>
              <w:ind w:left="0" w:right="0" w:hanging="0"/>
              <w:jc w:val="right"/>
              <w:rPr/>
            </w:pPr>
            <w:r>
              <w:rPr/>
              <w:t>  </w:t>
            </w:r>
            <w:r>
              <w:rPr/>
              <w:t>44,267 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August 12,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became due November 12, 2012</w:t>
            </w:r>
          </w:p>
        </w:tc>
        <w:tc>
          <w:tcPr>
            <w:tcW w:w="1280" w:type="dxa"/>
            <w:tcBorders/>
            <w:shd w:fill="auto" w:val="clear"/>
            <w:vAlign w:val="bottom"/>
          </w:tcPr>
          <w:p>
            <w:pPr>
              <w:pStyle w:val="TableContents"/>
              <w:spacing w:before="0" w:after="0"/>
              <w:ind w:left="0" w:right="0" w:hanging="0"/>
              <w:jc w:val="right"/>
              <w:rPr/>
            </w:pPr>
            <w:r>
              <w:rPr/>
              <w:t>  </w:t>
            </w:r>
            <w:r>
              <w:rPr/>
              <w:t>27,500 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p>
        </w:tc>
        <w:tc>
          <w:tcPr>
            <w:tcW w:w="1415" w:type="dxa"/>
            <w:tcBorders/>
            <w:shd w:fill="auto" w:val="clear"/>
            <w:vAlign w:val="bottom"/>
          </w:tcPr>
          <w:p>
            <w:pPr>
              <w:pStyle w:val="TableContents"/>
              <w:spacing w:before="0" w:after="0"/>
              <w:ind w:left="0" w:right="0" w:hanging="0"/>
              <w:jc w:val="right"/>
              <w:rPr/>
            </w:pPr>
            <w:r>
              <w:rPr/>
              <w:t>27,500 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August 20,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August 20, 2013</w:t>
            </w:r>
          </w:p>
        </w:tc>
        <w:tc>
          <w:tcPr>
            <w:tcW w:w="1280" w:type="dxa"/>
            <w:tcBorders/>
            <w:shd w:fill="auto" w:val="clear"/>
            <w:vAlign w:val="bottom"/>
          </w:tcPr>
          <w:p>
            <w:pPr>
              <w:pStyle w:val="TableContents"/>
              <w:spacing w:before="0" w:after="0"/>
              <w:ind w:left="0" w:right="0" w:hanging="0"/>
              <w:jc w:val="right"/>
              <w:rPr/>
            </w:pPr>
            <w:r>
              <w:rPr/>
              <w:t>  </w:t>
            </w:r>
            <w:r>
              <w:rPr/>
              <w:t>20,000 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12,712 </w:t>
            </w:r>
          </w:p>
        </w:tc>
        <w:tc>
          <w:tcPr>
            <w:tcW w:w="1415" w:type="dxa"/>
            <w:tcBorders/>
            <w:shd w:fill="auto" w:val="clear"/>
            <w:vAlign w:val="bottom"/>
          </w:tcPr>
          <w:p>
            <w:pPr>
              <w:pStyle w:val="TableContents"/>
              <w:spacing w:before="0" w:after="0"/>
              <w:ind w:left="0" w:right="0" w:hanging="0"/>
              <w:jc w:val="right"/>
              <w:rPr/>
            </w:pPr>
            <w:r>
              <w:rPr/>
              <w:t>  </w:t>
            </w:r>
            <w:r>
              <w:rPr/>
              <w:t>7,288 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September 18,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October 1, 2013</w:t>
            </w:r>
          </w:p>
        </w:tc>
        <w:tc>
          <w:tcPr>
            <w:tcW w:w="1280" w:type="dxa"/>
            <w:tcBorders/>
            <w:shd w:fill="auto" w:val="clear"/>
            <w:vAlign w:val="bottom"/>
          </w:tcPr>
          <w:p>
            <w:pPr>
              <w:pStyle w:val="TableContents"/>
              <w:spacing w:before="0" w:after="0"/>
              <w:ind w:left="0" w:right="0" w:hanging="0"/>
              <w:jc w:val="right"/>
              <w:rPr/>
            </w:pPr>
            <w:r>
              <w:rPr/>
              <w:t>  </w:t>
            </w:r>
            <w:r>
              <w:rPr/>
              <w:t>82,500 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59,741 </w:t>
            </w:r>
          </w:p>
        </w:tc>
        <w:tc>
          <w:tcPr>
            <w:tcW w:w="1415" w:type="dxa"/>
            <w:tcBorders/>
            <w:shd w:fill="auto" w:val="clear"/>
            <w:vAlign w:val="bottom"/>
          </w:tcPr>
          <w:p>
            <w:pPr>
              <w:pStyle w:val="TableContents"/>
              <w:spacing w:before="0" w:after="0"/>
              <w:ind w:left="0" w:right="0" w:hanging="0"/>
              <w:jc w:val="right"/>
              <w:rPr/>
            </w:pPr>
            <w:r>
              <w:rPr/>
              <w:t>  </w:t>
            </w:r>
            <w:r>
              <w:rPr/>
              <w:t>22,759 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October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October 15, 2013</w:t>
            </w:r>
          </w:p>
        </w:tc>
        <w:tc>
          <w:tcPr>
            <w:tcW w:w="1280" w:type="dxa"/>
            <w:tcBorders/>
            <w:shd w:fill="auto" w:val="clear"/>
            <w:vAlign w:val="bottom"/>
          </w:tcPr>
          <w:p>
            <w:pPr>
              <w:pStyle w:val="TableContents"/>
              <w:spacing w:before="0" w:after="0"/>
              <w:ind w:left="0" w:right="0" w:hanging="0"/>
              <w:jc w:val="right"/>
              <w:rPr/>
            </w:pPr>
            <w:r>
              <w:rPr/>
              <w:t>  </w:t>
            </w:r>
            <w:r>
              <w:rPr/>
              <w:t>340,000 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268,275 </w:t>
            </w:r>
          </w:p>
        </w:tc>
        <w:tc>
          <w:tcPr>
            <w:tcW w:w="1415" w:type="dxa"/>
            <w:tcBorders/>
            <w:shd w:fill="auto" w:val="clear"/>
            <w:vAlign w:val="bottom"/>
          </w:tcPr>
          <w:p>
            <w:pPr>
              <w:pStyle w:val="TableContents"/>
              <w:spacing w:before="0" w:after="0"/>
              <w:ind w:left="0" w:right="0" w:hanging="0"/>
              <w:jc w:val="right"/>
              <w:rPr/>
            </w:pPr>
            <w:r>
              <w:rPr/>
              <w:t>  </w:t>
            </w:r>
            <w:r>
              <w:rPr/>
              <w:t>71,725 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November 1,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April 30, 2013</w:t>
            </w:r>
          </w:p>
        </w:tc>
        <w:tc>
          <w:tcPr>
            <w:tcW w:w="1280" w:type="dxa"/>
            <w:tcBorders/>
            <w:shd w:fill="auto" w:val="clear"/>
            <w:vAlign w:val="bottom"/>
          </w:tcPr>
          <w:p>
            <w:pPr>
              <w:pStyle w:val="TableContents"/>
              <w:spacing w:before="0" w:after="0"/>
              <w:ind w:left="0" w:right="0" w:hanging="0"/>
              <w:jc w:val="right"/>
              <w:rPr/>
            </w:pPr>
            <w:r>
              <w:rPr/>
              <w:t>  </w:t>
            </w:r>
            <w:r>
              <w:rPr/>
              <w:t>31,471 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18,200  </w:t>
            </w:r>
          </w:p>
        </w:tc>
        <w:tc>
          <w:tcPr>
            <w:tcW w:w="1415" w:type="dxa"/>
            <w:tcBorders/>
            <w:shd w:fill="auto" w:val="clear"/>
            <w:vAlign w:val="bottom"/>
          </w:tcPr>
          <w:p>
            <w:pPr>
              <w:pStyle w:val="TableContents"/>
              <w:spacing w:before="0" w:after="0"/>
              <w:ind w:left="0" w:right="0" w:hanging="0"/>
              <w:jc w:val="right"/>
              <w:rPr/>
            </w:pPr>
            <w:r>
              <w:rPr/>
              <w:t>  </w:t>
            </w:r>
            <w:r>
              <w:rPr/>
              <w:t>13,271 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November 20,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November 20, 2013</w:t>
            </w:r>
          </w:p>
        </w:tc>
        <w:tc>
          <w:tcPr>
            <w:tcW w:w="1280" w:type="dxa"/>
            <w:tcBorders/>
            <w:shd w:fill="auto" w:val="clear"/>
            <w:vAlign w:val="bottom"/>
          </w:tcPr>
          <w:p>
            <w:pPr>
              <w:pStyle w:val="TableContents"/>
              <w:spacing w:before="0" w:after="0"/>
              <w:ind w:left="0" w:right="0" w:hanging="0"/>
              <w:jc w:val="right"/>
              <w:rPr/>
            </w:pPr>
            <w:r>
              <w:rPr/>
              <w:t>  </w:t>
            </w:r>
            <w:r>
              <w:rPr/>
              <w:t>55,710 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49,605 </w:t>
            </w:r>
          </w:p>
        </w:tc>
        <w:tc>
          <w:tcPr>
            <w:tcW w:w="1415" w:type="dxa"/>
            <w:tcBorders/>
            <w:shd w:fill="auto" w:val="clear"/>
            <w:vAlign w:val="bottom"/>
          </w:tcPr>
          <w:p>
            <w:pPr>
              <w:pStyle w:val="TableContents"/>
              <w:spacing w:before="0" w:after="0"/>
              <w:ind w:left="0" w:right="0" w:hanging="0"/>
              <w:jc w:val="right"/>
              <w:rPr/>
            </w:pPr>
            <w:r>
              <w:rPr/>
              <w:t>  </w:t>
            </w:r>
            <w:r>
              <w:rPr/>
              <w:t>6,105 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December 14,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April 18, 2013</w:t>
            </w:r>
          </w:p>
        </w:tc>
        <w:tc>
          <w:tcPr>
            <w:tcW w:w="1280" w:type="dxa"/>
            <w:tcBorders/>
            <w:shd w:fill="auto" w:val="clear"/>
            <w:vAlign w:val="bottom"/>
          </w:tcPr>
          <w:p>
            <w:pPr>
              <w:pStyle w:val="TableContents"/>
              <w:spacing w:before="0" w:after="0"/>
              <w:ind w:left="0" w:right="0" w:hanging="0"/>
              <w:jc w:val="right"/>
              <w:rPr/>
            </w:pPr>
            <w:r>
              <w:rPr/>
              <w:t>  </w:t>
            </w:r>
            <w:r>
              <w:rPr/>
              <w:t>189,210 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81,302  </w:t>
            </w:r>
          </w:p>
        </w:tc>
        <w:tc>
          <w:tcPr>
            <w:tcW w:w="1415" w:type="dxa"/>
            <w:tcBorders/>
            <w:shd w:fill="auto" w:val="clear"/>
            <w:vAlign w:val="bottom"/>
          </w:tcPr>
          <w:p>
            <w:pPr>
              <w:pStyle w:val="TableContents"/>
              <w:spacing w:before="0" w:after="0"/>
              <w:ind w:left="0" w:right="0" w:hanging="0"/>
              <w:jc w:val="right"/>
              <w:rPr/>
            </w:pPr>
            <w:r>
              <w:rPr/>
              <w:t>  </w:t>
            </w:r>
            <w:r>
              <w:rPr/>
              <w:t>107,908 </w:t>
            </w:r>
          </w:p>
        </w:tc>
      </w:tr>
      <w:tr>
        <w:trPr/>
        <w:tc>
          <w:tcPr>
            <w:tcW w:w="3994" w:type="dxa"/>
            <w:tcBorders/>
            <w:shd w:fill="auto" w:val="clear"/>
            <w:vAlign w:val="bottom"/>
          </w:tcPr>
          <w:p>
            <w:pPr>
              <w:pStyle w:val="TableContents"/>
              <w:pBdr/>
              <w:spacing w:before="0" w:after="0"/>
              <w:ind w:left="0" w:right="0" w:hanging="0"/>
              <w:rPr/>
            </w:pPr>
            <w:r>
              <w:rPr/>
              <w:t> </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b/>
              </w:rPr>
            </w:pPr>
            <w:r>
              <w:rPr>
                <w:b/>
              </w:rPr>
              <w:t>December 18, 2012 Convertible Note</w:t>
            </w:r>
          </w:p>
        </w:tc>
        <w:tc>
          <w:tcPr>
            <w:tcW w:w="1280" w:type="dxa"/>
            <w:tcBorders/>
            <w:shd w:fill="auto" w:val="clear"/>
            <w:vAlign w:val="bottom"/>
          </w:tcPr>
          <w:p>
            <w:pPr>
              <w:pStyle w:val="TableContents"/>
              <w:pBdr/>
              <w:spacing w:before="0" w:after="0"/>
              <w:ind w:left="0" w:right="0" w:hanging="0"/>
              <w:rPr/>
            </w:pPr>
            <w:r>
              <w:rPr/>
              <w:t> </w:t>
            </w:r>
          </w:p>
        </w:tc>
        <w:tc>
          <w:tcPr>
            <w:tcW w:w="2161" w:type="dxa"/>
            <w:tcBorders/>
            <w:shd w:fill="auto" w:val="clear"/>
            <w:vAlign w:val="bottom"/>
          </w:tcPr>
          <w:p>
            <w:pPr>
              <w:pStyle w:val="TableContents"/>
              <w:pBdr/>
              <w:spacing w:before="0" w:after="0"/>
              <w:ind w:left="0" w:right="0" w:hanging="0"/>
              <w:rPr/>
            </w:pPr>
            <w:r>
              <w:rPr/>
              <w:t> </w:t>
            </w:r>
          </w:p>
        </w:tc>
        <w:tc>
          <w:tcPr>
            <w:tcW w:w="1355" w:type="dxa"/>
            <w:tcBorders/>
            <w:shd w:fill="auto" w:val="clear"/>
            <w:vAlign w:val="bottom"/>
          </w:tcPr>
          <w:p>
            <w:pPr>
              <w:pStyle w:val="TableContents"/>
              <w:pBdr/>
              <w:spacing w:before="0" w:after="0"/>
              <w:ind w:left="0" w:right="0" w:hanging="0"/>
              <w:rPr/>
            </w:pPr>
            <w:r>
              <w:rPr/>
              <w:t> </w:t>
            </w:r>
          </w:p>
        </w:tc>
        <w:tc>
          <w:tcPr>
            <w:tcW w:w="1415" w:type="dxa"/>
            <w:tcBorders/>
            <w:shd w:fill="auto" w:val="clear"/>
            <w:vAlign w:val="bottom"/>
          </w:tcPr>
          <w:p>
            <w:pPr>
              <w:pStyle w:val="TableContents"/>
              <w:pBdr/>
              <w:spacing w:before="0" w:after="0"/>
              <w:ind w:left="0" w:right="0" w:hanging="0"/>
              <w:rPr/>
            </w:pPr>
            <w:r>
              <w:rPr/>
              <w:t> </w:t>
            </w:r>
          </w:p>
        </w:tc>
      </w:tr>
      <w:tr>
        <w:trPr/>
        <w:tc>
          <w:tcPr>
            <w:tcW w:w="3994" w:type="dxa"/>
            <w:tcBorders/>
            <w:shd w:fill="auto" w:val="clear"/>
            <w:vAlign w:val="bottom"/>
          </w:tcPr>
          <w:p>
            <w:pPr>
              <w:pStyle w:val="TableContents"/>
              <w:spacing w:before="0" w:after="0"/>
              <w:ind w:left="0" w:right="0" w:hanging="0"/>
              <w:rPr/>
            </w:pPr>
            <w:r>
              <w:rPr/>
              <w:t>Note due December 14, 2013</w:t>
            </w:r>
          </w:p>
        </w:tc>
        <w:tc>
          <w:tcPr>
            <w:tcW w:w="1280" w:type="dxa"/>
            <w:tcBorders/>
            <w:shd w:fill="auto" w:val="clear"/>
            <w:vAlign w:val="bottom"/>
          </w:tcPr>
          <w:p>
            <w:pPr>
              <w:pStyle w:val="TableContents"/>
              <w:spacing w:before="0" w:after="0"/>
              <w:ind w:left="0" w:right="0" w:hanging="0"/>
              <w:jc w:val="right"/>
              <w:rPr/>
            </w:pPr>
            <w:r>
              <w:rPr/>
              <w:t>  </w:t>
            </w:r>
            <w:r>
              <w:rPr/>
              <w:t>50,000 </w:t>
            </w:r>
          </w:p>
        </w:tc>
        <w:tc>
          <w:tcPr>
            <w:tcW w:w="2161" w:type="dxa"/>
            <w:tcBorders/>
            <w:shd w:fill="auto" w:val="clear"/>
            <w:vAlign w:val="bottom"/>
          </w:tcPr>
          <w:p>
            <w:pPr>
              <w:pStyle w:val="TableContents"/>
              <w:spacing w:before="0" w:after="0"/>
              <w:ind w:left="0" w:right="0" w:hanging="0"/>
              <w:jc w:val="right"/>
              <w:rPr/>
            </w:pPr>
            <w:r>
              <w:rPr/>
              <w:t>         </w:t>
            </w:r>
            <w:r>
              <w:rPr/>
              <w:t>-  </w:t>
            </w:r>
          </w:p>
        </w:tc>
        <w:tc>
          <w:tcPr>
            <w:tcW w:w="1355" w:type="dxa"/>
            <w:tcBorders/>
            <w:shd w:fill="auto" w:val="clear"/>
            <w:vAlign w:val="bottom"/>
          </w:tcPr>
          <w:p>
            <w:pPr>
              <w:pStyle w:val="TableContents"/>
              <w:spacing w:before="0" w:after="0"/>
              <w:ind w:left="0" w:right="0" w:hanging="0"/>
              <w:jc w:val="right"/>
              <w:rPr/>
            </w:pPr>
            <w:r>
              <w:rPr/>
              <w:t>    </w:t>
            </w:r>
            <w:r>
              <w:rPr/>
              <w:t>- </w:t>
            </w:r>
          </w:p>
        </w:tc>
        <w:tc>
          <w:tcPr>
            <w:tcW w:w="1415" w:type="dxa"/>
            <w:tcBorders/>
            <w:shd w:fill="auto" w:val="clear"/>
            <w:vAlign w:val="bottom"/>
          </w:tcPr>
          <w:p>
            <w:pPr>
              <w:pStyle w:val="TableContents"/>
              <w:spacing w:before="0" w:after="0"/>
              <w:ind w:left="0" w:right="0" w:hanging="0"/>
              <w:jc w:val="right"/>
              <w:rPr/>
            </w:pPr>
            <w:r>
              <w:rPr/>
              <w:t>  </w:t>
            </w:r>
            <w:r>
              <w:rPr/>
              <w:t>50,000 </w:t>
            </w:r>
          </w:p>
        </w:tc>
      </w:tr>
      <w:tr>
        <w:trPr/>
        <w:tc>
          <w:tcPr>
            <w:tcW w:w="3994"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b/>
              </w:rPr>
            </w:pPr>
            <w:r>
              <w:rPr>
                <w:b/>
              </w:rPr>
              <w:t>Total</w:t>
            </w:r>
          </w:p>
        </w:tc>
        <w:tc>
          <w:tcPr>
            <w:tcW w:w="1280"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2,337,515 </w:t>
            </w:r>
          </w:p>
        </w:tc>
        <w:tc>
          <w:tcPr>
            <w:tcW w:w="2161"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203,836  </w:t>
            </w:r>
          </w:p>
        </w:tc>
        <w:tc>
          <w:tcPr>
            <w:tcW w:w="1355"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757,449 </w:t>
            </w:r>
          </w:p>
        </w:tc>
        <w:tc>
          <w:tcPr>
            <w:tcW w:w="1415" w:type="dxa"/>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right"/>
              <w:rPr/>
            </w:pPr>
            <w:r>
              <w:rPr/>
              <w:t>$  1,376,230 </w:t>
            </w:r>
          </w:p>
        </w:tc>
      </w:tr>
    </w:tbl>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b/>
        </w:rPr>
      </w:pPr>
      <w:r>
        <w:rPr>
          <w:b/>
        </w:rPr>
        <w:t>February 2011 Secured Convertible Notes</w:t>
      </w:r>
    </w:p>
    <w:p>
      <w:pPr>
        <w:pStyle w:val="TextBody"/>
        <w:spacing w:before="90" w:after="0"/>
        <w:jc w:val="both"/>
        <w:rPr/>
      </w:pPr>
      <w:r>
        <w:rPr/>
        <w:t xml:space="preserve">On February 24, 2011, the Company entered into a securities purchase agreement with accredited investors to place Senior Secured Convertible Notes (the February 2011 Notes) with a maturity date of three years after the issuance thereof in the aggregate principal amount of $1,184,694. In connection with the issuance of the February 2011 Notes, the Company entered into a 2011 Security Agreement with the note holders securing the February 2011 Notes with all of the Companys assets. One year after the issuance of the February 2011 Notes, the note holders have the option to convert a portion or all of the outstanding balance of the February 2011 Notes including any accrued interest into shares of the Companys common stock at a conversion rate of $0.15 per share. </w:t>
      </w:r>
    </w:p>
    <w:p>
      <w:pPr>
        <w:pStyle w:val="TextBody"/>
        <w:spacing w:before="90" w:after="0"/>
        <w:jc w:val="both"/>
        <w:rPr/>
      </w:pPr>
      <w:r>
        <w:rPr/>
        <w:t xml:space="preserve">The February 2011 Notes bear interest at the rate of 10% per annum except in case of default, in which case they bear interest at the rate of 20% per annum. The interest is due on the February 2011 Notes at the end of each three month period, starting three months from their issuance. One year after the issuance of the February 2011 Notes, the Company may elect to prepay a portion of the principal. If the Company makes such an election, the holders may elect to receive such prepayment in cash or in shares of the Companys common stock, at a conversion rate of $0.15 per share, or in a combination thereof. </w:t>
      </w:r>
    </w:p>
    <w:p>
      <w:pPr>
        <w:pStyle w:val="TextBody"/>
        <w:spacing w:before="90" w:after="0"/>
        <w:jc w:val="both"/>
        <w:rPr/>
      </w:pPr>
      <w:r>
        <w:rPr/>
        <w:t>The Company paid a finders fee of $41,500. The finders fee was accounted for as deferred financing costs, and is being amortized over the term of the notes. At September 30, 2013, $4,662 of the $25,084 in deferred financing costs relates to the February 2011 Notes which remains unamortized.</w:t>
      </w:r>
    </w:p>
    <w:p>
      <w:pPr>
        <w:pStyle w:val="TextBody"/>
        <w:spacing w:before="90" w:after="0"/>
        <w:jc w:val="both"/>
        <w:rPr/>
      </w:pPr>
      <w:r>
        <w:rPr/>
        <w:t>In connection with the issuance of the February 2011 Notes, the Company issued 2,369,388 warrants, exercisable into common stock at $0.25 with five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90" w:after="90"/>
        <w:jc w:val="both"/>
        <w:rPr/>
      </w:pPr>
      <w:r>
        <w:rPr/>
        <w:t>The Company allocated the net proceeds to the warrants based on the calculated fair value at the date of issuance. The fair value of the warrants was recorded at $483,355 and recognized as derivative liabilities and the debt was recorded at $701,339. The debt discount is being accreted over the three year term of the February 2011 Notes using the effective interest rate method.</w:t>
      </w:r>
    </w:p>
    <w:p>
      <w:pPr>
        <w:pStyle w:val="TextBody"/>
        <w:spacing w:before="90" w:after="90"/>
        <w:jc w:val="both"/>
        <w:rPr/>
      </w:pPr>
      <w:r>
        <w:rPr/>
        <w:t>During the year ended December 31, 2012, one of the investors settled the principal amount of $203,836 and accrued interest of $16,419 of the February 2011 Notes in exchange for December 14, 2012 Convertible Note (the December 14, 2012 Note).</w:t>
      </w:r>
    </w:p>
    <w:p>
      <w:pPr>
        <w:pStyle w:val="TextBody"/>
        <w:spacing w:before="90" w:after="90"/>
        <w:jc w:val="both"/>
        <w:rPr/>
      </w:pPr>
      <w:r>
        <w:rPr/>
        <w:t>For the nine months ended September 30, 2013, accretion of the debt discount of $99,682 was recorded for the February 2011 Notes.</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April 2011 Secured Convertible Notes</w:t>
      </w:r>
    </w:p>
    <w:p>
      <w:pPr>
        <w:pStyle w:val="TextBody"/>
        <w:spacing w:before="90" w:after="0"/>
        <w:jc w:val="both"/>
        <w:rPr/>
      </w:pPr>
      <w:r>
        <w:rPr/>
        <w:t xml:space="preserve">On April 4, 2011, the Company entered into a securities purchase agreement with accredited investors to place Senior Secured Convertible Notes (the April 2011 Notes) with a maturity date of three years after the issuance thereof in the aggregate principal amount of $215,000. In connection with the issuance of the April 2011 Notes, the Company entered into a 2011 Security Agreement with the note holders securing the April 2011 Notes with a secondary security interest in all of the Companys assets. One year after the issuance of the April 2011 Notes, the note holders have the option to convert a portion or all of the outstanding balance of the April 2011 Notes including any accrued interest into shares of the Companys common stock at a conversion rate of $0.15 per share. </w:t>
      </w:r>
    </w:p>
    <w:p>
      <w:pPr>
        <w:pStyle w:val="TextBody"/>
        <w:spacing w:before="90" w:after="0"/>
        <w:jc w:val="both"/>
        <w:rPr/>
      </w:pPr>
      <w:r>
        <w:rPr/>
        <w:t xml:space="preserve">The April 2011 Notes bear interest at the rate of 10% per annum except in case of default, in which case they bear interest at the rate of 20% per annum. The interest is due on the April 2011 Notes at the end of each three month period, starting three months from their issuance. One year after the issuance of the April 2011 Notes, the Company may elect to prepay a portion of the principal. If the Company makes such an election, the holders may elect to receive such prepayment in cash or in shares of the Companys common stock, at a conversion rate of $0.15 per share, or in a combination thereof. </w:t>
      </w:r>
    </w:p>
    <w:p>
      <w:pPr>
        <w:pStyle w:val="TextBody"/>
        <w:spacing w:before="90" w:after="0"/>
        <w:jc w:val="both"/>
        <w:rPr/>
      </w:pPr>
      <w:r>
        <w:rPr/>
        <w:t>The Company paid a finders fee of $4,550. The finders fee was accounted for as deferred financing costs, and is being amortized over the term of the notes. At September 30, 2013, $756 of the $25,084 in deferred financing costs relates to the April 2011 Notes.</w:t>
      </w:r>
    </w:p>
    <w:p>
      <w:pPr>
        <w:pStyle w:val="TextBody"/>
        <w:spacing w:before="90" w:after="0"/>
        <w:jc w:val="both"/>
        <w:rPr/>
      </w:pPr>
      <w:r>
        <w:rPr/>
        <w:t>In connection with the issuance of the April 2011 Notes, the Company issued 430,000 warrants, exercisable into common stock at $0.25 with 2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90" w:after="90"/>
        <w:jc w:val="both"/>
        <w:rPr/>
      </w:pPr>
      <w:r>
        <w:rPr/>
        <w:t>The Company allocated the net proceeds to the warrants based on the calculated fair value. The fair value of the warrants was recorded at $130,720 and recognized as derivative liabilities and the debt was recorded at $84,280. The debt discount is being accreted over the three year term of the April 2011 Notes using the effective interest rate method.</w:t>
      </w:r>
    </w:p>
    <w:p>
      <w:pPr>
        <w:pStyle w:val="TextBody"/>
        <w:spacing w:before="90" w:after="90"/>
        <w:jc w:val="both"/>
        <w:rPr/>
      </w:pPr>
      <w:r>
        <w:rPr/>
        <w:t>For the nine months ended September 30, 2013, accretion of the debt discount of $25,658 was recorded for the April 2011 Notes.</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June 2011 Secured Convertible Note</w:t>
      </w:r>
    </w:p>
    <w:p>
      <w:pPr>
        <w:pStyle w:val="TextBody"/>
        <w:spacing w:before="90" w:after="0"/>
        <w:jc w:val="both"/>
        <w:rPr/>
      </w:pPr>
      <w:r>
        <w:rPr/>
        <w:t xml:space="preserve">On June 6, 2011, the Company entered into a securities purchase agreement with accredited investors to place Senior Secured Convertible Note (the June 2011 Note) with a maturity date of three years after the issuance thereof in the aggregate principal amount of $30,000. In connection with the issuance of the June 2011 Note, the Company entered into a 2011 Security Agreement with the note holder securing the June 2011 Note with a secondary security interest in all of the Companys assets. One year after the issuance of the June 2011 Note, the note holder has the option to convert a portion or all of the outstanding balance of the June 2011 Note including any accrued interest into shares of the Companys common stock at a conversion rate of $0.15 per share. </w:t>
      </w:r>
    </w:p>
    <w:p>
      <w:pPr>
        <w:pStyle w:val="TextBody"/>
        <w:spacing w:before="90" w:after="0"/>
        <w:jc w:val="both"/>
        <w:rPr/>
      </w:pPr>
      <w:r>
        <w:rPr/>
        <w:t xml:space="preserve">The June 2011 Note bears interest at the rate of 10% per annum except in case of default, in which case it bears interest at the rate of 20% per annum. The interest is due on the June 2011 Note at the end of each three month period, starting three months from its issuance. One year after the issuance of the June 2011 Note, the Company may elect to prepay a portion of the principal. If the Company makes such an election, the holders may elect to receive such prepayment in cash or in shares of the Companys common stock, at a conversion rate of $0.15 per share, or in a combination thereof. </w:t>
      </w:r>
    </w:p>
    <w:p>
      <w:pPr>
        <w:pStyle w:val="TextBody"/>
        <w:spacing w:before="90" w:after="0"/>
        <w:jc w:val="both"/>
        <w:rPr/>
      </w:pPr>
      <w:r>
        <w:rPr/>
        <w:t>In connection with the issuance of the June 2011 Note, the Company issued 60,000 warrants, exercisable into common stock at $0.25 with two year terms. The Company may force the exercise of the warrants at any time that the average volume weighted average price of the Companys common stock over the prior ten trading days is greater than $0.50, the average daily dollar volume of the Companys common stock sold over those ten trading days is greater than $25,000 and there is an effective registration statement covering the resale of the shares underlying the warrants.</w:t>
      </w:r>
    </w:p>
    <w:p>
      <w:pPr>
        <w:pStyle w:val="TextBody"/>
        <w:spacing w:before="90" w:after="90"/>
        <w:jc w:val="both"/>
        <w:rPr/>
      </w:pPr>
      <w:r>
        <w:rPr/>
        <w:t>The Company allocated the net proceeds to the warrants based on the calculated fair value. The fair value of the warrants was recorded at $8,280 and recognized as derivative liabilities and the debt was recorded at $21,720. The debt discount is being accreted over the three year term of the June 2011 Note using the effective interest rate method.</w:t>
      </w:r>
    </w:p>
    <w:p>
      <w:pPr>
        <w:pStyle w:val="TextBody"/>
        <w:spacing w:before="90" w:after="90"/>
        <w:jc w:val="both"/>
        <w:rPr/>
      </w:pPr>
      <w:r>
        <w:rPr/>
        <w:t>For the nine months ended September 30, 2013, accretion of the debt discount of $2,067 was recorded for the June 2011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August 8, 2012 Convertible Note</w:t>
      </w:r>
    </w:p>
    <w:p>
      <w:pPr>
        <w:pStyle w:val="TextBody"/>
        <w:spacing w:before="90" w:after="0"/>
        <w:jc w:val="both"/>
        <w:rPr/>
      </w:pPr>
      <w:r>
        <w:rPr/>
        <w:t xml:space="preserve">On August 8, 2012, the Company entered into a securities purchase agreement with an accredited investor to place a Convertible Note (the August 8, 2012 Note) with a maturity date of one year after the issuance thereof in the aggregate principal amount of $111,430. Consideration under the notes consisted of $92,000 in cash proceeds after $8,000 payment of finders fee and an original issue discount of $11,430. The note holder has the option to convert a portion or all of the outstanding balance of the August 8, 2012 Note including any accrued interest into shares of the Companys common stock at a conversion rate of $0.09 per share or 70% of the lowest traded price in the 25 trading days prior to conversion. </w:t>
      </w:r>
    </w:p>
    <w:p>
      <w:pPr>
        <w:pStyle w:val="TextBody"/>
        <w:spacing w:before="90" w:after="0"/>
        <w:jc w:val="both"/>
        <w:rPr/>
      </w:pPr>
      <w:r>
        <w:rPr/>
        <w:t>The August 8, 2012 Note carried no interest if the Company repaid the note within 90 days from issuance. If the Company does not repay the note within 90 days, a one-time interest of 5% shall apply to the principal sum. The company did not repay the note within 90 days of issuance and a one-time interest of 5% was accrued in the year ended December 31, 2012.</w:t>
      </w:r>
    </w:p>
    <w:p>
      <w:pPr>
        <w:pStyle w:val="TextBody"/>
        <w:spacing w:before="90" w:after="90"/>
        <w:jc w:val="both"/>
        <w:rPr/>
      </w:pPr>
      <w:r>
        <w:rPr/>
        <w:t xml:space="preserve">During the nine months ended September 30, 2013, the investor converted the principal amount of $111,430 and accrued interest of the August 8, 2012 Note into common shares (Note 9). </w:t>
      </w:r>
    </w:p>
    <w:p>
      <w:pPr>
        <w:pStyle w:val="TextBody"/>
        <w:spacing w:before="90" w:after="0"/>
        <w:jc w:val="both"/>
        <w:rPr/>
      </w:pPr>
      <w:r>
        <w:rPr/>
        <w:t>The finders fee of $8,000 was accounted for as deferred financing costs, and was amortized over the term of the note and has been fully expensed during the current period on the conversion of the debt.</w:t>
      </w:r>
    </w:p>
    <w:p>
      <w:pPr>
        <w:pStyle w:val="TextBody"/>
        <w:spacing w:before="90" w:after="90"/>
        <w:jc w:val="both"/>
        <w:rPr/>
      </w:pPr>
      <w:r>
        <w:rPr/>
        <w:t>The Company has allocated the net proceeds to the conversion option based on the calculated fair value. The fair value of the conversion option was recorded at $155,700 and recognized as a derivative liability and the debt was recorded at $nil. The transaction resulted in an accounting loss on debt financing of $55,700. The fair value of the conversion option was calculated using the Binomial option pricing model under the following assumptions: estimated life of one year, risk free rate of 0.19%, dividend yield of 0% and volatility of 139.77%. The debt discount has been accreted up to the dates of conversion using the effective interest rate method.</w:t>
      </w:r>
    </w:p>
    <w:p>
      <w:pPr>
        <w:pStyle w:val="TextBody"/>
        <w:spacing w:before="90" w:after="90"/>
        <w:jc w:val="both"/>
        <w:rPr/>
      </w:pPr>
      <w:r>
        <w:rPr/>
        <w:t>For the nine months ended September 30, 2013, accretion of the debt discount of $67,163 was recorded for the August 8, 2012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August 12, 2012 Convertible Note</w:t>
      </w:r>
    </w:p>
    <w:p>
      <w:pPr>
        <w:pStyle w:val="TextBody"/>
        <w:spacing w:before="90" w:after="0"/>
        <w:jc w:val="both"/>
        <w:rPr/>
      </w:pPr>
      <w:r>
        <w:rPr/>
        <w:t>On August 12, 2012, the Company entered into a securities purchase agreement with accredited investors to place a Convertible Note (the August 12, 2012 Note) with a maturity date of three months after the issuance thereof in the aggregate principal amount of $27,500. Consideration under the notes consisted of $25,000 in cash proceeds after an original issue discount of $2,500. The note holder has the option to convert a portion or all of the outstanding balance of the August 8, 2012 Note including any accrued interest into shares of the Companys common stock at a conversion rate of $0.09 per share or on similar terms as of any future financings with more favorable terms. The agreement provides for the Company to issue 50,000 shares to the note holder as risk premium. The 50,000 shares were valued at $6,250 and recorded as loss on debt financing and obligation to issue shares.</w:t>
      </w:r>
    </w:p>
    <w:p>
      <w:pPr>
        <w:pStyle w:val="TextBody"/>
        <w:spacing w:before="90" w:after="0"/>
        <w:jc w:val="both"/>
        <w:rPr/>
      </w:pPr>
      <w:r>
        <w:rPr/>
        <w:t xml:space="preserve">The August 12, 2012 Note bears interest at the rate of 10% per annum. </w:t>
      </w:r>
    </w:p>
    <w:p>
      <w:pPr>
        <w:pStyle w:val="TextBody"/>
        <w:spacing w:before="90" w:after="90"/>
        <w:jc w:val="both"/>
        <w:rPr/>
      </w:pPr>
      <w:r>
        <w:rPr/>
        <w:t>The Company allocated the net proceeds to the conversion option based on the calculated fair value. The fair value of the conversion option was recorded at $31,100 and recognized as a derivative liability and the debt was recorded at $nil. The transaction resulted in an accounting loss on debt financing of $6,100. The fair value of the conversion option was calculated using the Binomial option pricing model under the following assumptions: estimated life of three months, risk free rate of 0.11%, dividend yield of 0% and volatility of 138.31%. The debt discount was accreted over the three month term of the August 12, 2012 Note using the effective interest rate method.</w:t>
      </w:r>
    </w:p>
    <w:p>
      <w:pPr>
        <w:pStyle w:val="TextBody"/>
        <w:spacing w:before="90" w:after="0"/>
        <w:jc w:val="both"/>
        <w:rPr/>
      </w:pPr>
      <w:r>
        <w:rPr/>
        <w:t>The Company has not repaid the August 12, 2012 Note as of September 30, 2013, which is in default. The note is accruing interest rate of 10% per year.</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August 20, 2012 Convertible Note</w:t>
      </w:r>
    </w:p>
    <w:p>
      <w:pPr>
        <w:pStyle w:val="TextBody"/>
        <w:spacing w:before="90" w:after="0"/>
        <w:jc w:val="both"/>
        <w:rPr/>
      </w:pPr>
      <w:r>
        <w:rPr/>
        <w:t xml:space="preserve">On August 20, 2012, the Company entered into a securities purchase agreement with accredited investors to place a Convertible Note (the August 20, 2012 Note) with a maturity date of one year after the issuance thereof in the aggregate principal amount of $20,000. The note holder has the option to convert a portion or all of the outstanding balance of the August 20, 2012 Note including any accrued interest into shares of the Companys common stock at a conversion rate of $0.09 per share or 70% of the lowest traded price in the 25 trading days prior to conversion. </w:t>
      </w:r>
    </w:p>
    <w:p>
      <w:pPr>
        <w:pStyle w:val="TextBody"/>
        <w:spacing w:before="90" w:after="0"/>
        <w:jc w:val="both"/>
        <w:rPr/>
      </w:pPr>
      <w:r>
        <w:rPr/>
        <w:t xml:space="preserve">The August 20, 2012 Note bears interest at the rate of 8% per annum. </w:t>
      </w:r>
    </w:p>
    <w:p>
      <w:pPr>
        <w:pStyle w:val="TextBody"/>
        <w:spacing w:before="90" w:after="90"/>
        <w:jc w:val="both"/>
        <w:rPr/>
      </w:pPr>
      <w:r>
        <w:rPr/>
        <w:t>The Company has allocated the net proceeds to the conversion option based on the calculated fair value. The fair value of the conversion option was recorded at $36,100 and recognized as a derivative liability and the debt was recorded at $nil. The transaction resulted in an accounting loss on debt financing of $16,100. The fair value of the conversion option was calculated using the Binomial option pricing model under the following assumptions: estimated life of one year, risk free rate of 0.19%, dividend yield of 0% and volatility of 140.11%. The debt discount was accreted over the one year term of the August 20, 2012 Note using the effective interest rate method.</w:t>
      </w:r>
    </w:p>
    <w:p>
      <w:pPr>
        <w:pStyle w:val="TextBody"/>
        <w:spacing w:before="90" w:after="0"/>
        <w:jc w:val="both"/>
        <w:rPr/>
      </w:pPr>
      <w:r>
        <w:rPr/>
        <w:t>For the nine months ended September 30, 2013, accretion of the debt discount of $12,712 was recorded for the August 20, 2012 Note.</w:t>
      </w:r>
    </w:p>
    <w:p>
      <w:pPr>
        <w:pStyle w:val="TextBody"/>
        <w:spacing w:before="90" w:after="0"/>
        <w:jc w:val="both"/>
        <w:rPr/>
      </w:pPr>
      <w:r>
        <w:rPr/>
        <w:t>The Company has not repaid the August 20, 2012 Note as of September 30, 2013, which is in default. The note is accruing interest rate of 8% per year.</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F-19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September 18, 2012 Convertible Note</w:t>
      </w:r>
    </w:p>
    <w:p>
      <w:pPr>
        <w:pStyle w:val="TextBody"/>
        <w:spacing w:before="90" w:after="0"/>
        <w:jc w:val="both"/>
        <w:rPr/>
      </w:pPr>
      <w:r>
        <w:rPr/>
        <w:t xml:space="preserve">On September 18, 2012, the Company entered into a securities purchase agreement with accredited investors to place a Convertible Note (the September 18, 2012 Note) with a maturity date of one year after the issuance thereof in the aggregate principal amount of $82,500. Consideration under the notes consisted of $69,000 in cash proceeds after $6,000 payment of finders fee and an original issue discount of $7,500. The note holder has the option to convert a portion or all of the outstanding balance of the September 18, 2012 Note including any accrued interest into shares of the Companys common stock at a conversion rate of $0.09 per share or 70% of the lowest traded price in the 20 trading days prior to conversion. </w:t>
      </w:r>
    </w:p>
    <w:p>
      <w:pPr>
        <w:pStyle w:val="TextBody"/>
        <w:spacing w:before="90" w:after="0"/>
        <w:jc w:val="both"/>
        <w:rPr/>
      </w:pPr>
      <w:r>
        <w:rPr/>
        <w:t xml:space="preserve">The September 18, 2012 Note carries no interest other than the amortization of the original issue discount. </w:t>
      </w:r>
    </w:p>
    <w:p>
      <w:pPr>
        <w:pStyle w:val="TextBody"/>
        <w:spacing w:before="90" w:after="0"/>
        <w:jc w:val="both"/>
        <w:rPr/>
      </w:pPr>
      <w:r>
        <w:rPr/>
        <w:t>The finders fee of $6,000 was accounted for as deferred financing costs, and was amortized over the term of the note which has been fully amortized.</w:t>
      </w:r>
    </w:p>
    <w:p>
      <w:pPr>
        <w:pStyle w:val="TextBody"/>
        <w:spacing w:before="90" w:after="90"/>
        <w:jc w:val="both"/>
        <w:rPr/>
      </w:pPr>
      <w:r>
        <w:rPr/>
        <w:t>During the nine months ended September 30, 2013, the investor converted the principal amount and accrued interest of $75,000 and accrued interest into common shares (Note 9). The balance remaining on the September 18, 2012 Note as on September 30, 2013 was $23,750.</w:t>
      </w:r>
    </w:p>
    <w:p>
      <w:pPr>
        <w:pStyle w:val="TextBody"/>
        <w:spacing w:before="90" w:after="90"/>
        <w:jc w:val="both"/>
        <w:rPr/>
      </w:pPr>
      <w:r>
        <w:rPr/>
        <w:t>The Company has allocated the net proceeds to the conversion option based on the calculated fair value. The fair value of the conversion option was recorded at $76,400 and recognized as a derivative liability and the debt was recorded at $nil. The transaction resulted in an accounting loss on debt financing of $1,400. The fair value of the conversion option was calculated using the Binomial option pricing model under the following assumptions: estimated life of one year, risk free rate of 0.20%, dividend yield of 0% and volatility of 141.43%. The debt discount is being accreted over the one year term using the effective interest rate method.</w:t>
      </w:r>
    </w:p>
    <w:p>
      <w:pPr>
        <w:pStyle w:val="TextBody"/>
        <w:spacing w:before="90" w:after="90"/>
        <w:jc w:val="both"/>
        <w:rPr/>
      </w:pPr>
      <w:r>
        <w:rPr/>
        <w:t>For the nine months ended September 30, 2013, accretion of the debt discount of $20,060 was recorded for the September, 2012 Note.</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pPr>
      <w:r>
        <w:rPr/>
      </w:r>
      <w:r>
        <w:br w:type="page"/>
      </w:r>
    </w:p>
    <w:p>
      <w:pPr>
        <w:pStyle w:val="TextBody"/>
        <w:spacing w:before="90" w:after="0"/>
        <w:jc w:val="both"/>
        <w:rPr>
          <w:b/>
        </w:rPr>
      </w:pPr>
      <w:r>
        <w:rPr>
          <w:b/>
        </w:rPr>
        <w:t>October 2012 Convertible Note</w:t>
      </w:r>
    </w:p>
    <w:p>
      <w:pPr>
        <w:pStyle w:val="TextBody"/>
        <w:spacing w:before="90" w:after="0"/>
        <w:jc w:val="both"/>
        <w:rPr/>
      </w:pPr>
      <w:r>
        <w:rPr/>
        <w:t xml:space="preserve">On October 15, 2012, the Company entered into a securities purchase agreement with an accredited investor to place a Convertible Note (the October 2012 Note) with a maturity date of one year after the issuance thereof in the aggregate principal amount of $340,000. Consideration under the notes consisted of $310,000 in cash proceeds after $10,000 payment of legal fee and an original issue discount of $30,000. The note holder has the option to convert a portion or all of the outstanding balance of the October 2012 Note including any accrued interest into shares of the Companys common stock at a conversion rate of $0.12 per share or to a new lower issuance price if the Company issues shares (or reduces the conversion or exercise price for outstanding debt or warrants) for less than $0.12. </w:t>
      </w:r>
    </w:p>
    <w:p>
      <w:pPr>
        <w:pStyle w:val="TextBody"/>
        <w:spacing w:before="90" w:after="0"/>
        <w:jc w:val="both"/>
        <w:rPr/>
      </w:pPr>
      <w:r>
        <w:rPr/>
        <w:t xml:space="preserve">The October 2012 Note carries an interest rate of 8% per year. There are seven installment payments due on the note beginning on the seventh month after its issuance and each month thereafter until maturity. </w:t>
      </w:r>
    </w:p>
    <w:p>
      <w:pPr>
        <w:pStyle w:val="TextBody"/>
        <w:spacing w:before="90" w:after="0"/>
        <w:jc w:val="both"/>
        <w:rPr/>
      </w:pPr>
      <w:r>
        <w:rPr/>
        <w:t>The legal fee of $10,000 was accounted for as deferred financing costs, and is being amortized over the term of the note. At September 30, 2013, $411 of the $25,084 in deferred financing costs relates to the October 2012 Note which remains unamortized, and is presented in current assets on the Companys Balance Sheet.</w:t>
      </w:r>
    </w:p>
    <w:p>
      <w:pPr>
        <w:pStyle w:val="TextBody"/>
        <w:spacing w:before="90" w:after="0"/>
        <w:jc w:val="both"/>
        <w:rPr/>
      </w:pPr>
      <w:r>
        <w:rPr/>
        <w:t>Provided that there is sufficient volume in the trading of the Companys common stock and other criteria are met, the Company may elect to make any payment due on an installment date in shares of common stock. If the Company elects to make a payment in shares of common stock, the number of shares that the Company issues will be equal to the amount to be converted divided by the lesser of the conversion price or 70% of the average of the three lowest closing bid prices of the shares of common stock during the prior twenty consecutive trading days. Unless otherwise agreed in writing by both parties, at no time will the holder convert any amount of the debenture into common stock that would result in the holder owning more than 4.99% of the common stock outstanding.</w:t>
      </w:r>
    </w:p>
    <w:p>
      <w:pPr>
        <w:pStyle w:val="TextBody"/>
        <w:spacing w:before="90" w:after="0"/>
        <w:jc w:val="both"/>
        <w:rPr/>
      </w:pPr>
      <w:r>
        <w:rPr/>
        <w:t xml:space="preserve">As part of the agreement, the Company also issued 3,000,000 warrants to the note holder exercisable at $0.25/share expiring on October 31, 2016. </w:t>
      </w:r>
    </w:p>
    <w:p>
      <w:pPr>
        <w:pStyle w:val="TextBody"/>
        <w:spacing w:before="90" w:after="0"/>
        <w:jc w:val="both"/>
        <w:rPr/>
      </w:pPr>
      <w:r>
        <w:rPr/>
        <w:t>The warrants include price adjustment provisions whereby the exercise price will be adjusted downwards based on future grants, which results in a share issuance at a per share amount less than $0.25 per share, or repricing of any existing warrants to a lower price. During the nine months ended September 30, 2013, the investor converted the 3,000,000 warrants under a cashless exercise provision for 1,898,588 shares of common stock (Note 9).</w:t>
      </w:r>
    </w:p>
    <w:p>
      <w:pPr>
        <w:pStyle w:val="TextBody"/>
        <w:spacing w:before="90" w:after="90"/>
        <w:jc w:val="both"/>
        <w:rPr/>
      </w:pPr>
      <w:r>
        <w:rPr/>
        <w:t>The Company has allocated the net proceeds to the conversion option and equity based on the calculated fair value. The fair value of the conversion option was recorded at $248,000 and recognized as a derivative liability and the equity was recorded at $62,000. The fair value of the conversion option was calculated using the Binomial option pricing model under the following assumptions: estimated life of one year, risk free rate of 0.19%, dividend yield of 0% and volatility of 139.16%. The debt discount is being accreted over the one year term of the October 2012 Note using the effective interest rate method.</w:t>
      </w:r>
    </w:p>
    <w:p>
      <w:pPr>
        <w:pStyle w:val="TextBody"/>
        <w:spacing w:before="90" w:after="90"/>
        <w:jc w:val="both"/>
        <w:rPr/>
      </w:pPr>
      <w:r>
        <w:rPr/>
        <w:t>For the nine months ended September 30, 2013, accretion of the debt discount of $254,301 was recorded for the October 2012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October 9, 2012 Convertible Note</w:t>
      </w:r>
    </w:p>
    <w:p>
      <w:pPr>
        <w:pStyle w:val="TextBody"/>
        <w:spacing w:before="90" w:after="0"/>
        <w:jc w:val="both"/>
        <w:rPr/>
      </w:pPr>
      <w:r>
        <w:rPr/>
        <w:t xml:space="preserve">On October 9, 2012, the Company converted accounts payable of $100,000 into convertible notes (the October 9, 2012 Note). The note holder has the option to convert a portion or all of the outstanding balance of the October 9, 2012 Note into shares of the Companys common stock at a conversion rate of $0.11 per share. The note has no terms of repayment and no interest charges. Only under certain events of default the note will incur an interest rate of 20% per year. </w:t>
      </w:r>
    </w:p>
    <w:p>
      <w:pPr>
        <w:pStyle w:val="TextBody"/>
        <w:spacing w:before="90" w:after="0"/>
        <w:jc w:val="both"/>
        <w:rPr/>
      </w:pPr>
      <w:r>
        <w:rPr/>
        <w:t>During the nine months ended September 30, 2013, the note was amended and assigned to a third party with price adjustment features ratified by the Company and converted into 5,368,956 shares of the Company. The Company recorded $135,527 as loss on settlement of debt (Note 9).</w:t>
      </w:r>
    </w:p>
    <w:p>
      <w:pPr>
        <w:pStyle w:val="TextBody"/>
        <w:spacing w:before="90" w:after="0"/>
        <w:jc w:val="both"/>
        <w:rPr/>
      </w:pPr>
      <w:r>
        <w:rPr/>
        <w:t> </w:t>
      </w:r>
    </w:p>
    <w:p>
      <w:pPr>
        <w:pStyle w:val="TextBody"/>
        <w:spacing w:before="90" w:after="0"/>
        <w:jc w:val="both"/>
        <w:rPr>
          <w:b/>
        </w:rPr>
      </w:pPr>
      <w:r>
        <w:rPr>
          <w:b/>
        </w:rPr>
        <w:t>November 1, 2012 Convertible Note</w:t>
      </w:r>
    </w:p>
    <w:p>
      <w:pPr>
        <w:pStyle w:val="TextBody"/>
        <w:spacing w:before="90" w:after="0"/>
        <w:jc w:val="both"/>
        <w:rPr/>
      </w:pPr>
      <w:r>
        <w:rPr/>
        <w:t>During the year ended December 31, 2012, the Company converted a promissory note of $100,000 (Note 7) with an accredited investor into three convertible notes totaling $105,000. The three convertible notes were assigned to a third party. In November and December 2012, the holder converted $73,737 of principal and interest into 1,262,727 shares. The Company recorded $66,801 as loss on settlement of debt (Note 9).</w:t>
      </w:r>
    </w:p>
    <w:p>
      <w:pPr>
        <w:pStyle w:val="TextBody"/>
        <w:spacing w:before="90" w:after="0"/>
        <w:jc w:val="both"/>
        <w:rPr/>
      </w:pPr>
      <w:r>
        <w:rPr/>
        <w:t xml:space="preserve">The third Convertible Note (the November 1, 2012 Note) was issued with a maturity date of six months in the aggregate principal amount of $31,471. The note holder has the option to convert a portion or all of the outstanding balance of the November 1, 2012 Note including any accrued interest into shares of the Companys common stock at a conversion rate of $0.09 per share or 65% of the lowest bid price in the 20 trading days prior to conversion. </w:t>
      </w:r>
    </w:p>
    <w:p>
      <w:pPr>
        <w:pStyle w:val="TextBody"/>
        <w:spacing w:before="90" w:after="0"/>
        <w:jc w:val="both"/>
        <w:rPr/>
      </w:pPr>
      <w:r>
        <w:rPr/>
        <w:t>The November 1, 2012 Note bears interest at the rate of 10% per annum starting on November 15, 2012. If the Company is in default under certain events, the November 1, 2012 Note shall incur interest at the rate of 20% per annum retroactively.</w:t>
      </w:r>
    </w:p>
    <w:p>
      <w:pPr>
        <w:pStyle w:val="TextBody"/>
        <w:spacing w:before="90" w:after="90"/>
        <w:jc w:val="both"/>
        <w:rPr/>
      </w:pPr>
      <w:r>
        <w:rPr/>
        <w:t>The Company had allocated the balance of the November 1, 2012 Note to the conversion option and debt based on the calculated fair value. The fair value of the conversion option was recorded at $27,300 and recognized as a derivative liability and the debt was recorded at $4,171. The fair value of the conversion option was calculated using the Binomial option pricing model under the following assumptions: estimated life of 0.49 year, risk free rate of 0.09%, dividend yield of 0% and volatility of 127.26%. The debt discount was accreted over the 0.49 year term of the November 1, 2012 Note using the effective interest rate method.</w:t>
      </w:r>
    </w:p>
    <w:p>
      <w:pPr>
        <w:pStyle w:val="TextBody"/>
        <w:spacing w:before="90" w:after="90"/>
        <w:jc w:val="both"/>
        <w:rPr/>
      </w:pPr>
      <w:r>
        <w:rPr/>
        <w:t xml:space="preserve">During the nine months ended September 30, 2013, the investor converted the November 1, 2012 Note and accrued interest into 512,822 common shares (Note 9). </w:t>
      </w:r>
    </w:p>
    <w:p>
      <w:pPr>
        <w:pStyle w:val="TextBody"/>
        <w:spacing w:before="90" w:after="0"/>
        <w:jc w:val="both"/>
        <w:rPr/>
      </w:pPr>
      <w:r>
        <w:rPr/>
        <w:t>For the nine months ended September 30, 2013, accretion of the debt discount of $7,921 was recorded for the November 1, 2012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November 20, 2012 Convertible Note</w:t>
      </w:r>
    </w:p>
    <w:p>
      <w:pPr>
        <w:pStyle w:val="TextBody"/>
        <w:spacing w:before="90" w:after="0"/>
        <w:jc w:val="both"/>
        <w:rPr/>
      </w:pPr>
      <w:r>
        <w:rPr/>
        <w:t xml:space="preserve">On November 20, 2012, the Company entered into a securities purchase agreement with an accredited investor to place a Convertible Note (the November 20, 2012 Note) with a maturity date of one year after the issuance thereof in the aggregate principal amount of $55,710. Consideration under the notes consisted of $50,000 in cash proceeds after $4,000 payment of finders fee and an original issue discount of $5,710. The note holder has the option to convert a portion or all of the outstanding balance of the November 20, 2012 Note including any accrued interest into shares of the Companys common stock at a conversion rate of $0.09 per share or 70% of the lowest traded price in the 25 trading days prior to conversion. </w:t>
      </w:r>
    </w:p>
    <w:p>
      <w:pPr>
        <w:pStyle w:val="TextBody"/>
        <w:spacing w:before="90" w:after="0"/>
        <w:jc w:val="both"/>
        <w:rPr/>
      </w:pPr>
      <w:r>
        <w:rPr/>
        <w:t>The November 20, 2012 Note carried no interest if the Company repaid the note within 90 days from issuance. If the Company does not repay the note within 90 days, a one-time interest of 5% shall apply to the principal sum. The company did not repay the note within 90 days of issuance and a one-time interest of 5% in the current period.</w:t>
      </w:r>
    </w:p>
    <w:p>
      <w:pPr>
        <w:pStyle w:val="TextBody"/>
        <w:spacing w:before="90" w:after="0"/>
        <w:jc w:val="both"/>
        <w:rPr/>
      </w:pPr>
      <w:r>
        <w:rPr/>
        <w:t>The finders fee of $4,000 was accounted for as deferred financing costs, and is being amortized over the term of the note. At September 30, 2013, $559 of the $25,084 in deferred financing costs relates to the November 20, 2012 Note.</w:t>
      </w:r>
    </w:p>
    <w:p>
      <w:pPr>
        <w:pStyle w:val="TextBody"/>
        <w:spacing w:before="90" w:after="90"/>
        <w:jc w:val="both"/>
        <w:rPr/>
      </w:pPr>
      <w:r>
        <w:rPr/>
        <w:t>The Company has allocated the net proceeds to the conversion option based on the calculated fair value. The fair value of the conversion option was recorded at $69,000 and recognized as a derivative liability and the debt was recorded at $nil. The transaction resulted in an accounting loss on debt financing of $19,000. The fair value of the conversion option was calculated using the Binomial option pricing model under the following assumptions: estimated life of one year, risk free rate of 0.16%, dividend yield of 0% and volatility of 134.71%. The debt discount is being accreted over the one year term of the November 20, 2012 Note using the effective interest rate method.</w:t>
      </w:r>
    </w:p>
    <w:p>
      <w:pPr>
        <w:pStyle w:val="TextBody"/>
        <w:spacing w:before="90" w:after="90"/>
        <w:jc w:val="both"/>
        <w:rPr/>
      </w:pPr>
      <w:r>
        <w:rPr/>
        <w:t xml:space="preserve">During the nine months ended September 30, 2013, the investor converted the principal amount of $44,962 and accrued interest of the November 20, 2012 Note into 5,600,000 common shares (Note 9). </w:t>
      </w:r>
    </w:p>
    <w:p>
      <w:pPr>
        <w:pStyle w:val="TextBody"/>
        <w:spacing w:before="90" w:after="90"/>
        <w:jc w:val="both"/>
        <w:rPr/>
      </w:pPr>
      <w:r>
        <w:rPr/>
        <w:t>For the nine months ended September 30, 2013, accretion of the debt discount of $39,513 was recorded for the November 20, 2012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December 14, 2012 Convertible Note</w:t>
      </w:r>
    </w:p>
    <w:p>
      <w:pPr>
        <w:pStyle w:val="TextBody"/>
        <w:spacing w:before="90" w:after="0"/>
        <w:jc w:val="both"/>
        <w:rPr/>
      </w:pPr>
      <w:r>
        <w:rPr/>
        <w:t>On December 14, 2012, the Company converted part of the February 2011 Notes in the amount of $220,255 into a convertible note (the December 14, 2012 Note) with a maturity date of four months after the issuance thereof in the aggregate principal amount of $252,280. Consideration under the notes consisted of $220,255 from February 2011 Notes, $10,000 payment of legal fee and an original issue discount of $22,025. The December 14, 2012 Note is repayable in four equal installments with accrued interest, starting on January 18, 2013 and subsequently, the same day on each of the following calendar months. The Company can elect to pay the installments in cash or shares of Companys common stock.</w:t>
      </w:r>
    </w:p>
    <w:p>
      <w:pPr>
        <w:pStyle w:val="TextBody"/>
        <w:spacing w:before="90" w:after="0"/>
        <w:jc w:val="both"/>
        <w:rPr/>
      </w:pPr>
      <w:r>
        <w:rPr/>
        <w:t>The December 14, 2012 Note bears interest at the rate of 8% per annum. In the event of default under certain conditions, the interest will accrue at the rate of 18% per annum.</w:t>
      </w:r>
    </w:p>
    <w:p>
      <w:pPr>
        <w:pStyle w:val="TextBody"/>
        <w:spacing w:before="90" w:after="0"/>
        <w:jc w:val="both"/>
        <w:rPr/>
      </w:pPr>
      <w:r>
        <w:rPr/>
        <w:t xml:space="preserve">The note holder has the option to convert a portion or all of the outstanding balance of the December 14, 2012 Note including any accrued interest into shares of the Companys common stock at a conversion rate of 70% of the three lowest closing bid prices in the 20 trading days prior to conversion. </w:t>
      </w:r>
    </w:p>
    <w:p>
      <w:pPr>
        <w:pStyle w:val="TextBody"/>
        <w:spacing w:before="90" w:after="0"/>
        <w:jc w:val="both"/>
        <w:rPr/>
      </w:pPr>
      <w:r>
        <w:rPr/>
        <w:t>In December 2012, the December 14, 2012 Note was assigned to a third party and the Company paid the first installment of $65,032 consisting of principal and interest in 1,078,477 shares. The fair value of the shares was determined to be $96,523 based on the quoted market price of $0.09 per share. The Company recorded $31,491 as loss on settlement of debt (Note 9).</w:t>
      </w:r>
    </w:p>
    <w:p>
      <w:pPr>
        <w:pStyle w:val="TextBody"/>
        <w:spacing w:before="90" w:after="90"/>
        <w:jc w:val="both"/>
        <w:rPr/>
      </w:pPr>
      <w:r>
        <w:rPr/>
        <w:t>The Company has allocated the balance of $189,210 of the December 14, 2012 Note to the conversion option and debt based on the calculated fair value. The fair value of the conversion option was recorded at $94,100 and recognized as a derivative liability and the debt was recorded at $95,110. The fair value of the conversion option was calculated using the Binomial option pricing model under the following assumptions: estimated life of 0.35 year, risk free rate of 0.06%, dividend yield of 0% and volatility of 100.88%. The debt discount was being accreted over the 0.45 year term of the December 14, 2012 Note using the effective interest rate method.</w:t>
      </w:r>
    </w:p>
    <w:p>
      <w:pPr>
        <w:pStyle w:val="TextBody"/>
        <w:spacing w:before="90" w:after="90"/>
        <w:jc w:val="both"/>
        <w:rPr/>
      </w:pPr>
      <w:r>
        <w:rPr/>
        <w:t xml:space="preserve">During the nine months ended September 30, 2013, the investor converted the remaining balance of the note of $189,210 and accrued interest on the December 14, 2012 Note into common shares (Note 9). </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December 18, 2012 Convertible Note</w:t>
      </w:r>
    </w:p>
    <w:p>
      <w:pPr>
        <w:pStyle w:val="TextBody"/>
        <w:spacing w:before="90" w:after="0"/>
        <w:jc w:val="both"/>
        <w:rPr/>
      </w:pPr>
      <w:r>
        <w:rPr/>
        <w:t xml:space="preserve">On December 18, 2012, the Company entered into a securities purchase agreement with accredited investors to place convertible notes (the December 18, 2012 Notes) with a maturity date of one year after the issuance thereof in the aggregate principal amount of $50,000. The note holders have the option to convert a portion or all of the outstanding balance of the December 18, 2012 Note including any accrued interest into shares of the Companys common stock at a conversion rate of $0.10 per share. </w:t>
      </w:r>
    </w:p>
    <w:p>
      <w:pPr>
        <w:pStyle w:val="TextBody"/>
        <w:spacing w:before="90" w:after="0"/>
        <w:jc w:val="both"/>
        <w:rPr/>
      </w:pPr>
      <w:r>
        <w:rPr/>
        <w:t>The December 18, 2012 Notes carry an interest rate of 9%, due and payable on the maturity date.  </w:t>
      </w:r>
    </w:p>
    <w:p>
      <w:pPr>
        <w:pStyle w:val="TextBody"/>
        <w:spacing w:before="90" w:after="0"/>
        <w:jc w:val="both"/>
        <w:rPr>
          <w:b/>
        </w:rPr>
      </w:pPr>
      <w:r>
        <w:rPr>
          <w:b/>
        </w:rPr>
        <w:t>January 5, 2013 Convertible Notes</w:t>
      </w:r>
    </w:p>
    <w:p>
      <w:pPr>
        <w:pStyle w:val="TextBody"/>
        <w:spacing w:before="90" w:after="0"/>
        <w:jc w:val="both"/>
        <w:rPr/>
      </w:pPr>
      <w:r>
        <w:rPr/>
        <w:t xml:space="preserve">On January 5, 2013, the Company exchanged amounts due to related parties into convertible notes (the January 5, 2013 Notes) with no terms of repayment and no interest charges in the aggregate principal amount of $567,729. The related parties have the option to convert a portion or all of the outstanding balance of the January 5, 2013 Notes into shares of the Companys common stock at a conversion rate of $0.12 per share. </w:t>
      </w:r>
    </w:p>
    <w:p>
      <w:pPr>
        <w:pStyle w:val="TextBody"/>
        <w:spacing w:before="90" w:after="0"/>
        <w:jc w:val="both"/>
        <w:rPr/>
      </w:pPr>
      <w:r>
        <w:rPr/>
        <w:t>In July, 2013, one of the related parties assigned $115,000 of the convertible note to a third party with amendments to adjustment of conversion price ratified by the Company. As of September 30, 2013, $452,729 of the January 5, 2013 Notes is outstanding.</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February 27, 2013 Convertible Note</w:t>
      </w:r>
    </w:p>
    <w:p>
      <w:pPr>
        <w:pStyle w:val="TextBody"/>
        <w:spacing w:before="90" w:after="0"/>
        <w:jc w:val="both"/>
        <w:rPr/>
      </w:pPr>
      <w:r>
        <w:rPr/>
        <w:t xml:space="preserve">On February 27, 2013, the Company entered into a securities purchase agreement with an accredited investor to place a Convertible Note (the February 27, 2013 Note) with a maturity date of one year after the issuance thereof in the aggregate principal amount of $58,500. Consideration under the notes consisted of $46,000 in cash proceeds after $4,000 payment of finders fee and an original issue discount of $8,500. The note holder has the option to convert a portion or all of the outstanding balance including any accrued interest into shares of the Companys common stock at a conversion rate of $0.09 per share or 70% of the lowest traded price in the 25 trading days prior to conversion. </w:t>
      </w:r>
    </w:p>
    <w:p>
      <w:pPr>
        <w:pStyle w:val="TextBody"/>
        <w:spacing w:before="90" w:after="0"/>
        <w:jc w:val="both"/>
        <w:rPr/>
      </w:pPr>
      <w:r>
        <w:rPr/>
        <w:t>The February 27, 2013 Note carries no interest if the Company repays the note within 90 days from issuance. If the Company does not repay the note within 90 days, a one-time interest of 5% shall apply to the principal sum. The company did not repay the note within 90 days of issuance and a one-time interest of 5% was accrued in the current period.</w:t>
      </w:r>
    </w:p>
    <w:p>
      <w:pPr>
        <w:pStyle w:val="TextBody"/>
        <w:spacing w:before="90" w:after="0"/>
        <w:jc w:val="both"/>
        <w:rPr/>
      </w:pPr>
      <w:r>
        <w:rPr/>
        <w:t>The finders fee of $4,000 was accounted for as deferred financing costs, and is being amortized over the term of the note. At September 30, 2013, $1,644 of the $25,084 in deferred financing costs relates to the February 27, 2013 Note.</w:t>
      </w:r>
    </w:p>
    <w:p>
      <w:pPr>
        <w:pStyle w:val="TextBody"/>
        <w:spacing w:before="90" w:after="90"/>
        <w:jc w:val="both"/>
        <w:rPr/>
      </w:pPr>
      <w:r>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pStyle w:val="TextBody"/>
        <w:spacing w:before="90" w:after="90"/>
        <w:jc w:val="both"/>
        <w:rPr/>
      </w:pPr>
      <w:r>
        <w:rPr/>
        <w:t>For the nine months ended September 30, 2013, accretion of the debt discount of $32,692 was recorded for the February 27, 2013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April 2, 2013 Convertible Note</w:t>
      </w:r>
    </w:p>
    <w:p>
      <w:pPr>
        <w:pStyle w:val="TextBody"/>
        <w:spacing w:before="90" w:after="0"/>
        <w:jc w:val="both"/>
        <w:rPr/>
      </w:pPr>
      <w:r>
        <w:rPr/>
        <w:t>On April 2, 2013, the Company exchanged accounts payable into convertible notes (the April 2, 2013 Note) in the aggregate principal amount of $80,967. The note holder has the option to convert a portion or all of the outstanding balance of the April 2, 2013 Note into shares of the Companys common stock at a conversion rate of $0.07 per share.  The note will incur an interest rate of 8% per year unless the Company defaults under certain conditions, in which case, the note will incur an interest rate of 20% per year.</w:t>
      </w:r>
    </w:p>
    <w:p>
      <w:pPr>
        <w:pStyle w:val="TextBody"/>
        <w:spacing w:before="0" w:after="0"/>
        <w:ind w:left="0" w:right="0" w:hanging="0"/>
        <w:jc w:val="both"/>
        <w:rPr/>
      </w:pPr>
      <w:r>
        <w:rPr/>
        <w:t> </w:t>
      </w:r>
    </w:p>
    <w:p>
      <w:pPr>
        <w:pStyle w:val="TextBody"/>
        <w:spacing w:before="0" w:after="0"/>
        <w:ind w:left="0" w:right="0" w:hanging="0"/>
        <w:jc w:val="both"/>
        <w:rPr>
          <w:b/>
        </w:rPr>
      </w:pPr>
      <w:r>
        <w:rPr>
          <w:b/>
        </w:rPr>
        <w:t>April 18, 2013 Convertible Note</w:t>
      </w:r>
    </w:p>
    <w:p>
      <w:pPr>
        <w:pStyle w:val="TextBody"/>
        <w:spacing w:before="0" w:after="0"/>
        <w:ind w:left="0" w:right="0" w:hanging="0"/>
        <w:jc w:val="both"/>
        <w:rPr/>
      </w:pPr>
      <w:r>
        <w:rPr>
          <w:rStyle w:val="StrongEmphasis"/>
        </w:rPr>
        <w:t> </w:t>
      </w:r>
    </w:p>
    <w:p>
      <w:pPr>
        <w:pStyle w:val="TextBody"/>
        <w:spacing w:before="0" w:after="0"/>
        <w:ind w:left="0" w:right="0" w:hanging="0"/>
        <w:jc w:val="both"/>
        <w:rPr/>
      </w:pPr>
      <w:r>
        <w:rPr/>
        <w:t xml:space="preserve">On April 18, 2013, the Company entered into a securities purchase agreement with an accredited investor to place a Convertible Note (the April 18, 2013 Note) with a maturity date of eight months after the issuance thereof in the aggregate principal amount of $60,000. Consideration under the notes consisted of $50,000 in cash proceeds after $5,000 payment of transaction costs and an original issue discount of $5,000. The note holder has the option to convert a portion or all of the outstanding balance of the April 18, 2013 Note including any accrued interest into shares of the Companys common stock at a conversion rate of $0.12 per share or 70% of the average of the lowest closing bidding price in the 20 trading days prior to conversion. </w:t>
      </w:r>
    </w:p>
    <w:p>
      <w:pPr>
        <w:pStyle w:val="TextBody"/>
        <w:spacing w:before="90" w:after="0"/>
        <w:jc w:val="both"/>
        <w:rPr/>
      </w:pPr>
      <w:r>
        <w:rPr/>
        <w:t xml:space="preserve">The April 18, 2013 Note carries an interest rate of 8% per year unless the note is in default under certain conditions, in which case, the interest rate would be 18% per year. </w:t>
      </w:r>
    </w:p>
    <w:p>
      <w:pPr>
        <w:pStyle w:val="TextBody"/>
        <w:spacing w:before="90" w:after="90"/>
        <w:jc w:val="both"/>
        <w:rPr/>
      </w:pPr>
      <w:r>
        <w:rPr/>
        <w:t>The Company has allocated the net proceeds to the conversion option based on the calculated fair value. The fair value of the conversion option was recorded at $27,800 and recognized as a derivative liability and the debt was recorded at $27,200. The fair value of the conversion option was calculated using the Binomial option pricing model under the following assumptions: estimated life of eight months, risk free rate of 0.10%, dividend yield of 0% and volatility of 115.82%. The debt discount is being accreted over the eight month term of the April 18, 2013 Note using the effective interest rate method.</w:t>
      </w:r>
    </w:p>
    <w:p>
      <w:pPr>
        <w:pStyle w:val="TextBody"/>
        <w:spacing w:before="90" w:after="0"/>
        <w:jc w:val="both"/>
        <w:rPr/>
      </w:pPr>
      <w:r>
        <w:rPr/>
        <w:t>For the nine months ended September 30, 2013, accretion of the debt discount of $22,932 was recorded for the April 18, 2013 Note.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May 5, 2013 Convertible Note</w:t>
      </w:r>
    </w:p>
    <w:p>
      <w:pPr>
        <w:pStyle w:val="TextBody"/>
        <w:spacing w:before="90" w:after="0"/>
        <w:jc w:val="both"/>
        <w:rPr/>
      </w:pPr>
      <w:r>
        <w:rPr/>
        <w:t>On May 5, 2013, the Company exchanged accounts payable into convertible notes (the May 5, 2013 Note) in the aggregate principal amount of $45,000. The note holder has the option to convert a portion or all of the outstanding balance of the May 5, 2013 Note into shares of the Companys common stock at a conversion rate of $0.07 per share. The note will incur an interest rate of 8% per year unless the Company defaults under certain conditions, in which case, the note will incur an interest rate of 20% per year.</w:t>
      </w:r>
    </w:p>
    <w:p>
      <w:pPr>
        <w:pStyle w:val="TextBody"/>
        <w:spacing w:before="90" w:after="0"/>
        <w:jc w:val="both"/>
        <w:rPr>
          <w:b/>
        </w:rPr>
      </w:pPr>
      <w:r>
        <w:rPr>
          <w:b/>
        </w:rPr>
        <w:t>May 14, 2013 Convertible Note</w:t>
      </w:r>
    </w:p>
    <w:p>
      <w:pPr>
        <w:pStyle w:val="TextBody"/>
        <w:spacing w:before="90" w:after="0"/>
        <w:jc w:val="both"/>
        <w:rPr/>
      </w:pPr>
      <w:r>
        <w:rPr/>
        <w:t xml:space="preserve">On May 14, 2013, the Company entered into a securities purchase agreement with an accredited investor to place a Convertible Note (the May 14, 2013 Note) with a maturity date of one year after the issuance thereof in the aggregate principal amount of $126,000. The Company also issued 2,000,000 warrants to the note holder, exercisable at $0.06 per share with a four year term. Consideration under the notes consisted of $110,000 in cash proceeds after $5,000 payment of finders fee and an original issue discount of $11,000. The note holder has the option to convert a portion or all of the outstanding balance including any accrued interest into shares of the Companys common stock at a conversion rate of $0.072 per share or 70% of the average of the lowest closing bid prices in the 20 trading days prior to conversion. </w:t>
      </w:r>
    </w:p>
    <w:p>
      <w:pPr>
        <w:pStyle w:val="TextBody"/>
        <w:spacing w:before="90" w:after="0"/>
        <w:jc w:val="both"/>
        <w:rPr/>
      </w:pPr>
      <w:r>
        <w:rPr/>
        <w:t>The May 14, 2013 Note carries an interest rate of 8% per year unless the note is in default, in which case, the note will incur an interest rate of 18% per year.</w:t>
      </w:r>
    </w:p>
    <w:p>
      <w:pPr>
        <w:pStyle w:val="TextBody"/>
        <w:spacing w:before="90" w:after="0"/>
        <w:jc w:val="both"/>
        <w:rPr/>
      </w:pPr>
      <w:r>
        <w:rPr/>
        <w:t>The finders fee of $5,000 was accounted for as deferred financing costs, and is being amortized over the term of the note. At September 30, 2013 , $3,096 of the $25,084 in deferred financing costs relates to the May 14, 2013 Note.</w:t>
      </w:r>
    </w:p>
    <w:p>
      <w:pPr>
        <w:pStyle w:val="TextBody"/>
        <w:spacing w:before="90" w:after="90"/>
        <w:jc w:val="both"/>
        <w:rPr/>
      </w:pPr>
      <w:r>
        <w:rPr/>
        <w:t xml:space="preserve">The Company has allocated the net proceeds to the conversion option and warrants based on the calculated fair values. The fair value of the conversion option was recorded at $115,000 and fair value of the warrants was recorded as $96,000 recognized as a derivative liabilities and the debt was recorded at $nil. The transaction resulted in an accounting loss on debt financing of $96,000. The fair value of the conversion option was calculated using the Black Scholes option pricing model under the following assumptions: estimated life of one year, risk free rate of 0.15%, dividend yield of 0% and volatility of 149.87%. The debt discount is being accreted over the one year term of the May 14, 2013 Note using the effective interest rate method. </w:t>
      </w:r>
    </w:p>
    <w:p>
      <w:pPr>
        <w:pStyle w:val="TextBody"/>
        <w:spacing w:before="90" w:after="90"/>
        <w:jc w:val="both"/>
        <w:rPr/>
      </w:pPr>
      <w:r>
        <w:rPr/>
        <w:t>For the nine months ended September 30, 2013, accretion of the debt discount of $47,984 was recorded for the May 14, 2013 Note.</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F-29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b/>
        </w:rPr>
      </w:pPr>
      <w:r>
        <w:rPr>
          <w:b/>
        </w:rPr>
        <w:t>June 27, 2013 Convertible Note</w:t>
      </w:r>
    </w:p>
    <w:p>
      <w:pPr>
        <w:pStyle w:val="TextBody"/>
        <w:spacing w:before="90" w:after="0"/>
        <w:jc w:val="both"/>
        <w:rPr/>
      </w:pPr>
      <w:r>
        <w:rPr/>
        <w:t xml:space="preserve">On June 27, 2013, the Company entered into a securities purchase agreement with an accredited investor to place a Convertible Note (the June 27, 2013 Note) with a maturity date of one year after the issuance thereof in the aggregate principal amount of $37,620. Consideration under the notes consisted of $30,000 in cash proceeds after $3,000 payment of finders fee and an original issue discount of $4,620. The note holder has the option to convert a portion or all of the outstanding balance of the June 27, 2013 Note including any accrued interest into shares of the Companys common stock at a conversion rate of $0.09 per share or 70% of the lowest traded price in the 25 trading days prior to conversion. </w:t>
      </w:r>
    </w:p>
    <w:p>
      <w:pPr>
        <w:pStyle w:val="TextBody"/>
        <w:spacing w:before="90" w:after="0"/>
        <w:jc w:val="both"/>
        <w:rPr/>
      </w:pPr>
      <w:r>
        <w:rPr/>
        <w:t>The June 27, 2013 Note carries no interest if the Company repays the note within 90 days from issuance. If the Company does not repay the note within 90 days, a one-time interest of 5% shall apply to the principal sum. The company did not repay the note within 90 days of issuance and a one-time interest of 5% was accrued in the current period.</w:t>
      </w:r>
    </w:p>
    <w:p>
      <w:pPr>
        <w:pStyle w:val="TextBody"/>
        <w:spacing w:before="90" w:after="0"/>
        <w:jc w:val="both"/>
        <w:rPr/>
      </w:pPr>
      <w:r>
        <w:rPr/>
        <w:t>The finders fee of $3,000 was accounted for as deferred financing costs, and is being amortized over the term of the note. At September 30, 2013, $2,244 of the $25,084 in deferred financing costs relates to the June 27, 2013 Note which remains unamortized.</w:t>
      </w:r>
    </w:p>
    <w:p>
      <w:pPr>
        <w:pStyle w:val="TextBody"/>
        <w:spacing w:before="90" w:after="90"/>
        <w:jc w:val="both"/>
        <w:rPr/>
      </w:pPr>
      <w:r>
        <w:rPr/>
        <w:t>The Company has allocated the net proceeds to the conversion option based on the calculated fair value. The fair value of the conversion option was recorded at $30,200 and recognized as a derivative liability and the debt was recorded at $2,800. The fair value of the conversion option was calculated using the Binomial option pricing model under the following assumptions: estimated life of one year, risk free rate of 0.15%, dividend yield of 0% and volatility of 156.41%. The debt discount is being accreted over the one year term of the June 27, 2013 Note using the effective interest rate method.</w:t>
      </w:r>
    </w:p>
    <w:p>
      <w:pPr>
        <w:pStyle w:val="TextBody"/>
        <w:spacing w:before="90" w:after="90"/>
        <w:jc w:val="both"/>
        <w:rPr/>
      </w:pPr>
      <w:r>
        <w:rPr/>
        <w:t>For the nine months ended September 30, 2013, accretion of the debt discount of $9,349 was recorded for the June 27, 2013 Note.</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b/>
        </w:rPr>
      </w:pPr>
      <w:r>
        <w:rPr>
          <w:b/>
        </w:rPr>
        <w:t>June 19, 2013 Convertible Note</w:t>
      </w:r>
    </w:p>
    <w:p>
      <w:pPr>
        <w:pStyle w:val="TextBody"/>
        <w:spacing w:before="90" w:after="0"/>
        <w:jc w:val="both"/>
        <w:rPr/>
      </w:pPr>
      <w:r>
        <w:rPr/>
        <w:t xml:space="preserve">In June, 2013, one of the related parties assigned $115,000 of its convertible note to a third party with amendments ratified by the Company (the June 19, 2013 Note) with a maturity date of one year after the issuance thereof in the aggregate principal amount of $115,000. The note holder has the option to convert a portion or all of the outstanding balance of the June 19, 2013 Note including any accrued interest into shares of the Companys common stock at a conversion rate of $0.04 per share or 60% of the lowest traded price in the 20 trading days prior to conversion. </w:t>
      </w:r>
    </w:p>
    <w:p>
      <w:pPr>
        <w:pStyle w:val="TextBody"/>
        <w:spacing w:before="90" w:after="0"/>
        <w:jc w:val="both"/>
        <w:rPr/>
      </w:pPr>
      <w:r>
        <w:rPr/>
        <w:t xml:space="preserve">The June 19, 2013 Note carries an interest rate of 10% per year unless the note is in default under certain conditions, in which case, the interest rate would be 20% per year. </w:t>
      </w:r>
    </w:p>
    <w:p>
      <w:pPr>
        <w:pStyle w:val="TextBody"/>
        <w:spacing w:before="90" w:after="90"/>
        <w:jc w:val="both"/>
        <w:rPr/>
      </w:pPr>
      <w:r>
        <w:rPr/>
        <w:t>The Company has allocated the net proceeds to the conversion option based on the calculated fair value. The fair value of the conversion option was recorded at $31,600 and recognized as a derivative liability and the debt was recorded at $83,400. The fair value of the conversion option was calculated using the Binomial option pricing model under the following assumptions: estimated life of one year, risk free rate of 0.15%, dividend yield of 0% and volatility of 156.46%. The debt discount is being accreted over the one year term of the June 19, 2013 Note using the effective interest rate method.</w:t>
      </w:r>
    </w:p>
    <w:p>
      <w:pPr>
        <w:pStyle w:val="TextBody"/>
        <w:spacing w:before="90" w:after="90"/>
        <w:jc w:val="both"/>
        <w:rPr/>
      </w:pPr>
      <w:r>
        <w:rPr/>
        <w:t xml:space="preserve">During the nine months ended September 30, 2013, the third party converted the principal amount of $83,000 and accrued interest of the June 19, 2013 Note into 10,818,783 common shares (Note 9). </w:t>
      </w:r>
    </w:p>
    <w:p>
      <w:pPr>
        <w:pStyle w:val="TextBody"/>
        <w:spacing w:before="90" w:after="90"/>
        <w:jc w:val="both"/>
        <w:rPr/>
      </w:pPr>
      <w:r>
        <w:rPr/>
        <w:t>For the nine months ended September 30, 2013, accretion of the debt discount of $8,778 was recorded for the June 19, 2013 Note.</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rPr>
      </w:pPr>
      <w:r>
        <w:rPr>
          <w:b/>
        </w:rPr>
        <w:t>July 12, 2013 Convertible Note</w:t>
      </w:r>
    </w:p>
    <w:p>
      <w:pPr>
        <w:pStyle w:val="TextBody"/>
        <w:spacing w:before="90" w:after="0"/>
        <w:jc w:val="both"/>
        <w:rPr/>
      </w:pPr>
      <w:r>
        <w:rPr/>
        <w:t xml:space="preserve">In July, 2013, the Company entered into a securities purchase agreement with an accredited investor to place a Convertible Note (the July 12, 2013 Note) with a maturity date of one year after the issuance thereof in the aggregate principal amount of $125,000. The Company also issued 4,166,667 warrants to the note holder, exercisable at $0.03 per share with a five year term. Consideration under the notes consisted of $110,000 in cash proceeds after $15,000 payment of finders fee and an original issue discount of $11,000. The note holder has the option to convert a portion or all of the outstanding balance of the July 12, 2013 Note including any accrued interest into shares of the Companys common stock at a conversion rate of $0.03 per share or 70% of the average of the lowest closing bid prices in the 20 trading days prior to conversion. </w:t>
      </w:r>
    </w:p>
    <w:p>
      <w:pPr>
        <w:pStyle w:val="TextBody"/>
        <w:spacing w:before="90" w:after="0"/>
        <w:jc w:val="both"/>
        <w:rPr/>
      </w:pPr>
      <w:r>
        <w:rPr/>
        <w:t>The July 12, 2013 Note carries an interest rate of 8% per year unless the note is in default, in which case, the note will incur an interest rate of 18% per year.</w:t>
      </w:r>
    </w:p>
    <w:p>
      <w:pPr>
        <w:pStyle w:val="TextBody"/>
        <w:spacing w:before="90" w:after="0"/>
        <w:jc w:val="both"/>
        <w:rPr/>
      </w:pPr>
      <w:r>
        <w:rPr/>
        <w:t>The finders fee of $15,000 was accounted for as deferred financing costs, and is being amortized over the term of the note. At September 30, 2013 , $11,712 of the $25,084 in deferred financing costs relates to the July 12, 2013 Note which remains unamortized, and is presented in current assets on the Companys Balance Sheet.</w:t>
      </w:r>
    </w:p>
    <w:p>
      <w:pPr>
        <w:pStyle w:val="TextBody"/>
        <w:spacing w:before="90" w:after="90"/>
        <w:jc w:val="both"/>
        <w:rPr/>
      </w:pPr>
      <w:r>
        <w:rPr/>
        <w:t xml:space="preserve">The Company has allocated the net proceeds to the conversion option and warrants based on the calculated fair values. The fair value of the conversion option was recorded at $114,000 and fair value of the warrants was recorded as $104,000 recognized as a derivative liabilities and the debt was recorded at $nil. The transaction resulted in an accounting loss on debt financing of $104,000. The fair value of the conversion option was calculated using the Binomial option pricing model under the following assumptions: estimated life of one year, risk free rate of 0.15%, dividend yield of 0% and volatility of 161.97%. The debt discount is being accreted over the one year term of the July 12, 2013 Note using the effective interest rate method. </w:t>
      </w:r>
    </w:p>
    <w:p>
      <w:pPr>
        <w:pStyle w:val="TextBody"/>
        <w:spacing w:before="90" w:after="90"/>
        <w:jc w:val="both"/>
        <w:rPr/>
      </w:pPr>
      <w:r>
        <w:rPr/>
        <w:t xml:space="preserve">During the nine months ended September 30, 2013, the investor converted the principal amount and accrued interest of $28,200 of the July 12, 2013 Note into 5,000,000 common shares (Note 9). </w:t>
      </w:r>
    </w:p>
    <w:p>
      <w:pPr>
        <w:pStyle w:val="TextBody"/>
        <w:spacing w:before="90" w:after="90"/>
        <w:jc w:val="both"/>
        <w:rPr/>
      </w:pPr>
      <w:r>
        <w:rPr/>
        <w:t>For the nine months ended September 30, 2013, accretion of the debt discount of $26,929 was recorded for the July 12, 2013 Note.</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LOANS PAYABLE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638175"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6:</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6:</w:t>
                      </w:r>
                    </w:p>
                  </w:txbxContent>
                </v:textbox>
                <w10:wrap type="square" side="right"/>
              </v:rect>
            </w:pict>
          </mc:Fallback>
        </mc:AlternateContent>
      </w:r>
    </w:p>
    <w:p>
      <w:pPr>
        <w:pStyle w:val="TextBody"/>
        <w:spacing w:before="90" w:after="0"/>
        <w:jc w:val="both"/>
        <w:rPr/>
      </w:pPr>
      <w:r>
        <w:rPr/>
        <w:t>As at September 30, 2013, there were unsecured loan advances from third parties in the amount of $10,000 (December 31, 2012 - $10,000), which is due on demand. The loan is accruing interest of 10% per annum.</w:t>
      </w:r>
    </w:p>
    <w:p>
      <w:pPr>
        <w:pStyle w:val="TextBody"/>
        <w:spacing w:before="0" w:after="0"/>
        <w:ind w:left="0" w:right="0" w:hanging="30"/>
        <w:jc w:val="both"/>
        <w:rPr>
          <w:b/>
          <w:u w:val="single"/>
        </w:rPr>
      </w:pPr>
      <w:r>
        <w:rPr>
          <w:b/>
          <w:u w:val="single"/>
        </w:rPr>
        <w:t>PROMISSORY NOTES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638175"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7:</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7:</w:t>
                      </w:r>
                    </w:p>
                  </w:txbxContent>
                </v:textbox>
                <w10:wrap type="square" side="right"/>
              </v:rect>
            </w:pict>
          </mc:Fallback>
        </mc:AlternateContent>
      </w:r>
    </w:p>
    <w:p>
      <w:pPr>
        <w:pStyle w:val="TextBody"/>
        <w:spacing w:before="90" w:after="90"/>
        <w:jc w:val="both"/>
        <w:rPr/>
      </w:pPr>
      <w:r>
        <w:rPr/>
        <w:t xml:space="preserve">During the year ended December 31, 2011, the Company issued a note in the amount of $100,000 towards future legal services, which matured July 24, 2011. As of December 31, 2012, the Company had received legal services in the amount of $100,000 against the note. The note bears interest at 10% per annum and may be converted into shares at equal to lower of $0.09 or 65% of the arithmetic average of the lowest closing bid prices of the Companys shares during the consecutive twenty day trading period prior to notice of conversion. </w:t>
      </w:r>
    </w:p>
    <w:p>
      <w:pPr>
        <w:pStyle w:val="TextBody"/>
        <w:spacing w:before="90" w:after="90"/>
        <w:jc w:val="both"/>
        <w:rPr/>
      </w:pPr>
      <w:r>
        <w:rPr/>
        <w:t>During the year ended December 31, 2012, the Company issued 500,000 shares to the holder of the note in exchange for the note holders agreement to forbear from pursuing collections actions on the outstanding note (Note 9) and converted the promissory note into three convertible notes (Note 5).</w:t>
      </w:r>
    </w:p>
    <w:p>
      <w:pPr>
        <w:pStyle w:val="TextBody"/>
        <w:spacing w:before="90" w:after="90"/>
        <w:jc w:val="both"/>
        <w:rPr/>
      </w:pPr>
      <w:r>
        <w:rPr/>
        <w:t>During the year ended December 31, 2012, the Company issued additional promissory notes in the amount of $67,942, of which $38,000 of promissory notes were issued to an officer and a director of the Company (Note 8). The promissory notes had no interest charges and no fixed repayment terms.</w:t>
      </w:r>
    </w:p>
    <w:p>
      <w:pPr>
        <w:pStyle w:val="TextBody"/>
        <w:spacing w:before="90" w:after="90"/>
        <w:jc w:val="both"/>
        <w:rPr/>
      </w:pPr>
      <w:r>
        <w:rPr/>
        <w:t>During the nine months ended September 30, 2013, the Company converted $210,000 of accounts payable into a promissory note, payable on a preset schedule of payments starting in April 2013. Any of the late payments will incur interest at the rate of 9% per year. The Company had not made any payments and was in default of the payment schedule. The payments in default are accruing interest of 9% per year.</w:t>
      </w:r>
    </w:p>
    <w:p>
      <w:pPr>
        <w:pStyle w:val="TextBody"/>
        <w:spacing w:before="90" w:after="9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RELATED PARTY TRANSACTIONS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638175"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8:</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8:</w:t>
                      </w:r>
                    </w:p>
                  </w:txbxContent>
                </v:textbox>
                <w10:wrap type="square" side="right"/>
              </v:rect>
            </w:pict>
          </mc:Fallback>
        </mc:AlternateContent>
      </w:r>
    </w:p>
    <w:p>
      <w:pPr>
        <w:pStyle w:val="TextBody"/>
        <w:spacing w:before="90" w:after="0"/>
        <w:jc w:val="both"/>
        <w:rPr/>
      </w:pPr>
      <w:r>
        <w:rPr/>
        <w:t>During the nine months ended September 30, 2013, the Company entered into transactions with certain officers and directors of the Company as follows:</w:t>
      </w:r>
    </w:p>
    <w:p>
      <w:pPr>
        <w:pStyle w:val="TextBody"/>
        <w:pBdr/>
        <w:spacing w:before="0" w:after="0"/>
        <w:ind w:left="0" w:right="0" w:hanging="30"/>
        <w:jc w:val="both"/>
        <w:rPr/>
      </w:pPr>
      <w:r>
        <w:rPr/>
        <w:t>incurred $288,000 (September 30, 2012 - $173,500) in management fees and $99,000 (September 30, 2012 - $67,500) in research and development services paid to officers and directors during the period;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685800" cy="175260"/>
                <wp:effectExtent l="0" t="0" r="0" b="0"/>
                <wp:wrapSquare wrapText="largest"/>
                <wp:docPr id="10" name="Frame10"/>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(a)</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(a)</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pPr>
      <w:r>
        <w:rPr/>
        <w:t>recorded $40,238 (September 30, 2012 - $31,333) in stock based compensation for the fair value of options granted to management that were granted and or vested during the period;</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685800" cy="175260"/>
                <wp:effectExtent l="0" t="0" r="0" b="0"/>
                <wp:wrapSquare wrapText="largest"/>
                <wp:docPr id="11" name="Frame11"/>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(b)</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(b)</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pPr>
      <w:r>
        <w:rPr/>
        <w:t xml:space="preserve">converted $83,000 (September  30, 2012 - $50,000) of debt due to related parties during the period, which were settled with shares;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685800" cy="175260"/>
                <wp:effectExtent l="0" t="0" r="0" b="0"/>
                <wp:wrapSquare wrapText="largest"/>
                <wp:docPr id="12" name="Frame12"/>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(c)</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pPr>
      <w:r>
        <w:rPr/>
        <w:t>issued $nil (September 30, 2012 - $38,000) in promissory notes to an officer and director of the Company (Note 5).</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6858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(d)</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w:t>
                      </w:r>
                    </w:p>
                  </w:txbxContent>
                </v:textbox>
                <w10:wrap type="square" side="right"/>
              </v:rect>
            </w:pict>
          </mc:Fallback>
        </mc:AlternateContent>
      </w:r>
    </w:p>
    <w:p>
      <w:pPr>
        <w:pStyle w:val="TextBody"/>
        <w:spacing w:before="0" w:after="0"/>
        <w:ind w:left="0" w:right="0" w:hanging="0"/>
        <w:jc w:val="both"/>
        <w:rPr/>
      </w:pPr>
      <w:r>
        <w:rPr/>
      </w:r>
    </w:p>
    <w:p>
      <w:pPr>
        <w:pStyle w:val="TextBody"/>
        <w:pBdr/>
        <w:spacing w:before="0" w:after="0"/>
        <w:ind w:left="0" w:right="0" w:hanging="30"/>
        <w:jc w:val="both"/>
        <w:rPr/>
      </w:pPr>
      <w:r>
        <w:rPr/>
        <w:t>converted $567,729 (September  30, 2012 - $nil) of payable into convertible notes to officers, consultant and a director of the Company (Note 5).</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685800" cy="175260"/>
                <wp:effectExtent l="0" t="0" r="0" b="0"/>
                <wp:wrapSquare wrapText="largest"/>
                <wp:docPr id="14" name="Frame14"/>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pPr>
                            <w:r>
                              <w:rPr/>
                              <w:t>(e)</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(e)</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pStyle w:val="TextBody"/>
        <w:spacing w:before="90" w:after="0"/>
        <w:jc w:val="both"/>
        <w:rPr/>
      </w:pPr>
      <w:r>
        <w:rPr/>
        <w:t>At September 30, 2013, the Company had amounts owing to directors, consultants and officers of $381,846 (December 31, 2012 - $293,805). Amounts due to related parties are unsecured, non-interest bearing and have no specific terms of repayment.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CAPITAL STOCK</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638175" cy="175260"/>
                <wp:effectExtent l="0" t="0" r="0" b="0"/>
                <wp:wrapSquare wrapText="largest"/>
                <wp:docPr id="15" name="Frame15"/>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NOTE 9:</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9:</w:t>
                      </w:r>
                    </w:p>
                  </w:txbxContent>
                </v:textbox>
                <w10:wrap type="square" side="right"/>
              </v:rect>
            </w:pict>
          </mc:Fallback>
        </mc:AlternateContent>
      </w:r>
    </w:p>
    <w:p>
      <w:pPr>
        <w:pStyle w:val="TextBody"/>
        <w:spacing w:before="90" w:after="0"/>
        <w:jc w:val="both"/>
        <w:rPr>
          <w:b/>
          <w:i/>
        </w:rPr>
      </w:pPr>
      <w:r>
        <w:rPr>
          <w:b/>
          <w:i/>
        </w:rPr>
        <w:t>Share Capital</w:t>
      </w:r>
    </w:p>
    <w:p>
      <w:pPr>
        <w:pStyle w:val="TextBody"/>
        <w:spacing w:before="90" w:after="0"/>
        <w:jc w:val="both"/>
        <w:rPr/>
      </w:pPr>
      <w:r>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pStyle w:val="TextBody"/>
        <w:spacing w:before="90" w:after="0"/>
        <w:jc w:val="both"/>
        <w:rPr/>
      </w:pPr>
      <w:r>
        <w:rPr/>
        <w:t>All prior period share transactions included in the Companys stock transactions and balances have been retroactively restated for the transactions described above.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2013 Share Transactions</w:t>
      </w:r>
    </w:p>
    <w:p>
      <w:pPr>
        <w:pStyle w:val="TextBody"/>
        <w:spacing w:before="90" w:after="0"/>
        <w:jc w:val="both"/>
        <w:rPr/>
      </w:pPr>
      <w:r>
        <w:rPr/>
        <w:t>In January 2013, the Company issued 231,332 shares of its common stock for conversion of one of the two November 1, 2012 Notes (Note 5) at a conversion price of $.0662 per share. The fair value of the shares was determined to be $36,550 based on the quoted market price of $0.158 per share. The Company recorded $21,230 as loss on settlement of debt.</w:t>
      </w:r>
    </w:p>
    <w:p>
      <w:pPr>
        <w:pStyle w:val="TextBody"/>
        <w:spacing w:before="90" w:after="0"/>
        <w:jc w:val="both"/>
        <w:rPr/>
      </w:pPr>
      <w:r>
        <w:rPr/>
        <w:t>In February 2013, the Company issued 250,000 common shares to a consultant pursuant to a consulting agreement. The fair value of the shares was determined to be $28,925 based on the quoted market price of $0.116 per share.</w:t>
      </w:r>
    </w:p>
    <w:p>
      <w:pPr>
        <w:pStyle w:val="TextBody"/>
        <w:spacing w:before="90" w:after="0"/>
        <w:jc w:val="both"/>
        <w:rPr/>
      </w:pPr>
      <w:r>
        <w:rPr/>
        <w:t xml:space="preserve">In February 2013, the Company issued 1,898,588 common shares on a cashless conversion of 3,000,000 warrants at an exercise price of $0.0572. The fair value of the shares was determined to be $246,816 based on the quoted market price of $0.13 per share. </w:t>
      </w:r>
    </w:p>
    <w:p>
      <w:pPr>
        <w:pStyle w:val="TextBody"/>
        <w:spacing w:before="90" w:after="0"/>
        <w:jc w:val="both"/>
        <w:rPr/>
      </w:pPr>
      <w:r>
        <w:rPr/>
        <w:t>In March 2013, the Company issued 100,000 common shares to a consultant pursuant to a consulting agreement. The fair value of the shares was determined to be $10,010 based on the quoted market price of $0.1001 per share.</w:t>
      </w:r>
    </w:p>
    <w:p>
      <w:pPr>
        <w:pStyle w:val="TextBody"/>
        <w:spacing w:before="90" w:after="0"/>
        <w:jc w:val="both"/>
        <w:rPr/>
      </w:pPr>
      <w:r>
        <w:rPr/>
        <w:t xml:space="preserve">In February and March 2013, the Company received subscription proceeds of $242,950. The subscribers purchased 3,470,709 share units at $0.07 per unit. Each unit consists of one share of Companys common stock and one warrant exercisable at $0.07, which expires in two years. The fair value of these warrants was determined to be $245,000. </w:t>
      </w:r>
    </w:p>
    <w:p>
      <w:pPr>
        <w:pStyle w:val="TextBody"/>
        <w:spacing w:before="90" w:after="0"/>
        <w:jc w:val="both"/>
        <w:rPr/>
      </w:pPr>
      <w:r>
        <w:rPr/>
        <w:t>During the nine month period ended September 30, 2013, the Company issued 3,176,334 shares of its common stock for conversion of December 14, 2012 Note (Note 5) at a conversion price of $.0603 per share. The fair value of the shares was determined to be $404,849 based on the average quoted market price of $0.1245 per share. The Company recorded $213,316 as loss on settlement of debt.</w:t>
      </w:r>
    </w:p>
    <w:p>
      <w:pPr>
        <w:pStyle w:val="TextBody"/>
        <w:spacing w:before="90" w:after="0"/>
        <w:jc w:val="both"/>
        <w:rPr/>
      </w:pPr>
      <w:r>
        <w:rPr/>
        <w:t>During the nine month period ended September 30, 2013, the Company issued 1,944,444 shares of its common stock for partial conversion of September 18, 2012 Note (Note 5) at an average conversion price of $.036 per share. The fair value of the shares was determined to be $166,667 based on the average quoted market price of $0.0857 per share. The Company recorded $96,667 as loss on settlement of debt.</w:t>
      </w:r>
    </w:p>
    <w:p>
      <w:pPr>
        <w:pStyle w:val="TextBody"/>
        <w:spacing w:before="90" w:after="0"/>
        <w:jc w:val="both"/>
        <w:rPr/>
      </w:pPr>
      <w:r>
        <w:rPr/>
        <w:t>During the nine month period ended September 30, 2013, the Company issued 1,050,000 shares of its common stock for partial conversion of August 8, 2012 Note (Note 5) at an average conversion price of $.0681 per share. The fair value of the shares was determined to be $110,700 based on the average quoted market price of $0.1063 per share. The Company recorded $39,160 as loss on settlement of debt.</w:t>
      </w:r>
    </w:p>
    <w:p>
      <w:pPr>
        <w:pStyle w:val="TextBody"/>
        <w:spacing w:before="90" w:after="0"/>
        <w:jc w:val="both"/>
        <w:rPr/>
      </w:pPr>
      <w:r>
        <w:rPr/>
        <w:t>In April 2013, the Company issued 281,490 shares of its common stock for conversion of the balance of the November 1, 2012 Notes (Note 5) at a conversion price of $.0607 per share. The fair value of the shares was determined to be $28,490 based on the quoted market price of $0.108 per share. The Company recorded $11,059 as loss on settlement of debt.</w:t>
      </w:r>
    </w:p>
    <w:p>
      <w:pPr>
        <w:pStyle w:val="TextBody"/>
        <w:spacing w:before="90" w:after="0"/>
        <w:jc w:val="both"/>
        <w:rPr/>
      </w:pPr>
      <w:r>
        <w:rPr/>
        <w:t>During the nine month period ended September 30, 2013, the Company issued 18,464,921 shares of its common stock for settlement of accounts payable in the amount of $510,572. The fair value of the shares was determined to be $1,101,527 based on the average quoted market price of $0.0597 per share. The Company recorded $585,955 as loss on settlement of debt.</w:t>
      </w:r>
    </w:p>
    <w:p>
      <w:pPr>
        <w:pStyle w:val="TextBody"/>
        <w:spacing w:before="90" w:after="0"/>
        <w:jc w:val="both"/>
        <w:rPr/>
      </w:pPr>
      <w:r>
        <w:rPr/>
        <w:t>During the nine month period ended September 30, 2013, the Company issued 250,000 shares of its restricted common stock under a settlement agreement with a former director of the Company. The fair value of the shares was determined to be $8,175 based on the average quoted market price of $0.0327 per share. The Company recorded $8,175 as stock-based management fee.</w:t>
      </w:r>
    </w:p>
    <w:p>
      <w:pPr>
        <w:pStyle w:val="TextBody"/>
        <w:spacing w:before="90" w:after="0"/>
        <w:jc w:val="both"/>
        <w:rPr/>
      </w:pPr>
      <w:r>
        <w:rPr/>
        <w:t>During the nine month period ended September 30, 2013, the Company issued 5,368,956 shares of its common stock for conversion of October 9, 2012 Convertible Notes (Note 5). The fair value of the shares was determined to be $248,278 based on the average quoted market price of $0.0462 per share. The Company recorded $135,527 as loss on settlement of debt.</w:t>
      </w:r>
    </w:p>
    <w:p>
      <w:pPr>
        <w:pStyle w:val="TextBody"/>
        <w:spacing w:before="90" w:after="0"/>
        <w:jc w:val="both"/>
        <w:rPr/>
      </w:pPr>
      <w:r>
        <w:rPr/>
        <w:t>During the nine month period ended September 30, 2013, the Company issued 3,000,000 shares of its common stock for conversion of the balances of the August 8, 2012 Note and November 20, 2013 Note (Note 5) at an average conversion price of $.021 per share. The fair value of the shares was determined to be $137,200 based on the average quoted market price of $0.0457 per share. The Company recorded $74,200 as loss on settlement of debt.</w:t>
      </w:r>
    </w:p>
    <w:p>
      <w:pPr>
        <w:pStyle w:val="TextBody"/>
        <w:spacing w:before="90" w:after="0"/>
        <w:jc w:val="both"/>
        <w:rPr/>
      </w:pPr>
      <w:r>
        <w:rPr/>
        <w:t>Between July and September 30, 2013, the Company issued 10,818,783 shares of its common stock for conversion of June 19, 2013 Convertible Note (Note 5). The fair value of the shares was determined to be $181,606 based on the average quoted market price of $0.0168 per share. The Company recorded $79,078 as loss on settlement of debt.</w:t>
      </w:r>
    </w:p>
    <w:p>
      <w:pPr>
        <w:pStyle w:val="TextBody"/>
        <w:spacing w:before="90" w:after="0"/>
        <w:jc w:val="both"/>
        <w:rPr/>
      </w:pPr>
      <w:r>
        <w:rPr/>
        <w:t>In August, 2013, the Company issued 5,000,000 shares of its common stock for conversion of July 12, 2013 Convertible Note (Note 5). The fair value of the shares was determined to be $52,500 based on the quoted market price of $0.0105 per share. The Company recorded $24,300 as loss on settlement of debt.</w:t>
      </w:r>
    </w:p>
    <w:p>
      <w:pPr>
        <w:pStyle w:val="TextBody"/>
        <w:spacing w:before="90" w:after="0"/>
        <w:jc w:val="both"/>
        <w:rPr/>
      </w:pPr>
      <w:r>
        <w:rPr/>
        <w:t>In August and September 2013, the Company issued 3,600,000 shares and is obligated to issue additional 2,047,238 shares of its common stock for conversion of November 20, 2012 Convertible Note (Note 5). The fair value of the shares was determined to be $52,960 based on the average quoted market price of $0.0147 per share. The Company recorded $22,748 as loss on settlement of debt.</w:t>
      </w:r>
    </w:p>
    <w:p>
      <w:pPr>
        <w:pStyle w:val="TextBody"/>
        <w:spacing w:before="90" w:after="0"/>
        <w:jc w:val="both"/>
        <w:rPr/>
      </w:pPr>
      <w:r>
        <w:rPr/>
        <w:t>In September, 2013, the Company issued 1,000,000 shares of its common stock for partial conversion of September 18, 2012 Note (Note 5) at an average conversion price of $.005 per share. The fair value of the shares was determined to be $10,500 based on the quoted market price of $0.0105 per share. The Company recorded $5,500 as loss on settlement of debt.</w:t>
      </w:r>
    </w:p>
    <w:p>
      <w:pPr>
        <w:pStyle w:val="TextBody"/>
        <w:spacing w:before="90" w:after="0"/>
        <w:jc w:val="both"/>
        <w:rPr/>
      </w:pPr>
      <w:r>
        <w:rPr/>
        <w:t>In August and September 2013, the Company issued 8,000,000 shares of its common stock as part of the settlement agreement of February 8, 2013. The fair value of the shares was determined to be $110,100 based on the average quoted market price of $0.0138 per share. The Company recorded $110,100 as loss on settlement of debt.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2012 Share Transactions</w:t>
      </w:r>
    </w:p>
    <w:p>
      <w:pPr>
        <w:pStyle w:val="TextBody"/>
        <w:spacing w:before="90" w:after="0"/>
        <w:jc w:val="both"/>
        <w:rPr/>
      </w:pPr>
      <w:r>
        <w:rPr/>
        <w:t xml:space="preserve">On March 15, 2012, the Company issued 333,334 shares of its restricted common stock to related parties, pursuant to debt settlement agreements to settle $50,000 of outstanding trade payable. At the time of issuance the fair value of the shares was determined to be $50,000 based on the quoted market price of $0.15 per share. </w:t>
      </w:r>
    </w:p>
    <w:p>
      <w:pPr>
        <w:pStyle w:val="TextBody"/>
        <w:spacing w:before="90" w:after="0"/>
        <w:jc w:val="both"/>
        <w:rPr/>
      </w:pPr>
      <w:r>
        <w:rPr/>
        <w:t>On March 15, 2012, the Company issued 400,000 shares of its restricted common stock pursuant to a debt settlement and a consulting agreement. At the time of issuance the fair value of the shares was determined to be $71,200 based on the quoted market price of $0.15 per share. The Company recorded $9,930 as gain on settlement of debt.</w:t>
      </w:r>
    </w:p>
    <w:p>
      <w:pPr>
        <w:pStyle w:val="TextBody"/>
        <w:spacing w:before="90" w:after="0"/>
        <w:jc w:val="both"/>
        <w:rPr/>
      </w:pPr>
      <w:r>
        <w:rPr/>
        <w:t>On March 15, 2012, the Company issued 789,778 shares of its restricted common stock in settlement of accrued interest on the outstanding 2011 Notes. At the time of issuance the fair value of the shares was determined to be $118,467 based on the quoted market price of $0.15 per share. No gain or loss was recorded on settlement.</w:t>
      </w:r>
    </w:p>
    <w:p>
      <w:pPr>
        <w:pStyle w:val="TextBody"/>
        <w:spacing w:before="90" w:after="0"/>
        <w:jc w:val="both"/>
        <w:rPr/>
      </w:pPr>
      <w:r>
        <w:rPr/>
        <w:t xml:space="preserve">In March 2012, the Company received subscription proceeds of $85,000. The subscribers purchased 733,334 share units at $0.15 per unit. Each unit consists of 1 share of Companys common stock and half a warrant exercisable at $0.40, which expires in two years. The fair value of these warrants was determined to be $5,133. </w:t>
      </w:r>
    </w:p>
    <w:p>
      <w:pPr>
        <w:pStyle w:val="TextBody"/>
        <w:spacing w:before="90" w:after="0"/>
        <w:jc w:val="both"/>
        <w:rPr/>
      </w:pPr>
      <w:r>
        <w:rPr/>
        <w:t xml:space="preserve">In April 2012, the Company received subscription proceeds of $345,000. The subscribers purchased 2,300,000 share units at $0.15 per unit. Each unit consists of 1 share of Companys common stock and half a warrant exercisable at $0.40, which expires in two years. The fair value of these warrants was determined to be $123,000. </w:t>
      </w:r>
    </w:p>
    <w:p>
      <w:pPr>
        <w:pStyle w:val="TextBody"/>
        <w:spacing w:before="90" w:after="0"/>
        <w:jc w:val="both"/>
        <w:rPr/>
      </w:pPr>
      <w:r>
        <w:rPr/>
        <w:t xml:space="preserve">In April, 2012, the Company issued 100,000 shares of its restricted common stock pursuant to a debt settlement and a consulting agreement. At the time of issuance the fair value of the shares was determined to be $18,500 based on the quoted market price of $0.185 per share. The Company recorded $18,758 as gain on settlement. </w:t>
      </w:r>
    </w:p>
    <w:p>
      <w:pPr>
        <w:pStyle w:val="TextBody"/>
        <w:spacing w:before="90" w:after="0"/>
        <w:jc w:val="both"/>
        <w:rPr/>
      </w:pPr>
      <w:r>
        <w:rPr/>
        <w:t>In April 2012, the Company issued 933,333 restricted common shares, at $0.15 per share, for proceeds of $140,000 received in October 2011, in a private placement.</w:t>
      </w:r>
    </w:p>
    <w:p>
      <w:pPr>
        <w:pStyle w:val="TextBody"/>
        <w:spacing w:before="90" w:after="0"/>
        <w:jc w:val="both"/>
        <w:rPr/>
      </w:pPr>
      <w:r>
        <w:rPr/>
        <w:t>In April 2012, the Company issued 1,000,000 common shares to a consultant pursuant to a consulting agreement effective October 1, 2011.</w:t>
      </w:r>
    </w:p>
    <w:p>
      <w:pPr>
        <w:pStyle w:val="TextBody"/>
        <w:spacing w:before="90" w:after="0"/>
        <w:jc w:val="both"/>
        <w:rPr/>
      </w:pPr>
      <w:r>
        <w:rPr/>
        <w:t>In April, 2012, the Company issued 163,334 shares of its restricted common stock in settlement of accrued interest on the outstanding 2011 Notes. At the time of issuance the fair value of the shares was determined to be $24,500 based on the quoted market price of $0.15 per share. No gain or loss was recorded on settlement.</w:t>
      </w:r>
    </w:p>
    <w:p>
      <w:pPr>
        <w:pStyle w:val="TextBody"/>
        <w:spacing w:before="90" w:after="0"/>
        <w:jc w:val="both"/>
        <w:rPr/>
      </w:pPr>
      <w:r>
        <w:rPr/>
        <w:t>In May 2012, the Company issued 14,000,000 common shares to consultants pursuant to a consulting agreement (Note 12). At the time of issuance the fair value of the shares was determined to be $1,918,000 based on the quoted market price of $0.137 per share.</w:t>
      </w:r>
    </w:p>
    <w:p>
      <w:pPr>
        <w:pStyle w:val="TextBody"/>
        <w:spacing w:before="90" w:after="0"/>
        <w:jc w:val="both"/>
        <w:rPr/>
      </w:pPr>
      <w:r>
        <w:rPr/>
        <w:t>In June 2012, the Company issued 35,179 shares of its restricted common stock pursuant to a consulting agreement. The fair value of the shares was determined to be $6,000 based on the quoted market price of $0.17 per share.</w:t>
      </w:r>
    </w:p>
    <w:p>
      <w:pPr>
        <w:pStyle w:val="TextBody"/>
        <w:spacing w:before="90" w:after="0"/>
        <w:jc w:val="both"/>
        <w:rPr/>
      </w:pPr>
      <w:r>
        <w:rPr/>
        <w:t>In August 2012, the Company issued 500,000 shares of its restricted common stock pursuant to a consulting agreement. The fair value of the shares was determined to be $74,000 based on the quoted market price of $0.148 per share.</w:t>
      </w:r>
    </w:p>
    <w:p>
      <w:pPr>
        <w:pStyle w:val="TextBody"/>
        <w:spacing w:before="90" w:after="0"/>
        <w:jc w:val="both"/>
        <w:rPr/>
      </w:pPr>
      <w:r>
        <w:rPr/>
        <w:t>In September 2012, the Company issued 500,000 shares of its restricted common stock to the holder of a promissory note in exchange for the note holders agreement to forebear from pursuing collection action on that note (Note 7). The fair value of the shares was determined to be $72,750 based on the quoted market price of $0.146 per share.</w:t>
      </w:r>
    </w:p>
    <w:p>
      <w:pPr>
        <w:pStyle w:val="TextBody"/>
        <w:spacing w:before="90" w:after="0"/>
        <w:jc w:val="both"/>
        <w:rPr/>
      </w:pPr>
      <w:r>
        <w:rPr/>
        <w:t>In November 2012, the Company issued 437,063 shares of its common stock on election by the holder to convert part of a convertible debt (Note 5) at a conversion price of $.0572 per share. The fair value of the shares was determined to be $55,944 based on the quoted market price of $0.128 per share. The Company recorded $30,944 as loss on settlement of debt.</w:t>
      </w:r>
    </w:p>
    <w:p>
      <w:pPr>
        <w:pStyle w:val="TextBody"/>
        <w:spacing w:before="90" w:after="0"/>
        <w:jc w:val="both"/>
        <w:rPr/>
      </w:pPr>
      <w:r>
        <w:rPr/>
        <w:t>In November 2012, the Company issued 597,185 shares of its common stock on election by the holder to convert part of a convertible debt (Note 5) at a conversion price of $.0586 per share. The fair value of the shares was determined to be $63,003 based on the quoted market price of $0.106 per share. The Company recorded $28,003 as loss on settlement of debt.</w:t>
      </w:r>
    </w:p>
    <w:p>
      <w:pPr>
        <w:pStyle w:val="TextBody"/>
        <w:spacing w:before="90" w:after="0"/>
        <w:jc w:val="both"/>
        <w:rPr/>
      </w:pPr>
      <w:r>
        <w:rPr/>
        <w:t>In November 2012, the Company issued 228,479 shares of its common stock on election by the holder to convert part of a convertible debt (Note 5) at a conversion price of $.0601 per share. The fair value of the shares was determined to be $21,591 based on the quoted market price of $0.095 per share. The Company recorded $7,854 as loss on settlement of debt.</w:t>
      </w:r>
    </w:p>
    <w:p>
      <w:pPr>
        <w:pStyle w:val="TextBody"/>
        <w:spacing w:before="90" w:after="0"/>
        <w:jc w:val="both"/>
        <w:rPr/>
      </w:pPr>
      <w:r>
        <w:rPr/>
        <w:t>In December 2012, the Company issued 1,078,477 shares of its common stock as payment of installment of $65,032 for a convertible debt (Note 5) at a conversion price of $.0603 per share. The fair value of the shares was determined to be $96,523 based on the quoted market price of $0.09 per share. The Company recorded $31,491 as loss on settlement of debt.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Stock Compensation Plan</w:t>
      </w:r>
    </w:p>
    <w:p>
      <w:pPr>
        <w:pStyle w:val="TextBody"/>
        <w:spacing w:before="90" w:after="0"/>
        <w:jc w:val="both"/>
        <w:rPr/>
      </w:pPr>
      <w:r>
        <w:rPr/>
        <w:t>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90" w:after="0"/>
        <w:jc w:val="both"/>
        <w:rPr/>
      </w:pPr>
      <w:r>
        <w:rPr/>
        <w:t xml:space="preserve">On April 30, 2012, the Company granted 250,000 stock options to a management at an exercise price of $0.18 per share, vesting monthly over thirty six month period. The aggregate fair value of the grant was estimated at $45,000, or $0.18 per option, using the Black-Scholes Option Pricing Model with weighted average assumptions as follows: a risk free interest rate of 1.95%, a dividend yield of 0%, an expected volatility of 199.0%, and an expected life of 10 years. </w:t>
      </w:r>
    </w:p>
    <w:p>
      <w:pPr>
        <w:pStyle w:val="TextBody"/>
        <w:spacing w:before="90" w:after="0"/>
        <w:jc w:val="both"/>
        <w:rPr/>
      </w:pPr>
      <w:r>
        <w:rPr/>
        <w:t xml:space="preserve">On May 8, 2012, the Company granted 250,000 stock options to a consultant at an exercise price of $0.17 per share, vesting monthly over twelve month period. The aggregate fair value of the grant was estimated at $40,000, or $0.17 per option, using the Black-Scholes Option Pricing Model with weighted average assumptions as follows: a risk free interest rate of 1.71%, a dividend yield of 0%, an expected volatility of 199.0%, and an expected life of 10 years. </w:t>
      </w:r>
    </w:p>
    <w:p>
      <w:pPr>
        <w:pStyle w:val="TextBody"/>
        <w:spacing w:before="90" w:after="0"/>
        <w:jc w:val="both"/>
        <w:rPr/>
      </w:pPr>
      <w:r>
        <w:rPr/>
        <w:t>The expensed portion of the value of the vesting options during the nine months ended September 30, 2013 was $43,091 (September 30, 2012 - $106,072) which was recorded as stock based consulting and management fees. During the period, stock-based consulting and management fees also includes share based compensation.</w:t>
        <w:b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b/>
        </w:rPr>
      </w:pPr>
      <w:r>
        <w:rPr>
          <w:b/>
        </w:rPr>
        <w:t>Share purchase options</w:t>
      </w:r>
    </w:p>
    <w:p>
      <w:pPr>
        <w:pStyle w:val="TextBody"/>
        <w:spacing w:before="90" w:after="90"/>
        <w:jc w:val="both"/>
        <w:rPr/>
      </w:pPr>
      <w:r>
        <w:rPr/>
        <w:t xml:space="preserve">A summary of the Companys stock options as of September 30, 2013 and changes during the period is presented below: </w:t>
      </w:r>
    </w:p>
    <w:tbl>
      <w:tblPr>
        <w:tblW w:w="5000" w:type="pct"/>
        <w:jc w:val="center"/>
        <w:tblInd w:w="0" w:type="dxa"/>
        <w:tblCellMar>
          <w:top w:w="0" w:type="dxa"/>
          <w:left w:w="0" w:type="dxa"/>
          <w:bottom w:w="0" w:type="dxa"/>
          <w:right w:w="0" w:type="dxa"/>
        </w:tblCellMar>
      </w:tblPr>
      <w:tblGrid>
        <w:gridCol w:w="4050"/>
        <w:gridCol w:w="1387"/>
        <w:gridCol w:w="2374"/>
        <w:gridCol w:w="2394"/>
      </w:tblGrid>
      <w:tr>
        <w:trPr/>
        <w:tc>
          <w:tcPr>
            <w:tcW w:w="4050"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2394" w:type="dxa"/>
            <w:tcBorders/>
            <w:shd w:fill="auto" w:val="clear"/>
            <w:vAlign w:val="center"/>
          </w:tcPr>
          <w:p>
            <w:pPr>
              <w:pStyle w:val="TableContents"/>
              <w:spacing w:before="0" w:after="283"/>
              <w:rPr>
                <w:sz w:val="4"/>
                <w:szCs w:val="4"/>
              </w:rPr>
            </w:pPr>
            <w:r>
              <w:rPr>
                <w:sz w:val="4"/>
                <w:szCs w:val="4"/>
              </w:rPr>
            </w:r>
          </w:p>
        </w:tc>
      </w:tr>
      <w:tr>
        <w:trPr/>
        <w:tc>
          <w:tcPr>
            <w:tcW w:w="4050"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387"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Number of</w:t>
            </w:r>
          </w:p>
          <w:p>
            <w:pPr>
              <w:pStyle w:val="TableContents"/>
              <w:spacing w:before="0" w:after="0"/>
              <w:ind w:left="0" w:right="0" w:hanging="0"/>
              <w:jc w:val="center"/>
              <w:rPr/>
            </w:pPr>
            <w:r>
              <w:rPr/>
              <w:t>Options</w:t>
            </w:r>
          </w:p>
        </w:tc>
        <w:tc>
          <w:tcPr>
            <w:tcW w:w="2374"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Weighted Average</w:t>
            </w:r>
          </w:p>
          <w:p>
            <w:pPr>
              <w:pStyle w:val="TableContents"/>
              <w:spacing w:before="0" w:after="0"/>
              <w:ind w:left="0" w:right="0" w:hanging="0"/>
              <w:jc w:val="center"/>
              <w:rPr/>
            </w:pPr>
            <w:r>
              <w:rPr/>
              <w:t>Exercise Price</w:t>
            </w:r>
          </w:p>
        </w:tc>
        <w:tc>
          <w:tcPr>
            <w:tcW w:w="2394"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Weighted Average</w:t>
            </w:r>
          </w:p>
          <w:p>
            <w:pPr>
              <w:pStyle w:val="TableContents"/>
              <w:spacing w:before="0" w:after="0"/>
              <w:ind w:left="0" w:right="0" w:hanging="0"/>
              <w:jc w:val="center"/>
              <w:rPr/>
            </w:pPr>
            <w:r>
              <w:rPr/>
              <w:t>Remaining Life</w:t>
            </w:r>
          </w:p>
        </w:tc>
      </w:tr>
      <w:tr>
        <w:trPr/>
        <w:tc>
          <w:tcPr>
            <w:tcW w:w="4050" w:type="dxa"/>
            <w:tcBorders/>
            <w:shd w:fill="auto" w:val="clear"/>
            <w:vAlign w:val="bottom"/>
          </w:tcPr>
          <w:p>
            <w:pPr>
              <w:pStyle w:val="TableContents"/>
              <w:pBdr/>
              <w:spacing w:before="0" w:after="0"/>
              <w:ind w:left="0" w:right="0" w:hanging="0"/>
              <w:rPr/>
            </w:pPr>
            <w:r>
              <w:rPr/>
              <w:t> </w:t>
            </w:r>
          </w:p>
        </w:tc>
        <w:tc>
          <w:tcPr>
            <w:tcW w:w="1387" w:type="dxa"/>
            <w:tcBorders/>
            <w:shd w:fill="auto" w:val="clear"/>
            <w:vAlign w:val="bottom"/>
          </w:tcPr>
          <w:p>
            <w:pPr>
              <w:pStyle w:val="TableContents"/>
              <w:pBdr/>
              <w:spacing w:before="0" w:after="0"/>
              <w:ind w:left="0" w:right="0" w:hanging="0"/>
              <w:rPr/>
            </w:pPr>
            <w:r>
              <w:rPr/>
              <w:t> </w:t>
            </w:r>
          </w:p>
        </w:tc>
        <w:tc>
          <w:tcPr>
            <w:tcW w:w="2374" w:type="dxa"/>
            <w:tcBorders/>
            <w:shd w:fill="auto" w:val="clear"/>
            <w:vAlign w:val="bottom"/>
          </w:tcPr>
          <w:p>
            <w:pPr>
              <w:pStyle w:val="TableContents"/>
              <w:pBdr/>
              <w:spacing w:before="0" w:after="0"/>
              <w:ind w:left="0" w:right="0" w:hanging="0"/>
              <w:rPr/>
            </w:pPr>
            <w:r>
              <w:rPr/>
              <w:t> </w:t>
            </w:r>
          </w:p>
        </w:tc>
        <w:tc>
          <w:tcPr>
            <w:tcW w:w="2394" w:type="dxa"/>
            <w:tcBorders/>
            <w:shd w:fill="auto" w:val="clear"/>
            <w:vAlign w:val="bottom"/>
          </w:tcPr>
          <w:p>
            <w:pPr>
              <w:pStyle w:val="TableContents"/>
              <w:pBdr/>
              <w:spacing w:before="0" w:after="0"/>
              <w:ind w:left="0" w:right="0" w:hanging="0"/>
              <w:rPr/>
            </w:pPr>
            <w:r>
              <w:rPr/>
              <w:t> </w:t>
            </w:r>
          </w:p>
        </w:tc>
      </w:tr>
      <w:tr>
        <w:trPr/>
        <w:tc>
          <w:tcPr>
            <w:tcW w:w="4050" w:type="dxa"/>
            <w:tcBorders/>
            <w:shd w:fill="auto" w:val="clear"/>
          </w:tcPr>
          <w:p>
            <w:pPr>
              <w:pStyle w:val="TableContents"/>
              <w:spacing w:before="0" w:after="0"/>
              <w:ind w:left="0" w:right="0" w:hanging="0"/>
              <w:rPr>
                <w:b/>
              </w:rPr>
            </w:pPr>
            <w:r>
              <w:rPr>
                <w:b/>
              </w:rPr>
              <w:t>Balance, December 31, 2011</w:t>
            </w:r>
          </w:p>
        </w:tc>
        <w:tc>
          <w:tcPr>
            <w:tcW w:w="1387" w:type="dxa"/>
            <w:tcBorders/>
            <w:shd w:fill="auto" w:val="clear"/>
            <w:vAlign w:val="bottom"/>
          </w:tcPr>
          <w:p>
            <w:pPr>
              <w:pStyle w:val="TableContents"/>
              <w:pBdr/>
              <w:spacing w:before="0" w:after="0"/>
              <w:ind w:left="0" w:right="0" w:hanging="0"/>
              <w:jc w:val="right"/>
              <w:rPr/>
            </w:pPr>
            <w:r>
              <w:rPr/>
              <w:t>6,278,000 </w:t>
            </w:r>
          </w:p>
        </w:tc>
        <w:tc>
          <w:tcPr>
            <w:tcW w:w="2374" w:type="dxa"/>
            <w:tcBorders/>
            <w:shd w:fill="auto" w:val="clear"/>
            <w:vAlign w:val="bottom"/>
          </w:tcPr>
          <w:p>
            <w:pPr>
              <w:pStyle w:val="TableContents"/>
              <w:pBdr/>
              <w:spacing w:before="0" w:after="0"/>
              <w:ind w:left="0" w:right="0" w:hanging="0"/>
              <w:jc w:val="right"/>
              <w:rPr/>
            </w:pPr>
            <w:r>
              <w:rPr/>
              <w:t>$  0.18</w:t>
            </w:r>
          </w:p>
        </w:tc>
        <w:tc>
          <w:tcPr>
            <w:tcW w:w="2394" w:type="dxa"/>
            <w:tcBorders/>
            <w:shd w:fill="auto" w:val="clear"/>
            <w:vAlign w:val="bottom"/>
          </w:tcPr>
          <w:p>
            <w:pPr>
              <w:pStyle w:val="TableContents"/>
              <w:pBdr/>
              <w:spacing w:before="0" w:after="0"/>
              <w:ind w:left="0" w:right="0" w:hanging="0"/>
              <w:jc w:val="right"/>
              <w:rPr/>
            </w:pPr>
            <w:r>
              <w:rPr/>
              <w:t>6.85</w:t>
            </w:r>
          </w:p>
        </w:tc>
      </w:tr>
      <w:tr>
        <w:trPr/>
        <w:tc>
          <w:tcPr>
            <w:tcW w:w="4050" w:type="dxa"/>
            <w:tcBorders/>
            <w:shd w:fill="auto" w:val="clear"/>
            <w:vAlign w:val="bottom"/>
          </w:tcPr>
          <w:p>
            <w:pPr>
              <w:pStyle w:val="TableContents"/>
              <w:spacing w:before="0" w:after="0"/>
              <w:ind w:left="0" w:right="0" w:hanging="0"/>
              <w:rPr/>
            </w:pPr>
            <w:r>
              <w:rPr/>
              <w:t>  </w:t>
            </w:r>
            <w:r>
              <w:rPr/>
              <w:t>Issued</w:t>
            </w:r>
          </w:p>
        </w:tc>
        <w:tc>
          <w:tcPr>
            <w:tcW w:w="1387" w:type="dxa"/>
            <w:tcBorders/>
            <w:shd w:fill="auto" w:val="clear"/>
            <w:vAlign w:val="bottom"/>
          </w:tcPr>
          <w:p>
            <w:pPr>
              <w:pStyle w:val="TableContents"/>
              <w:pBdr/>
              <w:spacing w:before="0" w:after="0"/>
              <w:ind w:left="0" w:right="0" w:hanging="0"/>
              <w:jc w:val="right"/>
              <w:rPr/>
            </w:pPr>
            <w:r>
              <w:rPr/>
              <w:t>500,000 </w:t>
            </w:r>
          </w:p>
        </w:tc>
        <w:tc>
          <w:tcPr>
            <w:tcW w:w="2374" w:type="dxa"/>
            <w:tcBorders/>
            <w:shd w:fill="auto" w:val="clear"/>
            <w:vAlign w:val="bottom"/>
          </w:tcPr>
          <w:p>
            <w:pPr>
              <w:pStyle w:val="TableContents"/>
              <w:pBdr/>
              <w:spacing w:before="0" w:after="0"/>
              <w:ind w:left="0" w:right="0" w:hanging="0"/>
              <w:jc w:val="right"/>
              <w:rPr/>
            </w:pPr>
            <w:r>
              <w:rPr/>
              <w:t>0.17</w:t>
            </w:r>
          </w:p>
        </w:tc>
        <w:tc>
          <w:tcPr>
            <w:tcW w:w="2394" w:type="dxa"/>
            <w:tcBorders/>
            <w:shd w:fill="auto" w:val="clear"/>
            <w:vAlign w:val="bottom"/>
          </w:tcPr>
          <w:p>
            <w:pPr>
              <w:pStyle w:val="TableContents"/>
              <w:pBdr/>
              <w:spacing w:before="0" w:after="0"/>
              <w:ind w:left="0" w:right="0" w:hanging="0"/>
              <w:jc w:val="right"/>
              <w:rPr/>
            </w:pPr>
            <w:r>
              <w:rPr/>
              <w:t>9.35</w:t>
            </w:r>
          </w:p>
        </w:tc>
      </w:tr>
      <w:tr>
        <w:trPr/>
        <w:tc>
          <w:tcPr>
            <w:tcW w:w="4050"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Cancelled/Forfeited</w:t>
            </w:r>
          </w:p>
        </w:tc>
        <w:tc>
          <w:tcPr>
            <w:tcW w:w="1387"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(250,000)</w:t>
            </w:r>
          </w:p>
        </w:tc>
        <w:tc>
          <w:tcPr>
            <w:tcW w:w="2374"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0.35</w:t>
            </w:r>
          </w:p>
        </w:tc>
        <w:tc>
          <w:tcPr>
            <w:tcW w:w="2394"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w:t>
            </w:r>
          </w:p>
        </w:tc>
      </w:tr>
      <w:tr>
        <w:trPr/>
        <w:tc>
          <w:tcPr>
            <w:tcW w:w="4050" w:type="dxa"/>
            <w:tcBorders/>
            <w:shd w:fill="auto" w:val="clear"/>
            <w:vAlign w:val="bottom"/>
          </w:tcPr>
          <w:p>
            <w:pPr>
              <w:pStyle w:val="TableContents"/>
              <w:pBdr/>
              <w:spacing w:before="0" w:after="0"/>
              <w:ind w:left="0" w:right="0" w:hanging="0"/>
              <w:rPr/>
            </w:pPr>
            <w:r>
              <w:rPr/>
              <w:t> </w:t>
            </w:r>
          </w:p>
        </w:tc>
        <w:tc>
          <w:tcPr>
            <w:tcW w:w="1387" w:type="dxa"/>
            <w:tcBorders/>
            <w:shd w:fill="auto" w:val="clear"/>
            <w:vAlign w:val="bottom"/>
          </w:tcPr>
          <w:p>
            <w:pPr>
              <w:pStyle w:val="TableContents"/>
              <w:pBdr/>
              <w:spacing w:before="0" w:after="0"/>
              <w:ind w:left="0" w:right="0" w:hanging="0"/>
              <w:rPr/>
            </w:pPr>
            <w:r>
              <w:rPr/>
              <w:t> </w:t>
            </w:r>
          </w:p>
        </w:tc>
        <w:tc>
          <w:tcPr>
            <w:tcW w:w="2374" w:type="dxa"/>
            <w:tcBorders/>
            <w:shd w:fill="auto" w:val="clear"/>
            <w:vAlign w:val="bottom"/>
          </w:tcPr>
          <w:p>
            <w:pPr>
              <w:pStyle w:val="TableContents"/>
              <w:pBdr/>
              <w:spacing w:before="0" w:after="0"/>
              <w:ind w:left="0" w:right="0" w:hanging="0"/>
              <w:rPr/>
            </w:pPr>
            <w:r>
              <w:rPr/>
              <w:t> </w:t>
            </w:r>
          </w:p>
        </w:tc>
        <w:tc>
          <w:tcPr>
            <w:tcW w:w="2394" w:type="dxa"/>
            <w:tcBorders/>
            <w:shd w:fill="auto" w:val="clear"/>
            <w:vAlign w:val="bottom"/>
          </w:tcPr>
          <w:p>
            <w:pPr>
              <w:pStyle w:val="TableContents"/>
              <w:pBdr/>
              <w:spacing w:before="0" w:after="0"/>
              <w:ind w:left="0" w:right="0" w:hanging="0"/>
              <w:rPr/>
            </w:pPr>
            <w:r>
              <w:rPr/>
              <w:t> </w:t>
            </w:r>
          </w:p>
        </w:tc>
      </w:tr>
      <w:tr>
        <w:trPr/>
        <w:tc>
          <w:tcPr>
            <w:tcW w:w="4050" w:type="dxa"/>
            <w:tcBorders/>
            <w:shd w:fill="auto" w:val="clear"/>
            <w:vAlign w:val="bottom"/>
          </w:tcPr>
          <w:p>
            <w:pPr>
              <w:pStyle w:val="TableContents"/>
              <w:spacing w:before="0" w:after="0"/>
              <w:ind w:left="0" w:right="0" w:hanging="0"/>
              <w:rPr>
                <w:b/>
              </w:rPr>
            </w:pPr>
            <w:r>
              <w:rPr>
                <w:b/>
              </w:rPr>
              <w:t>Balance, December 31, 2012</w:t>
            </w:r>
          </w:p>
        </w:tc>
        <w:tc>
          <w:tcPr>
            <w:tcW w:w="1387" w:type="dxa"/>
            <w:tcBorders/>
            <w:shd w:fill="auto" w:val="clear"/>
            <w:vAlign w:val="bottom"/>
          </w:tcPr>
          <w:p>
            <w:pPr>
              <w:pStyle w:val="TableContents"/>
              <w:pBdr/>
              <w:spacing w:before="0" w:after="0"/>
              <w:ind w:left="0" w:right="0" w:hanging="0"/>
              <w:jc w:val="right"/>
              <w:rPr/>
            </w:pPr>
            <w:r>
              <w:rPr/>
              <w:t>6,528,000 </w:t>
            </w:r>
          </w:p>
        </w:tc>
        <w:tc>
          <w:tcPr>
            <w:tcW w:w="2374" w:type="dxa"/>
            <w:tcBorders/>
            <w:shd w:fill="auto" w:val="clear"/>
            <w:vAlign w:val="bottom"/>
          </w:tcPr>
          <w:p>
            <w:pPr>
              <w:pStyle w:val="TableContents"/>
              <w:pBdr/>
              <w:spacing w:before="0" w:after="0"/>
              <w:ind w:left="0" w:right="0" w:hanging="0"/>
              <w:jc w:val="right"/>
              <w:rPr/>
            </w:pPr>
            <w:r>
              <w:rPr/>
              <w:t>  </w:t>
            </w:r>
            <w:r>
              <w:rPr/>
              <w:t>0.18</w:t>
            </w:r>
          </w:p>
        </w:tc>
        <w:tc>
          <w:tcPr>
            <w:tcW w:w="2394" w:type="dxa"/>
            <w:tcBorders/>
            <w:shd w:fill="auto" w:val="clear"/>
            <w:vAlign w:val="bottom"/>
          </w:tcPr>
          <w:p>
            <w:pPr>
              <w:pStyle w:val="TableContents"/>
              <w:pBdr/>
              <w:spacing w:before="0" w:after="0"/>
              <w:ind w:left="0" w:right="0" w:hanging="0"/>
              <w:jc w:val="right"/>
              <w:rPr/>
            </w:pPr>
            <w:r>
              <w:rPr/>
              <w:t>6.05</w:t>
            </w:r>
          </w:p>
        </w:tc>
      </w:tr>
      <w:tr>
        <w:trPr/>
        <w:tc>
          <w:tcPr>
            <w:tcW w:w="4050" w:type="dxa"/>
            <w:tcBorders/>
            <w:shd w:fill="auto" w:val="clear"/>
            <w:vAlign w:val="bottom"/>
          </w:tcPr>
          <w:p>
            <w:pPr>
              <w:pStyle w:val="TableContents"/>
              <w:spacing w:before="0" w:after="0"/>
              <w:ind w:left="0" w:right="0" w:hanging="0"/>
              <w:rPr/>
            </w:pPr>
            <w:r>
              <w:rPr/>
              <w:t>  </w:t>
            </w:r>
            <w:r>
              <w:rPr/>
              <w:t>Issued</w:t>
            </w:r>
          </w:p>
        </w:tc>
        <w:tc>
          <w:tcPr>
            <w:tcW w:w="1387" w:type="dxa"/>
            <w:tcBorders/>
            <w:shd w:fill="auto" w:val="clear"/>
            <w:vAlign w:val="bottom"/>
          </w:tcPr>
          <w:p>
            <w:pPr>
              <w:pStyle w:val="TableContents"/>
              <w:pBdr/>
              <w:spacing w:before="0" w:after="0"/>
              <w:ind w:left="0" w:right="0" w:hanging="0"/>
              <w:jc w:val="right"/>
              <w:rPr/>
            </w:pPr>
            <w:r>
              <w:rPr/>
              <w:t>- </w:t>
            </w:r>
          </w:p>
        </w:tc>
        <w:tc>
          <w:tcPr>
            <w:tcW w:w="2374" w:type="dxa"/>
            <w:tcBorders/>
            <w:shd w:fill="auto" w:val="clear"/>
            <w:vAlign w:val="bottom"/>
          </w:tcPr>
          <w:p>
            <w:pPr>
              <w:pStyle w:val="TableContents"/>
              <w:pBdr/>
              <w:spacing w:before="0" w:after="0"/>
              <w:ind w:left="0" w:right="0" w:hanging="0"/>
              <w:jc w:val="right"/>
              <w:rPr/>
            </w:pPr>
            <w:r>
              <w:rPr/>
              <w:t>- </w:t>
            </w:r>
          </w:p>
        </w:tc>
        <w:tc>
          <w:tcPr>
            <w:tcW w:w="2394" w:type="dxa"/>
            <w:tcBorders/>
            <w:shd w:fill="auto" w:val="clear"/>
            <w:vAlign w:val="bottom"/>
          </w:tcPr>
          <w:p>
            <w:pPr>
              <w:pStyle w:val="TableContents"/>
              <w:pBdr/>
              <w:spacing w:before="0" w:after="0"/>
              <w:ind w:left="0" w:right="0" w:hanging="0"/>
              <w:jc w:val="right"/>
              <w:rPr/>
            </w:pPr>
            <w:r>
              <w:rPr/>
              <w:t>- </w:t>
            </w:r>
          </w:p>
        </w:tc>
      </w:tr>
      <w:tr>
        <w:trPr/>
        <w:tc>
          <w:tcPr>
            <w:tcW w:w="4050" w:type="dxa"/>
            <w:tcBorders/>
            <w:shd w:fill="auto" w:val="clear"/>
            <w:vAlign w:val="bottom"/>
          </w:tcPr>
          <w:p>
            <w:pPr>
              <w:pStyle w:val="TableContents"/>
              <w:spacing w:before="0" w:after="0"/>
              <w:ind w:left="0" w:right="0" w:hanging="0"/>
              <w:rPr/>
            </w:pPr>
            <w:r>
              <w:rPr/>
              <w:t>  </w:t>
            </w:r>
            <w:r>
              <w:rPr/>
              <w:t>Cancelled/Forfeited</w:t>
            </w:r>
          </w:p>
        </w:tc>
        <w:tc>
          <w:tcPr>
            <w:tcW w:w="1387" w:type="dxa"/>
            <w:tcBorders/>
            <w:shd w:fill="auto" w:val="clear"/>
            <w:vAlign w:val="bottom"/>
          </w:tcPr>
          <w:p>
            <w:pPr>
              <w:pStyle w:val="TableContents"/>
              <w:pBdr/>
              <w:spacing w:before="0" w:after="0"/>
              <w:ind w:left="0" w:right="0" w:hanging="0"/>
              <w:jc w:val="right"/>
              <w:rPr/>
            </w:pPr>
            <w:r>
              <w:rPr/>
              <w:t>- </w:t>
            </w:r>
          </w:p>
        </w:tc>
        <w:tc>
          <w:tcPr>
            <w:tcW w:w="2374" w:type="dxa"/>
            <w:tcBorders/>
            <w:shd w:fill="auto" w:val="clear"/>
            <w:vAlign w:val="bottom"/>
          </w:tcPr>
          <w:p>
            <w:pPr>
              <w:pStyle w:val="TableContents"/>
              <w:pBdr/>
              <w:spacing w:before="0" w:after="0"/>
              <w:ind w:left="0" w:right="0" w:hanging="0"/>
              <w:jc w:val="right"/>
              <w:rPr/>
            </w:pPr>
            <w:r>
              <w:rPr/>
              <w:t>- </w:t>
            </w:r>
          </w:p>
        </w:tc>
        <w:tc>
          <w:tcPr>
            <w:tcW w:w="2394" w:type="dxa"/>
            <w:tcBorders/>
            <w:shd w:fill="auto" w:val="clear"/>
            <w:vAlign w:val="bottom"/>
          </w:tcPr>
          <w:p>
            <w:pPr>
              <w:pStyle w:val="TableContents"/>
              <w:pBdr/>
              <w:spacing w:before="0" w:after="0"/>
              <w:ind w:left="0" w:right="0" w:hanging="0"/>
              <w:jc w:val="right"/>
              <w:rPr/>
            </w:pPr>
            <w:r>
              <w:rPr/>
              <w:t>- </w:t>
            </w:r>
          </w:p>
        </w:tc>
      </w:tr>
      <w:tr>
        <w:trPr/>
        <w:tc>
          <w:tcPr>
            <w:tcW w:w="4050"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1387"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2374"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2394"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r>
      <w:tr>
        <w:trPr/>
        <w:tc>
          <w:tcPr>
            <w:tcW w:w="4050"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Balance, September 30, 2013  </w:t>
            </w:r>
          </w:p>
        </w:tc>
        <w:tc>
          <w:tcPr>
            <w:tcW w:w="1387"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6,528,000 </w:t>
            </w:r>
          </w:p>
        </w:tc>
        <w:tc>
          <w:tcPr>
            <w:tcW w:w="2374"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  0.18</w:t>
            </w:r>
          </w:p>
        </w:tc>
        <w:tc>
          <w:tcPr>
            <w:tcW w:w="2394"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5.30</w:t>
            </w:r>
          </w:p>
        </w:tc>
      </w:tr>
    </w:tbl>
    <w:p>
      <w:pPr>
        <w:pStyle w:val="TextBody"/>
        <w:spacing w:before="90" w:after="90"/>
        <w:ind w:left="90" w:right="90" w:hanging="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F-39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90"/>
        <w:jc w:val="both"/>
        <w:rPr/>
      </w:pPr>
      <w:r>
        <w:rPr/>
        <w:t> </w:t>
      </w:r>
    </w:p>
    <w:p>
      <w:pPr>
        <w:pStyle w:val="TextBody"/>
        <w:spacing w:before="90" w:after="90"/>
        <w:jc w:val="both"/>
        <w:rPr/>
      </w:pPr>
      <w:r>
        <w:rPr/>
        <w:t>At September 30, 2013, the intrinsic value of the vested options was equal to $nil (December 31, 2012 - $nil).</w:t>
      </w:r>
    </w:p>
    <w:p>
      <w:pPr>
        <w:pStyle w:val="TextBody"/>
        <w:spacing w:before="90" w:after="90"/>
        <w:jc w:val="both"/>
        <w:rPr/>
      </w:pPr>
      <w:r>
        <w:rPr/>
        <w:t>A summary of the status of the Companys unvested options as of September 30, 2013 is presented below:</w:t>
      </w:r>
    </w:p>
    <w:p>
      <w:pPr>
        <w:pStyle w:val="TextBody"/>
        <w:spacing w:before="90" w:after="90"/>
        <w:ind w:left="90" w:right="90" w:hanging="0"/>
        <w:jc w:val="both"/>
        <w:rPr/>
      </w:pPr>
      <w:r>
        <w:rPr/>
      </w:r>
    </w:p>
    <w:tbl>
      <w:tblPr>
        <w:tblW w:w="5000" w:type="pct"/>
        <w:jc w:val="center"/>
        <w:tblInd w:w="0" w:type="dxa"/>
        <w:tblCellMar>
          <w:top w:w="0" w:type="dxa"/>
          <w:left w:w="0" w:type="dxa"/>
          <w:bottom w:w="0" w:type="dxa"/>
          <w:right w:w="0" w:type="dxa"/>
        </w:tblCellMar>
      </w:tblPr>
      <w:tblGrid>
        <w:gridCol w:w="5286"/>
        <w:gridCol w:w="101"/>
        <w:gridCol w:w="1768"/>
        <w:gridCol w:w="3050"/>
      </w:tblGrid>
      <w:tr>
        <w:trPr/>
        <w:tc>
          <w:tcPr>
            <w:tcW w:w="528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r>
      <w:tr>
        <w:trPr/>
        <w:tc>
          <w:tcPr>
            <w:tcW w:w="5286"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01" w:type="dxa"/>
            <w:tcBorders>
              <w:top w:val="single" w:sz="1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768"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Number of</w:t>
            </w:r>
          </w:p>
          <w:p>
            <w:pPr>
              <w:pStyle w:val="TableContents"/>
              <w:spacing w:before="0" w:after="0"/>
              <w:ind w:left="0" w:right="0" w:hanging="0"/>
              <w:jc w:val="center"/>
              <w:rPr/>
            </w:pPr>
            <w:r>
              <w:rPr/>
              <w:t>Shares</w:t>
            </w:r>
          </w:p>
        </w:tc>
        <w:tc>
          <w:tcPr>
            <w:tcW w:w="3050"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Weighted Average</w:t>
            </w:r>
          </w:p>
          <w:p>
            <w:pPr>
              <w:pStyle w:val="TableContents"/>
              <w:spacing w:before="0" w:after="0"/>
              <w:ind w:left="0" w:right="0" w:hanging="0"/>
              <w:jc w:val="center"/>
              <w:rPr/>
            </w:pPr>
            <w:r>
              <w:rPr/>
              <w:t>Grant-Date</w:t>
            </w:r>
          </w:p>
          <w:p>
            <w:pPr>
              <w:pStyle w:val="TableContents"/>
              <w:spacing w:before="0" w:after="0"/>
              <w:ind w:left="0" w:right="0" w:hanging="0"/>
              <w:jc w:val="center"/>
              <w:rPr/>
            </w:pPr>
            <w:r>
              <w:rPr/>
              <w:t>Fair Value</w:t>
            </w:r>
          </w:p>
        </w:tc>
      </w:tr>
      <w:tr>
        <w:trPr/>
        <w:tc>
          <w:tcPr>
            <w:tcW w:w="5286" w:type="dxa"/>
            <w:tcBorders/>
            <w:shd w:fill="auto" w:val="clear"/>
            <w:vAlign w:val="bottom"/>
          </w:tcPr>
          <w:p>
            <w:pPr>
              <w:pStyle w:val="TableContents"/>
              <w:pBdr/>
              <w:spacing w:before="0" w:after="0"/>
              <w:ind w:left="0" w:right="0" w:hanging="0"/>
              <w:rPr/>
            </w:pPr>
            <w:r>
              <w:rPr/>
              <w:t> </w:t>
            </w:r>
          </w:p>
        </w:tc>
        <w:tc>
          <w:tcPr>
            <w:tcW w:w="101" w:type="dxa"/>
            <w:tcBorders/>
            <w:shd w:fill="auto" w:val="clear"/>
            <w:vAlign w:val="bottom"/>
          </w:tcPr>
          <w:p>
            <w:pPr>
              <w:pStyle w:val="TableContents"/>
              <w:pBdr/>
              <w:spacing w:before="0" w:after="0"/>
              <w:ind w:left="0" w:right="0" w:hanging="0"/>
              <w:rPr/>
            </w:pPr>
            <w:r>
              <w:rPr/>
              <w:t> </w:t>
            </w:r>
          </w:p>
        </w:tc>
        <w:tc>
          <w:tcPr>
            <w:tcW w:w="1768" w:type="dxa"/>
            <w:tcBorders/>
            <w:shd w:fill="auto" w:val="clear"/>
            <w:vAlign w:val="bottom"/>
          </w:tcPr>
          <w:p>
            <w:pPr>
              <w:pStyle w:val="TableContents"/>
              <w:pBdr/>
              <w:spacing w:before="0" w:after="0"/>
              <w:ind w:left="0" w:right="0" w:hanging="0"/>
              <w:rPr/>
            </w:pPr>
            <w:r>
              <w:rPr/>
              <w:t> </w:t>
            </w:r>
          </w:p>
        </w:tc>
        <w:tc>
          <w:tcPr>
            <w:tcW w:w="3050" w:type="dxa"/>
            <w:tcBorders/>
            <w:shd w:fill="auto" w:val="clear"/>
            <w:vAlign w:val="bottom"/>
          </w:tcPr>
          <w:p>
            <w:pPr>
              <w:pStyle w:val="TableContents"/>
              <w:pBdr/>
              <w:spacing w:before="0" w:after="0"/>
              <w:ind w:left="0" w:right="0" w:hanging="0"/>
              <w:rPr/>
            </w:pPr>
            <w:r>
              <w:rPr/>
              <w:t> </w:t>
            </w:r>
          </w:p>
        </w:tc>
      </w:tr>
      <w:tr>
        <w:trPr/>
        <w:tc>
          <w:tcPr>
            <w:tcW w:w="5286" w:type="dxa"/>
            <w:tcBorders/>
            <w:shd w:fill="auto" w:val="clear"/>
            <w:vAlign w:val="bottom"/>
          </w:tcPr>
          <w:p>
            <w:pPr>
              <w:pStyle w:val="TableContents"/>
              <w:spacing w:before="0" w:after="0"/>
              <w:ind w:left="0" w:right="0" w:hanging="0"/>
              <w:rPr>
                <w:b/>
              </w:rPr>
            </w:pPr>
            <w:r>
              <w:rPr>
                <w:b/>
              </w:rPr>
              <w:t>Unvested, December 31, 2012</w:t>
            </w:r>
          </w:p>
        </w:tc>
        <w:tc>
          <w:tcPr>
            <w:tcW w:w="101" w:type="dxa"/>
            <w:tcBorders/>
            <w:shd w:fill="auto" w:val="clear"/>
            <w:vAlign w:val="bottom"/>
          </w:tcPr>
          <w:p>
            <w:pPr>
              <w:pStyle w:val="TableContents"/>
              <w:pBdr/>
              <w:spacing w:before="0" w:after="0"/>
              <w:ind w:left="0" w:right="0" w:hanging="0"/>
              <w:rPr/>
            </w:pPr>
            <w:r>
              <w:rPr/>
              <w:t> </w:t>
            </w:r>
          </w:p>
        </w:tc>
        <w:tc>
          <w:tcPr>
            <w:tcW w:w="1768" w:type="dxa"/>
            <w:tcBorders/>
            <w:shd w:fill="auto" w:val="clear"/>
            <w:vAlign w:val="bottom"/>
          </w:tcPr>
          <w:p>
            <w:pPr>
              <w:pStyle w:val="TableContents"/>
              <w:pBdr/>
              <w:spacing w:before="0" w:after="0"/>
              <w:ind w:left="0" w:right="0" w:hanging="0"/>
              <w:jc w:val="right"/>
              <w:rPr/>
            </w:pPr>
            <w:r>
              <w:rPr/>
              <w:t>379,575 </w:t>
            </w:r>
          </w:p>
        </w:tc>
        <w:tc>
          <w:tcPr>
            <w:tcW w:w="3050" w:type="dxa"/>
            <w:tcBorders/>
            <w:shd w:fill="auto" w:val="clear"/>
            <w:vAlign w:val="bottom"/>
          </w:tcPr>
          <w:p>
            <w:pPr>
              <w:pStyle w:val="TableContents"/>
              <w:pBdr/>
              <w:spacing w:before="0" w:after="0"/>
              <w:ind w:left="0" w:right="0" w:hanging="0"/>
              <w:jc w:val="right"/>
              <w:rPr/>
            </w:pPr>
            <w:r>
              <w:rPr/>
              <w:t>$  0.18</w:t>
            </w:r>
          </w:p>
        </w:tc>
      </w:tr>
      <w:tr>
        <w:trPr/>
        <w:tc>
          <w:tcPr>
            <w:tcW w:w="5286" w:type="dxa"/>
            <w:tcBorders/>
            <w:shd w:fill="auto" w:val="clear"/>
            <w:vAlign w:val="bottom"/>
          </w:tcPr>
          <w:p>
            <w:pPr>
              <w:pStyle w:val="TableContents"/>
              <w:spacing w:before="0" w:after="0"/>
              <w:ind w:left="0" w:right="0" w:hanging="0"/>
              <w:rPr/>
            </w:pPr>
            <w:r>
              <w:rPr/>
              <w:t>  </w:t>
            </w:r>
            <w:r>
              <w:rPr/>
              <w:t>Granted</w:t>
            </w:r>
          </w:p>
        </w:tc>
        <w:tc>
          <w:tcPr>
            <w:tcW w:w="101" w:type="dxa"/>
            <w:tcBorders/>
            <w:shd w:fill="auto" w:val="clear"/>
            <w:vAlign w:val="bottom"/>
          </w:tcPr>
          <w:p>
            <w:pPr>
              <w:pStyle w:val="TableContents"/>
              <w:pBdr/>
              <w:spacing w:before="0" w:after="0"/>
              <w:ind w:left="0" w:right="0" w:hanging="0"/>
              <w:rPr/>
            </w:pPr>
            <w:r>
              <w:rPr/>
              <w:t> </w:t>
            </w:r>
          </w:p>
        </w:tc>
        <w:tc>
          <w:tcPr>
            <w:tcW w:w="1768" w:type="dxa"/>
            <w:tcBorders/>
            <w:shd w:fill="auto" w:val="clear"/>
            <w:vAlign w:val="bottom"/>
          </w:tcPr>
          <w:p>
            <w:pPr>
              <w:pStyle w:val="TableContents"/>
              <w:pBdr/>
              <w:spacing w:before="0" w:after="0"/>
              <w:ind w:left="0" w:right="0" w:hanging="0"/>
              <w:jc w:val="right"/>
              <w:rPr/>
            </w:pPr>
            <w:r>
              <w:rPr/>
              <w:t>- </w:t>
            </w:r>
          </w:p>
        </w:tc>
        <w:tc>
          <w:tcPr>
            <w:tcW w:w="3050" w:type="dxa"/>
            <w:tcBorders/>
            <w:shd w:fill="auto" w:val="clear"/>
            <w:vAlign w:val="bottom"/>
          </w:tcPr>
          <w:p>
            <w:pPr>
              <w:pStyle w:val="TableContents"/>
              <w:pBdr/>
              <w:spacing w:before="0" w:after="0"/>
              <w:ind w:left="0" w:right="0" w:hanging="0"/>
              <w:jc w:val="right"/>
              <w:rPr/>
            </w:pPr>
            <w:r>
              <w:rPr/>
              <w:t>-</w:t>
            </w:r>
          </w:p>
        </w:tc>
      </w:tr>
      <w:tr>
        <w:trPr/>
        <w:tc>
          <w:tcPr>
            <w:tcW w:w="5286" w:type="dxa"/>
            <w:tcBorders/>
            <w:shd w:fill="auto" w:val="clear"/>
            <w:vAlign w:val="bottom"/>
          </w:tcPr>
          <w:p>
            <w:pPr>
              <w:pStyle w:val="TableContents"/>
              <w:spacing w:before="0" w:after="0"/>
              <w:ind w:left="0" w:right="0" w:hanging="0"/>
              <w:rPr/>
            </w:pPr>
            <w:r>
              <w:rPr/>
              <w:t>  </w:t>
            </w:r>
            <w:r>
              <w:rPr/>
              <w:t>Vested</w:t>
            </w:r>
          </w:p>
        </w:tc>
        <w:tc>
          <w:tcPr>
            <w:tcW w:w="101" w:type="dxa"/>
            <w:tcBorders/>
            <w:shd w:fill="auto" w:val="clear"/>
            <w:vAlign w:val="bottom"/>
          </w:tcPr>
          <w:p>
            <w:pPr>
              <w:pStyle w:val="TableContents"/>
              <w:pBdr/>
              <w:spacing w:before="0" w:after="0"/>
              <w:ind w:left="0" w:right="0" w:hanging="0"/>
              <w:rPr/>
            </w:pPr>
            <w:r>
              <w:rPr/>
              <w:t> </w:t>
            </w:r>
          </w:p>
        </w:tc>
        <w:tc>
          <w:tcPr>
            <w:tcW w:w="1768" w:type="dxa"/>
            <w:tcBorders/>
            <w:shd w:fill="auto" w:val="clear"/>
            <w:vAlign w:val="bottom"/>
          </w:tcPr>
          <w:p>
            <w:pPr>
              <w:pStyle w:val="TableContents"/>
              <w:pBdr/>
              <w:spacing w:before="0" w:after="0"/>
              <w:ind w:left="0" w:right="0" w:hanging="0"/>
              <w:jc w:val="right"/>
              <w:rPr/>
            </w:pPr>
            <w:r>
              <w:rPr/>
              <w:t>(247,630)</w:t>
            </w:r>
          </w:p>
        </w:tc>
        <w:tc>
          <w:tcPr>
            <w:tcW w:w="3050" w:type="dxa"/>
            <w:tcBorders/>
            <w:shd w:fill="auto" w:val="clear"/>
            <w:vAlign w:val="bottom"/>
          </w:tcPr>
          <w:p>
            <w:pPr>
              <w:pStyle w:val="TableContents"/>
              <w:pBdr/>
              <w:spacing w:before="0" w:after="0"/>
              <w:ind w:left="0" w:right="0" w:hanging="0"/>
              <w:jc w:val="right"/>
              <w:rPr/>
            </w:pPr>
            <w:r>
              <w:rPr/>
              <w:t>0.18</w:t>
            </w:r>
          </w:p>
        </w:tc>
      </w:tr>
      <w:tr>
        <w:trPr/>
        <w:tc>
          <w:tcPr>
            <w:tcW w:w="5286"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Cancelled/Forfeited</w:t>
            </w:r>
          </w:p>
        </w:tc>
        <w:tc>
          <w:tcPr>
            <w:tcW w:w="101"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1768"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 </w:t>
            </w:r>
          </w:p>
        </w:tc>
        <w:tc>
          <w:tcPr>
            <w:tcW w:w="3050"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w:t>
            </w:r>
          </w:p>
        </w:tc>
      </w:tr>
      <w:tr>
        <w:trPr/>
        <w:tc>
          <w:tcPr>
            <w:tcW w:w="5286" w:type="dxa"/>
            <w:tcBorders/>
            <w:shd w:fill="auto" w:val="clear"/>
            <w:vAlign w:val="bottom"/>
          </w:tcPr>
          <w:p>
            <w:pPr>
              <w:pStyle w:val="TableContents"/>
              <w:pBdr/>
              <w:spacing w:before="0" w:after="0"/>
              <w:ind w:left="0" w:right="0" w:hanging="0"/>
              <w:rPr/>
            </w:pPr>
            <w:r>
              <w:rPr/>
              <w:t> </w:t>
            </w:r>
          </w:p>
        </w:tc>
        <w:tc>
          <w:tcPr>
            <w:tcW w:w="101" w:type="dxa"/>
            <w:tcBorders/>
            <w:shd w:fill="auto" w:val="clear"/>
            <w:vAlign w:val="bottom"/>
          </w:tcPr>
          <w:p>
            <w:pPr>
              <w:pStyle w:val="TableContents"/>
              <w:pBdr/>
              <w:spacing w:before="0" w:after="0"/>
              <w:ind w:left="0" w:right="0" w:hanging="0"/>
              <w:rPr/>
            </w:pPr>
            <w:r>
              <w:rPr/>
              <w:t> </w:t>
            </w:r>
          </w:p>
        </w:tc>
        <w:tc>
          <w:tcPr>
            <w:tcW w:w="1768" w:type="dxa"/>
            <w:tcBorders/>
            <w:shd w:fill="auto" w:val="clear"/>
            <w:vAlign w:val="bottom"/>
          </w:tcPr>
          <w:p>
            <w:pPr>
              <w:pStyle w:val="TableContents"/>
              <w:pBdr/>
              <w:spacing w:before="0" w:after="0"/>
              <w:ind w:left="0" w:right="0" w:hanging="0"/>
              <w:rPr/>
            </w:pPr>
            <w:r>
              <w:rPr/>
              <w:t> </w:t>
            </w:r>
          </w:p>
        </w:tc>
        <w:tc>
          <w:tcPr>
            <w:tcW w:w="3050" w:type="dxa"/>
            <w:tcBorders/>
            <w:shd w:fill="auto" w:val="clear"/>
            <w:vAlign w:val="bottom"/>
          </w:tcPr>
          <w:p>
            <w:pPr>
              <w:pStyle w:val="TableContents"/>
              <w:pBdr/>
              <w:spacing w:before="0" w:after="0"/>
              <w:ind w:left="0" w:right="0" w:hanging="0"/>
              <w:rPr/>
            </w:pPr>
            <w:r>
              <w:rPr/>
              <w:t> </w:t>
            </w:r>
          </w:p>
        </w:tc>
      </w:tr>
      <w:tr>
        <w:trPr/>
        <w:tc>
          <w:tcPr>
            <w:tcW w:w="5286"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 xml:space="preserve">Unvested, September 30, 2013 </w:t>
            </w:r>
          </w:p>
        </w:tc>
        <w:tc>
          <w:tcPr>
            <w:tcW w:w="101"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1768"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131,945 </w:t>
            </w:r>
          </w:p>
        </w:tc>
        <w:tc>
          <w:tcPr>
            <w:tcW w:w="3050"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  0.17</w:t>
            </w:r>
          </w:p>
        </w:tc>
      </w:tr>
    </w:tbl>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Share Purchase Warrants</w:t>
      </w:r>
    </w:p>
    <w:p>
      <w:pPr>
        <w:pStyle w:val="TextBody"/>
        <w:spacing w:before="90" w:after="0"/>
        <w:jc w:val="both"/>
        <w:rPr/>
      </w:pPr>
      <w:r>
        <w:rPr/>
        <w:t>In March, 2012, the Company issued 366,668 share purchase warrants to acquire an equivalent number of common shares of the Company, at an exercise price of $0.40 per share for an exercise period of up to two years from the issuance date. The warrants were issued pursuant to the private placement of $110,000 and included within equity. The fair value of these warrants was determined to be $5,133, using the Black-Scholes Option Pricing Model with an expected life of 2 years, a risk free interest rate of 0.37%, a dividend yield of 0%, and an expected volatility of 63%.</w:t>
      </w:r>
    </w:p>
    <w:p>
      <w:pPr>
        <w:pStyle w:val="TextBody"/>
        <w:spacing w:before="90" w:after="0"/>
        <w:jc w:val="both"/>
        <w:rPr/>
      </w:pPr>
      <w:r>
        <w:rPr/>
        <w:t>In April, 2012, the Company issued 1,150,000 share purchase warrants to acquire an equivalent number of common shares of the Company, at an exercise price of $0.40 per share for an exercise period of up to two years from the issuance date. The warrants were issued pursuant to a private placement and included within equity. The fair value of these warrants was determined to be $123,000, using the Black-Scholes Option Pricing Model with an expected life of 2 years, a risk free interest rate of 0.27%, a dividend yield of 0%, and an expected volatility of 146.6%.</w:t>
      </w:r>
    </w:p>
    <w:p>
      <w:pPr>
        <w:pStyle w:val="TextBody"/>
        <w:spacing w:before="90" w:after="0"/>
        <w:jc w:val="both"/>
        <w:rPr/>
      </w:pPr>
      <w:r>
        <w:rPr/>
        <w:t xml:space="preserve">In October, 2012, the Company issued 3,000,000 share purchase warrants to acquire an equivalent number of common shares of the Company, at an exercise price of $0.25 per share for an exercise period of up to four years from the issuance date. The warrants were issued pursuant to a convertible debt with price adjustment features. The residual fair value of these warrants was determined to be $300,000 and recognized as a derivative liability. </w:t>
      </w:r>
    </w:p>
    <w:p>
      <w:pPr>
        <w:pStyle w:val="TextBody"/>
        <w:spacing w:before="90" w:after="0"/>
        <w:jc w:val="both"/>
        <w:rPr/>
      </w:pPr>
      <w:r>
        <w:rPr/>
        <w:t>In December, 2012, the Company issued 1,000,000 share purchase warrants to acquire an equivalent number of common shares of the Company, at an exercise price of $0.10 per share for an exercise period of up to five years from the issuance date. The warrants were issued pursuant to a private placement and included within equity. The fair value of these warrants was determined to be $178,000, using the Black-Scholes Option Pricing Model with an expected life of 5 years, a risk free interest rate of 0.87%, a dividend yield of 0%, and an expected volatility of 199.0%.</w:t>
      </w:r>
    </w:p>
    <w:p>
      <w:pPr>
        <w:pStyle w:val="TextBody"/>
        <w:spacing w:before="90" w:after="0"/>
        <w:jc w:val="both"/>
        <w:rPr/>
      </w:pPr>
      <w:r>
        <w:rPr/>
        <w:t>In March, 2013, the Company issued 3,470,709 share purchase warrants to acquire an equivalent number of common shares of the Company, at an exercise price of $0.07 per share for an exercise period of up to two years from the issuance date. The warrants were issued pursuant to a private placement and included within equity. The fair value of these warrants was determined to be $245,000, using the Black-Scholes Option Pricing Model with an expected life of 2 years, a risk free interest rate of 0.24%, a dividend yield of 0%, and an expected volatility of 131.02%.</w:t>
      </w:r>
    </w:p>
    <w:p>
      <w:pPr>
        <w:pStyle w:val="TextBody"/>
        <w:spacing w:before="90" w:after="0"/>
        <w:jc w:val="both"/>
        <w:rPr/>
      </w:pPr>
      <w:r>
        <w:rPr/>
        <w:t xml:space="preserve">In May, 2013, the Company issued 2,000,000 share purchase warrants to acquire an equivalent number of common shares of the Company, at an exercise price of $0.06 per share for an exercise period of up to four years from the issuance date. The warrants were issued pursuant to a convertible debt with price adjustment features. The residual fair value of these warrants was determined to be $96,000 and recognized as a derivative liability. </w:t>
      </w:r>
    </w:p>
    <w:p>
      <w:pPr>
        <w:pStyle w:val="TextBody"/>
        <w:spacing w:before="90" w:after="0"/>
        <w:jc w:val="both"/>
        <w:rPr/>
      </w:pPr>
      <w:r>
        <w:rPr/>
        <w:t xml:space="preserve">In July, 2013, the Company issued 4,166,667 share purchase warrants to acquire an equivalent number of common shares of the Company, at an exercise price of $0.04 per share for an exercise period of up to five years from the issuance date. The warrants were issued pursuant to a convertible debt with price adjustment features. The residual fair value of these warrants was determined to be $104,000 and recognized as a derivative liability. </w:t>
      </w:r>
    </w:p>
    <w:p>
      <w:pPr>
        <w:pStyle w:val="TextBody"/>
        <w:spacing w:before="90" w:after="0"/>
        <w:jc w:val="both"/>
        <w:rPr/>
      </w:pPr>
      <w:r>
        <w:rPr/>
        <w:t>A summary of the Companys share purchase warrants as of September 30, 2013  and changes during the period is presented below:</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tbl>
      <w:tblPr>
        <w:tblW w:w="5000" w:type="pct"/>
        <w:jc w:val="center"/>
        <w:tblInd w:w="0" w:type="dxa"/>
        <w:tblCellMar>
          <w:top w:w="0" w:type="dxa"/>
          <w:left w:w="0" w:type="dxa"/>
          <w:bottom w:w="0" w:type="dxa"/>
          <w:right w:w="0" w:type="dxa"/>
        </w:tblCellMar>
      </w:tblPr>
      <w:tblGrid>
        <w:gridCol w:w="4020"/>
        <w:gridCol w:w="1499"/>
        <w:gridCol w:w="2333"/>
        <w:gridCol w:w="2353"/>
      </w:tblGrid>
      <w:tr>
        <w:trPr/>
        <w:tc>
          <w:tcPr>
            <w:tcW w:w="4020"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2353" w:type="dxa"/>
            <w:tcBorders/>
            <w:shd w:fill="auto" w:val="clear"/>
            <w:vAlign w:val="center"/>
          </w:tcPr>
          <w:p>
            <w:pPr>
              <w:pStyle w:val="TableContents"/>
              <w:spacing w:before="0" w:after="283"/>
              <w:rPr>
                <w:sz w:val="4"/>
                <w:szCs w:val="4"/>
              </w:rPr>
            </w:pPr>
            <w:r>
              <w:rPr>
                <w:sz w:val="4"/>
                <w:szCs w:val="4"/>
              </w:rPr>
            </w:r>
          </w:p>
        </w:tc>
      </w:tr>
      <w:tr>
        <w:trPr/>
        <w:tc>
          <w:tcPr>
            <w:tcW w:w="4020"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1499"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Number of</w:t>
            </w:r>
          </w:p>
          <w:p>
            <w:pPr>
              <w:pStyle w:val="TableContents"/>
              <w:spacing w:before="0" w:after="0"/>
              <w:ind w:left="0" w:right="0" w:hanging="0"/>
              <w:jc w:val="center"/>
              <w:rPr/>
            </w:pPr>
            <w:r>
              <w:rPr/>
              <w:t>Warrants</w:t>
            </w:r>
          </w:p>
        </w:tc>
        <w:tc>
          <w:tcPr>
            <w:tcW w:w="2333"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Weighted Average</w:t>
            </w:r>
          </w:p>
          <w:p>
            <w:pPr>
              <w:pStyle w:val="TableContents"/>
              <w:spacing w:before="0" w:after="0"/>
              <w:ind w:left="0" w:right="0" w:hanging="0"/>
              <w:jc w:val="center"/>
              <w:rPr/>
            </w:pPr>
            <w:r>
              <w:rPr/>
              <w:t>Exercise Price</w:t>
            </w:r>
          </w:p>
        </w:tc>
        <w:tc>
          <w:tcPr>
            <w:tcW w:w="2353" w:type="dxa"/>
            <w:tcBorders>
              <w:top w:val="single" w:sz="1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Weighted Average</w:t>
            </w:r>
          </w:p>
          <w:p>
            <w:pPr>
              <w:pStyle w:val="TableContents"/>
              <w:spacing w:before="0" w:after="0"/>
              <w:ind w:left="0" w:right="0" w:hanging="0"/>
              <w:jc w:val="center"/>
              <w:rPr/>
            </w:pPr>
            <w:r>
              <w:rPr/>
              <w:t>Remaining Life</w:t>
            </w:r>
          </w:p>
        </w:tc>
      </w:tr>
      <w:tr>
        <w:trPr/>
        <w:tc>
          <w:tcPr>
            <w:tcW w:w="4020" w:type="dxa"/>
            <w:tcBorders/>
            <w:shd w:fill="auto" w:val="clear"/>
            <w:vAlign w:val="bottom"/>
          </w:tcPr>
          <w:p>
            <w:pPr>
              <w:pStyle w:val="TableContents"/>
              <w:pBdr/>
              <w:spacing w:before="0" w:after="0"/>
              <w:ind w:left="0" w:right="0" w:hanging="0"/>
              <w:rPr/>
            </w:pPr>
            <w:r>
              <w:rPr/>
              <w:t> </w:t>
            </w:r>
          </w:p>
        </w:tc>
        <w:tc>
          <w:tcPr>
            <w:tcW w:w="1499" w:type="dxa"/>
            <w:tcBorders/>
            <w:shd w:fill="auto" w:val="clear"/>
            <w:vAlign w:val="bottom"/>
          </w:tcPr>
          <w:p>
            <w:pPr>
              <w:pStyle w:val="TableContents"/>
              <w:pBdr/>
              <w:spacing w:before="0" w:after="0"/>
              <w:ind w:left="0" w:right="0" w:hanging="0"/>
              <w:rPr/>
            </w:pPr>
            <w:r>
              <w:rPr/>
              <w:t> </w:t>
            </w:r>
          </w:p>
        </w:tc>
        <w:tc>
          <w:tcPr>
            <w:tcW w:w="2333" w:type="dxa"/>
            <w:tcBorders/>
            <w:shd w:fill="auto" w:val="clear"/>
            <w:vAlign w:val="bottom"/>
          </w:tcPr>
          <w:p>
            <w:pPr>
              <w:pStyle w:val="TableContents"/>
              <w:pBdr/>
              <w:spacing w:before="0" w:after="0"/>
              <w:ind w:left="0" w:right="0" w:hanging="0"/>
              <w:rPr/>
            </w:pPr>
            <w:r>
              <w:rPr/>
              <w:t> </w:t>
            </w:r>
          </w:p>
        </w:tc>
        <w:tc>
          <w:tcPr>
            <w:tcW w:w="2353" w:type="dxa"/>
            <w:tcBorders/>
            <w:shd w:fill="auto" w:val="clear"/>
            <w:vAlign w:val="bottom"/>
          </w:tcPr>
          <w:p>
            <w:pPr>
              <w:pStyle w:val="TableContents"/>
              <w:pBdr/>
              <w:spacing w:before="0" w:after="0"/>
              <w:ind w:left="0" w:right="0" w:hanging="0"/>
              <w:rPr/>
            </w:pPr>
            <w:r>
              <w:rPr/>
              <w:t> </w:t>
            </w:r>
          </w:p>
        </w:tc>
      </w:tr>
      <w:tr>
        <w:trPr/>
        <w:tc>
          <w:tcPr>
            <w:tcW w:w="4020" w:type="dxa"/>
            <w:tcBorders>
              <w:top w:val="single" w:sz="2" w:space="0" w:color="000000"/>
            </w:tcBorders>
            <w:shd w:fill="auto" w:val="clear"/>
            <w:tcMar>
              <w:top w:w="28" w:type="dxa"/>
            </w:tcMar>
          </w:tcPr>
          <w:p>
            <w:pPr>
              <w:pStyle w:val="TableContents"/>
              <w:spacing w:before="0" w:after="0"/>
              <w:ind w:left="0" w:right="0" w:hanging="0"/>
              <w:rPr>
                <w:b/>
              </w:rPr>
            </w:pPr>
            <w:r>
              <w:rPr>
                <w:b/>
              </w:rPr>
              <w:t>Balance, December 31, 2011</w:t>
            </w:r>
          </w:p>
        </w:tc>
        <w:tc>
          <w:tcPr>
            <w:tcW w:w="1499" w:type="dxa"/>
            <w:tcBorders>
              <w:top w:val="single" w:sz="2" w:space="0" w:color="000000"/>
            </w:tcBorders>
            <w:shd w:fill="auto" w:val="clear"/>
            <w:tcMar>
              <w:top w:w="28" w:type="dxa"/>
            </w:tcMar>
            <w:vAlign w:val="bottom"/>
          </w:tcPr>
          <w:p>
            <w:pPr>
              <w:pStyle w:val="TableContents"/>
              <w:spacing w:before="0" w:after="0"/>
              <w:ind w:left="0" w:right="0" w:hanging="0"/>
              <w:jc w:val="right"/>
              <w:rPr/>
            </w:pPr>
            <w:r>
              <w:rPr/>
              <w:t>12,106,355 </w:t>
            </w:r>
          </w:p>
        </w:tc>
        <w:tc>
          <w:tcPr>
            <w:tcW w:w="2333" w:type="dxa"/>
            <w:tcBorders>
              <w:top w:val="single" w:sz="2" w:space="0" w:color="000000"/>
            </w:tcBorders>
            <w:shd w:fill="auto" w:val="clear"/>
            <w:tcMar>
              <w:top w:w="28" w:type="dxa"/>
            </w:tcMar>
            <w:vAlign w:val="bottom"/>
          </w:tcPr>
          <w:p>
            <w:pPr>
              <w:pStyle w:val="TableContents"/>
              <w:pBdr/>
              <w:spacing w:before="0" w:after="0"/>
              <w:ind w:left="0" w:right="0" w:hanging="0"/>
              <w:jc w:val="right"/>
              <w:rPr/>
            </w:pPr>
            <w:r>
              <w:rPr/>
              <w:t>$  0.56</w:t>
            </w:r>
          </w:p>
        </w:tc>
        <w:tc>
          <w:tcPr>
            <w:tcW w:w="2353" w:type="dxa"/>
            <w:tcBorders>
              <w:top w:val="single" w:sz="2" w:space="0" w:color="000000"/>
            </w:tcBorders>
            <w:shd w:fill="auto" w:val="clear"/>
            <w:tcMar>
              <w:top w:w="28" w:type="dxa"/>
            </w:tcMar>
            <w:vAlign w:val="bottom"/>
          </w:tcPr>
          <w:p>
            <w:pPr>
              <w:pStyle w:val="TableContents"/>
              <w:pBdr/>
              <w:spacing w:before="0" w:after="0"/>
              <w:ind w:left="0" w:right="0" w:hanging="0"/>
              <w:jc w:val="right"/>
              <w:rPr/>
            </w:pPr>
            <w:r>
              <w:rPr/>
              <w:t>2.81</w:t>
            </w:r>
          </w:p>
        </w:tc>
      </w:tr>
      <w:tr>
        <w:trPr/>
        <w:tc>
          <w:tcPr>
            <w:tcW w:w="4020" w:type="dxa"/>
            <w:tcBorders/>
            <w:shd w:fill="auto" w:val="clear"/>
            <w:vAlign w:val="bottom"/>
          </w:tcPr>
          <w:p>
            <w:pPr>
              <w:pStyle w:val="TableContents"/>
              <w:spacing w:before="0" w:after="0"/>
              <w:ind w:left="0" w:right="0" w:hanging="0"/>
              <w:rPr/>
            </w:pPr>
            <w:r>
              <w:rPr/>
              <w:t>  </w:t>
            </w:r>
            <w:r>
              <w:rPr/>
              <w:t>Issued</w:t>
            </w:r>
          </w:p>
        </w:tc>
        <w:tc>
          <w:tcPr>
            <w:tcW w:w="1499" w:type="dxa"/>
            <w:tcBorders/>
            <w:shd w:fill="auto" w:val="clear"/>
            <w:vAlign w:val="bottom"/>
          </w:tcPr>
          <w:p>
            <w:pPr>
              <w:pStyle w:val="TableContents"/>
              <w:spacing w:before="0" w:after="0"/>
              <w:ind w:left="0" w:right="0" w:hanging="0"/>
              <w:jc w:val="right"/>
              <w:rPr/>
            </w:pPr>
            <w:r>
              <w:rPr/>
              <w:t>5,516,668 </w:t>
            </w:r>
          </w:p>
        </w:tc>
        <w:tc>
          <w:tcPr>
            <w:tcW w:w="2333" w:type="dxa"/>
            <w:tcBorders/>
            <w:shd w:fill="auto" w:val="clear"/>
            <w:vAlign w:val="bottom"/>
          </w:tcPr>
          <w:p>
            <w:pPr>
              <w:pStyle w:val="TableContents"/>
              <w:pBdr/>
              <w:spacing w:before="0" w:after="0"/>
              <w:ind w:left="0" w:right="0" w:hanging="0"/>
              <w:jc w:val="right"/>
              <w:rPr/>
            </w:pPr>
            <w:r>
              <w:rPr/>
              <w:t>0.26</w:t>
            </w:r>
          </w:p>
        </w:tc>
        <w:tc>
          <w:tcPr>
            <w:tcW w:w="2353" w:type="dxa"/>
            <w:tcBorders/>
            <w:shd w:fill="auto" w:val="clear"/>
            <w:vAlign w:val="bottom"/>
          </w:tcPr>
          <w:p>
            <w:pPr>
              <w:pStyle w:val="TableContents"/>
              <w:pBdr/>
              <w:spacing w:before="0" w:after="0"/>
              <w:ind w:left="0" w:right="0" w:hanging="0"/>
              <w:jc w:val="right"/>
              <w:rPr/>
            </w:pPr>
            <w:r>
              <w:rPr/>
              <w:t>3.32</w:t>
            </w:r>
          </w:p>
        </w:tc>
      </w:tr>
      <w:tr>
        <w:trPr/>
        <w:tc>
          <w:tcPr>
            <w:tcW w:w="4020"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Exercised, cancelled or expired</w:t>
            </w:r>
          </w:p>
        </w:tc>
        <w:tc>
          <w:tcPr>
            <w:tcW w:w="1499"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(714,400)</w:t>
            </w:r>
          </w:p>
        </w:tc>
        <w:tc>
          <w:tcPr>
            <w:tcW w:w="2333"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2.33</w:t>
            </w:r>
          </w:p>
        </w:tc>
        <w:tc>
          <w:tcPr>
            <w:tcW w:w="2353"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w:t>
            </w:r>
          </w:p>
        </w:tc>
      </w:tr>
      <w:tr>
        <w:trPr/>
        <w:tc>
          <w:tcPr>
            <w:tcW w:w="4020" w:type="dxa"/>
            <w:tcBorders/>
            <w:shd w:fill="auto" w:val="clear"/>
            <w:vAlign w:val="bottom"/>
          </w:tcPr>
          <w:p>
            <w:pPr>
              <w:pStyle w:val="TableContents"/>
              <w:spacing w:before="0" w:after="0"/>
              <w:ind w:left="0" w:right="0" w:hanging="0"/>
              <w:rPr>
                <w:b/>
              </w:rPr>
            </w:pPr>
            <w:r>
              <w:rPr>
                <w:b/>
              </w:rPr>
              <w:t>Balance, December 31, 2012</w:t>
            </w:r>
          </w:p>
        </w:tc>
        <w:tc>
          <w:tcPr>
            <w:tcW w:w="1499" w:type="dxa"/>
            <w:tcBorders/>
            <w:shd w:fill="auto" w:val="clear"/>
            <w:vAlign w:val="bottom"/>
          </w:tcPr>
          <w:p>
            <w:pPr>
              <w:pStyle w:val="TableContents"/>
              <w:spacing w:before="0" w:after="0"/>
              <w:ind w:left="0" w:right="0" w:hanging="0"/>
              <w:jc w:val="right"/>
              <w:rPr/>
            </w:pPr>
            <w:r>
              <w:rPr/>
              <w:t>16,908,623 </w:t>
            </w:r>
          </w:p>
        </w:tc>
        <w:tc>
          <w:tcPr>
            <w:tcW w:w="2333" w:type="dxa"/>
            <w:tcBorders/>
            <w:shd w:fill="auto" w:val="clear"/>
            <w:vAlign w:val="bottom"/>
          </w:tcPr>
          <w:p>
            <w:pPr>
              <w:pStyle w:val="TableContents"/>
              <w:pBdr/>
              <w:spacing w:before="0" w:after="0"/>
              <w:ind w:left="0" w:right="0" w:hanging="0"/>
              <w:jc w:val="right"/>
              <w:rPr/>
            </w:pPr>
            <w:r>
              <w:rPr/>
              <w:t>$  0.39</w:t>
            </w:r>
          </w:p>
        </w:tc>
        <w:tc>
          <w:tcPr>
            <w:tcW w:w="2353" w:type="dxa"/>
            <w:tcBorders/>
            <w:shd w:fill="auto" w:val="clear"/>
            <w:vAlign w:val="bottom"/>
          </w:tcPr>
          <w:p>
            <w:pPr>
              <w:pStyle w:val="TableContents"/>
              <w:pBdr/>
              <w:spacing w:before="0" w:after="0"/>
              <w:ind w:left="0" w:right="0" w:hanging="0"/>
              <w:jc w:val="right"/>
              <w:rPr/>
            </w:pPr>
            <w:r>
              <w:rPr/>
              <w:t>2.19</w:t>
            </w:r>
          </w:p>
        </w:tc>
      </w:tr>
      <w:tr>
        <w:trPr/>
        <w:tc>
          <w:tcPr>
            <w:tcW w:w="4020" w:type="dxa"/>
            <w:tcBorders/>
            <w:shd w:fill="auto" w:val="clear"/>
            <w:vAlign w:val="bottom"/>
          </w:tcPr>
          <w:p>
            <w:pPr>
              <w:pStyle w:val="TableContents"/>
              <w:spacing w:before="0" w:after="0"/>
              <w:ind w:left="0" w:right="0" w:hanging="0"/>
              <w:rPr/>
            </w:pPr>
            <w:r>
              <w:rPr/>
              <w:t>  </w:t>
            </w:r>
            <w:r>
              <w:rPr/>
              <w:t>Issued</w:t>
            </w:r>
          </w:p>
        </w:tc>
        <w:tc>
          <w:tcPr>
            <w:tcW w:w="1499" w:type="dxa"/>
            <w:tcBorders/>
            <w:shd w:fill="auto" w:val="clear"/>
            <w:vAlign w:val="bottom"/>
          </w:tcPr>
          <w:p>
            <w:pPr>
              <w:pStyle w:val="TableContents"/>
              <w:spacing w:before="0" w:after="0"/>
              <w:ind w:left="0" w:right="0" w:hanging="0"/>
              <w:jc w:val="right"/>
              <w:rPr/>
            </w:pPr>
            <w:r>
              <w:rPr/>
              <w:t>9,637,376 </w:t>
            </w:r>
          </w:p>
        </w:tc>
        <w:tc>
          <w:tcPr>
            <w:tcW w:w="2333" w:type="dxa"/>
            <w:tcBorders/>
            <w:shd w:fill="auto" w:val="clear"/>
            <w:vAlign w:val="bottom"/>
          </w:tcPr>
          <w:p>
            <w:pPr>
              <w:pStyle w:val="TableContents"/>
              <w:pBdr/>
              <w:spacing w:before="0" w:after="0"/>
              <w:ind w:left="0" w:right="0" w:hanging="0"/>
              <w:jc w:val="right"/>
              <w:rPr/>
            </w:pPr>
            <w:r>
              <w:rPr/>
              <w:t>0.05</w:t>
            </w:r>
          </w:p>
        </w:tc>
        <w:tc>
          <w:tcPr>
            <w:tcW w:w="2353" w:type="dxa"/>
            <w:tcBorders/>
            <w:shd w:fill="auto" w:val="clear"/>
            <w:vAlign w:val="bottom"/>
          </w:tcPr>
          <w:p>
            <w:pPr>
              <w:pStyle w:val="TableContents"/>
              <w:pBdr/>
              <w:spacing w:before="0" w:after="0"/>
              <w:ind w:left="0" w:right="0" w:hanging="0"/>
              <w:jc w:val="right"/>
              <w:rPr/>
            </w:pPr>
            <w:r>
              <w:rPr/>
              <w:t>2.52</w:t>
            </w:r>
          </w:p>
        </w:tc>
      </w:tr>
      <w:tr>
        <w:trPr/>
        <w:tc>
          <w:tcPr>
            <w:tcW w:w="4020" w:type="dxa"/>
            <w:tcBorders/>
            <w:shd w:fill="auto" w:val="clear"/>
            <w:vAlign w:val="bottom"/>
          </w:tcPr>
          <w:p>
            <w:pPr>
              <w:pStyle w:val="TableContents"/>
              <w:spacing w:before="0" w:after="0"/>
              <w:ind w:left="0" w:right="0" w:hanging="0"/>
              <w:rPr/>
            </w:pPr>
            <w:r>
              <w:rPr/>
              <w:t>  </w:t>
            </w:r>
            <w:r>
              <w:rPr/>
              <w:t>Exercised</w:t>
            </w:r>
          </w:p>
        </w:tc>
        <w:tc>
          <w:tcPr>
            <w:tcW w:w="1499" w:type="dxa"/>
            <w:tcBorders/>
            <w:shd w:fill="auto" w:val="clear"/>
            <w:vAlign w:val="bottom"/>
          </w:tcPr>
          <w:p>
            <w:pPr>
              <w:pStyle w:val="TableContents"/>
              <w:spacing w:before="0" w:after="0"/>
              <w:ind w:left="0" w:right="0" w:hanging="0"/>
              <w:jc w:val="right"/>
              <w:rPr/>
            </w:pPr>
            <w:r>
              <w:rPr/>
              <w:t>(3,000,000)</w:t>
            </w:r>
          </w:p>
        </w:tc>
        <w:tc>
          <w:tcPr>
            <w:tcW w:w="2333" w:type="dxa"/>
            <w:tcBorders/>
            <w:shd w:fill="auto" w:val="clear"/>
            <w:vAlign w:val="bottom"/>
          </w:tcPr>
          <w:p>
            <w:pPr>
              <w:pStyle w:val="TableContents"/>
              <w:pBdr/>
              <w:spacing w:before="0" w:after="0"/>
              <w:ind w:left="0" w:right="0" w:hanging="0"/>
              <w:jc w:val="right"/>
              <w:rPr/>
            </w:pPr>
            <w:r>
              <w:rPr/>
              <w:t>0.25</w:t>
            </w:r>
          </w:p>
        </w:tc>
        <w:tc>
          <w:tcPr>
            <w:tcW w:w="2353" w:type="dxa"/>
            <w:tcBorders/>
            <w:shd w:fill="auto" w:val="clear"/>
            <w:vAlign w:val="bottom"/>
          </w:tcPr>
          <w:p>
            <w:pPr>
              <w:pStyle w:val="TableContents"/>
              <w:pBdr/>
              <w:spacing w:before="0" w:after="0"/>
              <w:ind w:left="0" w:right="0" w:hanging="0"/>
              <w:jc w:val="right"/>
              <w:rPr/>
            </w:pPr>
            <w:r>
              <w:rPr/>
              <w:t>-</w:t>
            </w:r>
          </w:p>
        </w:tc>
      </w:tr>
      <w:tr>
        <w:trPr/>
        <w:tc>
          <w:tcPr>
            <w:tcW w:w="4020"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r>
              <w:rPr/>
              <w:t>Extinguished or expired</w:t>
            </w:r>
          </w:p>
        </w:tc>
        <w:tc>
          <w:tcPr>
            <w:tcW w:w="1499" w:type="dxa"/>
            <w:tcBorders>
              <w:bottom w:val="single" w:sz="2" w:space="0" w:color="000000"/>
            </w:tcBorders>
            <w:shd w:fill="auto" w:val="clear"/>
            <w:tcMar>
              <w:bottom w:w="28" w:type="dxa"/>
            </w:tcMar>
            <w:vAlign w:val="bottom"/>
          </w:tcPr>
          <w:p>
            <w:pPr>
              <w:pStyle w:val="TableContents"/>
              <w:spacing w:before="0" w:after="0"/>
              <w:ind w:left="0" w:right="0" w:hanging="0"/>
              <w:jc w:val="right"/>
              <w:rPr/>
            </w:pPr>
            <w:r>
              <w:rPr/>
              <w:t>(3,696,071)</w:t>
            </w:r>
          </w:p>
        </w:tc>
        <w:tc>
          <w:tcPr>
            <w:tcW w:w="2333"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0.39</w:t>
            </w:r>
          </w:p>
        </w:tc>
        <w:tc>
          <w:tcPr>
            <w:tcW w:w="2353" w:type="dxa"/>
            <w:tcBorders>
              <w:bottom w:val="single" w:sz="2" w:space="0" w:color="000000"/>
            </w:tcBorders>
            <w:shd w:fill="auto" w:val="clear"/>
            <w:tcMar>
              <w:bottom w:w="28" w:type="dxa"/>
            </w:tcMar>
            <w:vAlign w:val="bottom"/>
          </w:tcPr>
          <w:p>
            <w:pPr>
              <w:pStyle w:val="TableContents"/>
              <w:pBdr/>
              <w:spacing w:before="0" w:after="0"/>
              <w:ind w:left="0" w:right="0" w:hanging="0"/>
              <w:jc w:val="right"/>
              <w:rPr/>
            </w:pPr>
            <w:r>
              <w:rPr/>
              <w:t>-</w:t>
            </w:r>
          </w:p>
        </w:tc>
      </w:tr>
      <w:tr>
        <w:trPr/>
        <w:tc>
          <w:tcPr>
            <w:tcW w:w="4020" w:type="dxa"/>
            <w:tcBorders>
              <w:bottom w:val="single" w:sz="12" w:space="0" w:color="000000"/>
            </w:tcBorders>
            <w:shd w:fill="auto" w:val="clear"/>
            <w:tcMar>
              <w:bottom w:w="28" w:type="dxa"/>
            </w:tcMar>
            <w:vAlign w:val="bottom"/>
          </w:tcPr>
          <w:p>
            <w:pPr>
              <w:pStyle w:val="TableContents"/>
              <w:spacing w:before="0" w:after="0"/>
              <w:ind w:left="0" w:right="0" w:hanging="0"/>
              <w:rPr>
                <w:b/>
              </w:rPr>
            </w:pPr>
            <w:r>
              <w:rPr>
                <w:b/>
              </w:rPr>
              <w:t xml:space="preserve">Balance, September 30, 2013 </w:t>
            </w:r>
          </w:p>
        </w:tc>
        <w:tc>
          <w:tcPr>
            <w:tcW w:w="1499" w:type="dxa"/>
            <w:tcBorders>
              <w:bottom w:val="single" w:sz="12" w:space="0" w:color="000000"/>
            </w:tcBorders>
            <w:shd w:fill="auto" w:val="clear"/>
            <w:tcMar>
              <w:bottom w:w="28" w:type="dxa"/>
            </w:tcMar>
            <w:vAlign w:val="bottom"/>
          </w:tcPr>
          <w:p>
            <w:pPr>
              <w:pStyle w:val="TableContents"/>
              <w:spacing w:before="0" w:after="0"/>
              <w:ind w:left="0" w:right="0" w:hanging="0"/>
              <w:jc w:val="right"/>
              <w:rPr/>
            </w:pPr>
            <w:r>
              <w:rPr/>
              <w:t>19,849,928 </w:t>
            </w:r>
          </w:p>
        </w:tc>
        <w:tc>
          <w:tcPr>
            <w:tcW w:w="2333"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  0.24</w:t>
            </w:r>
          </w:p>
        </w:tc>
        <w:tc>
          <w:tcPr>
            <w:tcW w:w="2353"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3.35</w:t>
            </w:r>
          </w:p>
        </w:tc>
      </w:tr>
    </w:tbl>
    <w:p>
      <w:pPr>
        <w:pStyle w:val="TextBody"/>
        <w:spacing w:before="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jc w:val="both"/>
        <w:rPr/>
      </w:pPr>
      <w:r>
        <w:rPr/>
        <w:t> </w:t>
      </w:r>
    </w:p>
    <w:p>
      <w:pPr>
        <w:pStyle w:val="TextBody"/>
        <w:spacing w:before="0" w:after="0"/>
        <w:ind w:left="0" w:right="0" w:hanging="30"/>
        <w:jc w:val="both"/>
        <w:rPr/>
      </w:pPr>
      <w:r>
        <w:rPr>
          <w:b/>
          <w:u w:val="single"/>
        </w:rPr>
        <w:t>SUPPLEMENTAL CASH FLOW INFORMATION AND NON-CASH INVESTING AND FINANCING ACTIVITIES</w:t>
      </w:r>
      <w:r>
        <w:rPr>
          <w:u w:val="single"/>
        </w:rPr>
        <w:t>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638175" cy="350520"/>
                <wp:effectExtent l="0" t="0" r="0" b="0"/>
                <wp:wrapSquare wrapText="largest"/>
                <wp:docPr id="16" name="Frame16"/>
                <a:graphic xmlns:a="http://schemas.openxmlformats.org/drawingml/2006/main">
                  <a:graphicData uri="http://schemas.microsoft.com/office/word/2010/wordprocessingShape">
                    <wps:wsp>
                      <wps:cNvSpPr txBox="1"/>
                      <wps:spPr>
                        <a:xfrm>
                          <a:off x="0" y="0"/>
                          <a:ext cx="638175" cy="350520"/>
                        </a:xfrm>
                        <a:prstGeom prst="rect"/>
                      </wps:spPr>
                      <wps:txbx>
                        <w:txbxContent>
                          <w:p>
                            <w:pPr>
                              <w:pStyle w:val="TextBody"/>
                              <w:spacing w:before="0" w:after="283"/>
                              <w:rPr>
                                <w:b/>
                                <w:u w:val="single"/>
                              </w:rPr>
                            </w:pPr>
                            <w:r>
                              <w:rPr>
                                <w:b/>
                                <w:u w:val="single"/>
                              </w:rPr>
                              <w:t>NOTE 10:</w:t>
                            </w:r>
                          </w:p>
                        </w:txbxContent>
                      </wps:txbx>
                      <wps:bodyPr anchor="t" lIns="0" tIns="0" rIns="0" bIns="0">
                        <a:noAutofit/>
                      </wps:bodyPr>
                    </wps:wsp>
                  </a:graphicData>
                </a:graphic>
              </wp:anchor>
            </w:drawing>
          </mc:Choice>
          <mc:Fallback>
            <w:pict>
              <v:rect style="position:absolute;rotation:0;width:5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10:</w:t>
                      </w:r>
                    </w:p>
                  </w:txbxContent>
                </v:textbox>
                <w10:wrap type="square" side="right"/>
              </v:rect>
            </w:pict>
          </mc:Fallback>
        </mc:AlternateContent>
      </w:r>
    </w:p>
    <w:tbl>
      <w:tblPr>
        <w:tblW w:w="5000" w:type="pct"/>
        <w:jc w:val="left"/>
        <w:tblInd w:w="0" w:type="dxa"/>
        <w:tblCellMar>
          <w:top w:w="0" w:type="dxa"/>
          <w:left w:w="0" w:type="dxa"/>
          <w:bottom w:w="0" w:type="dxa"/>
          <w:right w:w="0" w:type="dxa"/>
        </w:tblCellMar>
      </w:tblPr>
      <w:tblGrid>
        <w:gridCol w:w="5802"/>
        <w:gridCol w:w="38"/>
        <w:gridCol w:w="30"/>
        <w:gridCol w:w="30"/>
        <w:gridCol w:w="33"/>
        <w:gridCol w:w="27"/>
        <w:gridCol w:w="60"/>
        <w:gridCol w:w="60"/>
        <w:gridCol w:w="259"/>
        <w:gridCol w:w="1986"/>
        <w:gridCol w:w="683"/>
        <w:gridCol w:w="455"/>
        <w:gridCol w:w="742"/>
      </w:tblGrid>
      <w:tr>
        <w:trPr/>
        <w:tc>
          <w:tcPr>
            <w:tcW w:w="5802"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r>
      <w:tr>
        <w:trPr/>
        <w:tc>
          <w:tcPr>
            <w:tcW w:w="5802"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8"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3"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87"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2928" w:type="dxa"/>
            <w:gridSpan w:val="3"/>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1197"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r>
      <w:tr>
        <w:trPr/>
        <w:tc>
          <w:tcPr>
            <w:tcW w:w="5802" w:type="dxa"/>
            <w:tcBorders/>
            <w:shd w:fill="auto" w:val="clear"/>
            <w:vAlign w:val="bottom"/>
          </w:tcPr>
          <w:p>
            <w:pPr>
              <w:pStyle w:val="TableContents"/>
              <w:spacing w:before="0" w:after="0"/>
              <w:ind w:left="0" w:right="0" w:hanging="0"/>
              <w:rPr/>
            </w:pPr>
            <w:r>
              <w:rPr/>
              <w:t> </w:t>
            </w:r>
          </w:p>
        </w:tc>
        <w:tc>
          <w:tcPr>
            <w:tcW w:w="68" w:type="dxa"/>
            <w:gridSpan w:val="2"/>
            <w:tcBorders/>
            <w:shd w:fill="auto" w:val="clear"/>
            <w:vAlign w:val="bottom"/>
          </w:tcPr>
          <w:p>
            <w:pPr>
              <w:pStyle w:val="TableContents"/>
              <w:spacing w:before="0" w:after="0"/>
              <w:ind w:left="0" w:right="0" w:hanging="0"/>
              <w:rPr/>
            </w:pPr>
            <w:r>
              <w:rPr/>
              <w:t> </w:t>
            </w:r>
          </w:p>
        </w:tc>
        <w:tc>
          <w:tcPr>
            <w:tcW w:w="63" w:type="dxa"/>
            <w:gridSpan w:val="2"/>
            <w:tcBorders/>
            <w:shd w:fill="auto" w:val="clear"/>
          </w:tcPr>
          <w:p>
            <w:pPr>
              <w:pStyle w:val="TableContents"/>
              <w:pBdr/>
              <w:spacing w:before="0" w:after="0"/>
              <w:ind w:left="0" w:right="0" w:hanging="0"/>
              <w:rPr/>
            </w:pPr>
            <w:r>
              <w:rPr/>
              <w:t> </w:t>
            </w:r>
          </w:p>
        </w:tc>
        <w:tc>
          <w:tcPr>
            <w:tcW w:w="406" w:type="dxa"/>
            <w:gridSpan w:val="4"/>
            <w:tcBorders/>
            <w:shd w:fill="auto" w:val="clear"/>
          </w:tcPr>
          <w:p>
            <w:pPr>
              <w:pStyle w:val="TableContents"/>
              <w:pBdr/>
              <w:spacing w:before="0" w:after="0"/>
              <w:ind w:left="0" w:right="0" w:hanging="0"/>
              <w:rPr/>
            </w:pPr>
            <w:r>
              <w:rPr/>
              <w:t> </w:t>
            </w:r>
          </w:p>
        </w:tc>
        <w:tc>
          <w:tcPr>
            <w:tcW w:w="3866" w:type="dxa"/>
            <w:gridSpan w:val="4"/>
            <w:tcBorders/>
            <w:shd w:fill="auto" w:val="clear"/>
          </w:tcPr>
          <w:p>
            <w:pPr>
              <w:pStyle w:val="TableContents"/>
              <w:spacing w:before="0" w:after="0"/>
              <w:ind w:left="0" w:right="0" w:hanging="0"/>
              <w:jc w:val="center"/>
              <w:rPr/>
            </w:pPr>
            <w:r>
              <w:rPr/>
              <w:t>Nine Months Ended</w:t>
            </w:r>
          </w:p>
          <w:p>
            <w:pPr>
              <w:pStyle w:val="TableContents"/>
              <w:spacing w:before="0" w:after="0"/>
              <w:ind w:left="0" w:right="0" w:hanging="0"/>
              <w:jc w:val="center"/>
              <w:rPr/>
            </w:pPr>
            <w:r>
              <w:rPr/>
              <w:t xml:space="preserve">September 30, 2013 </w:t>
            </w:r>
          </w:p>
        </w:tc>
      </w:tr>
      <w:tr>
        <w:trPr/>
        <w:tc>
          <w:tcPr>
            <w:tcW w:w="580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pPr>
            <w:r>
              <w:rPr/>
              <w:t> </w:t>
            </w:r>
          </w:p>
        </w:tc>
        <w:tc>
          <w:tcPr>
            <w:tcW w:w="68"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pPr>
            <w:r>
              <w:rPr/>
              <w:t> </w:t>
            </w:r>
          </w:p>
        </w:tc>
        <w:tc>
          <w:tcPr>
            <w:tcW w:w="63" w:type="dxa"/>
            <w:gridSpan w:val="2"/>
            <w:tcBorders>
              <w:top w:val="single" w:sz="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87" w:type="dxa"/>
            <w:gridSpan w:val="2"/>
            <w:tcBorders>
              <w:top w:val="single" w:sz="2" w:space="0" w:color="000000"/>
              <w:bottom w:val="single" w:sz="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6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rPr/>
            </w:pPr>
            <w:r>
              <w:rPr/>
              <w:t> </w:t>
            </w:r>
          </w:p>
        </w:tc>
        <w:tc>
          <w:tcPr>
            <w:tcW w:w="2928"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Shares/warrants</w:t>
            </w:r>
          </w:p>
        </w:tc>
        <w:tc>
          <w:tcPr>
            <w:tcW w:w="1197"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0"/>
              <w:ind w:left="0" w:right="0" w:hanging="0"/>
              <w:jc w:val="center"/>
              <w:rPr/>
            </w:pPr>
            <w:r>
              <w:rPr/>
              <w:t>Amount</w:t>
            </w:r>
          </w:p>
        </w:tc>
      </w:tr>
      <w:tr>
        <w:trPr/>
        <w:tc>
          <w:tcPr>
            <w:tcW w:w="5802" w:type="dxa"/>
            <w:tcBorders/>
            <w:shd w:fill="auto" w:val="clear"/>
            <w:vAlign w:val="bottom"/>
          </w:tcPr>
          <w:p>
            <w:pPr>
              <w:pStyle w:val="TableContents"/>
              <w:spacing w:before="0" w:after="0"/>
              <w:ind w:left="0" w:right="0" w:hanging="0"/>
              <w:rPr/>
            </w:pPr>
            <w:r>
              <w:rPr/>
              <w:t> </w:t>
            </w:r>
          </w:p>
        </w:tc>
        <w:tc>
          <w:tcPr>
            <w:tcW w:w="68" w:type="dxa"/>
            <w:gridSpan w:val="2"/>
            <w:tcBorders/>
            <w:shd w:fill="auto" w:val="clear"/>
            <w:vAlign w:val="bottom"/>
          </w:tcPr>
          <w:p>
            <w:pPr>
              <w:pStyle w:val="TableContents"/>
              <w:spacing w:before="0" w:after="0"/>
              <w:ind w:left="0" w:right="0" w:hanging="0"/>
              <w:rPr/>
            </w:pPr>
            <w:r>
              <w:rPr/>
              <w:t> </w:t>
            </w:r>
          </w:p>
        </w:tc>
        <w:tc>
          <w:tcPr>
            <w:tcW w:w="63" w:type="dxa"/>
            <w:gridSpan w:val="2"/>
            <w:tcBorders/>
            <w:shd w:fill="auto" w:val="clear"/>
            <w:vAlign w:val="bottom"/>
          </w:tcPr>
          <w:p>
            <w:pPr>
              <w:pStyle w:val="TableContents"/>
              <w:pBdr/>
              <w:spacing w:before="0" w:after="0"/>
              <w:ind w:left="0" w:right="0" w:hanging="0"/>
              <w:rPr/>
            </w:pPr>
            <w:r>
              <w:rPr/>
              <w:t> </w:t>
            </w:r>
          </w:p>
        </w:tc>
        <w:tc>
          <w:tcPr>
            <w:tcW w:w="87"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928" w:type="dxa"/>
            <w:gridSpan w:val="3"/>
            <w:tcBorders/>
            <w:shd w:fill="auto" w:val="clear"/>
            <w:vAlign w:val="bottom"/>
          </w:tcPr>
          <w:p>
            <w:pPr>
              <w:pStyle w:val="TableContents"/>
              <w:spacing w:before="0" w:after="0"/>
              <w:ind w:left="0" w:right="0" w:hanging="0"/>
              <w:rPr/>
            </w:pPr>
            <w:r>
              <w:rPr/>
              <w:t> </w:t>
            </w:r>
          </w:p>
        </w:tc>
        <w:tc>
          <w:tcPr>
            <w:tcW w:w="1197" w:type="dxa"/>
            <w:gridSpan w:val="2"/>
            <w:tcBorders/>
            <w:shd w:fill="auto" w:val="clear"/>
            <w:vAlign w:val="bottom"/>
          </w:tcPr>
          <w:p>
            <w:pPr>
              <w:pStyle w:val="TableContents"/>
              <w:spacing w:before="0" w:after="0"/>
              <w:ind w:left="0" w:right="0" w:hanging="0"/>
              <w:jc w:val="center"/>
              <w:rPr/>
            </w:pPr>
            <w:r>
              <w:rPr/>
              <w:t>       </w:t>
            </w:r>
            <w:r>
              <w:rPr/>
              <w:t>$</w:t>
            </w:r>
          </w:p>
        </w:tc>
      </w:tr>
      <w:tr>
        <w:trPr/>
        <w:tc>
          <w:tcPr>
            <w:tcW w:w="5802" w:type="dxa"/>
            <w:tcBorders/>
            <w:shd w:fill="auto" w:val="clear"/>
            <w:vAlign w:val="bottom"/>
          </w:tcPr>
          <w:p>
            <w:pPr>
              <w:pStyle w:val="TableContents"/>
              <w:spacing w:before="0" w:after="0"/>
              <w:ind w:left="0" w:right="0" w:hanging="0"/>
              <w:rPr/>
            </w:pPr>
            <w:r>
              <w:rPr/>
              <w:t>Shares issued pursuant to consulting arrangements</w:t>
            </w:r>
          </w:p>
        </w:tc>
        <w:tc>
          <w:tcPr>
            <w:tcW w:w="68" w:type="dxa"/>
            <w:gridSpan w:val="2"/>
            <w:tcBorders/>
            <w:shd w:fill="auto" w:val="clear"/>
            <w:vAlign w:val="bottom"/>
          </w:tcPr>
          <w:p>
            <w:pPr>
              <w:pStyle w:val="TableContents"/>
              <w:pBdr/>
              <w:spacing w:before="0" w:after="0"/>
              <w:ind w:left="0" w:right="0" w:hanging="0"/>
              <w:rPr/>
            </w:pPr>
            <w:r>
              <w:rPr/>
              <w:t> </w:t>
            </w:r>
          </w:p>
        </w:tc>
        <w:tc>
          <w:tcPr>
            <w:tcW w:w="63" w:type="dxa"/>
            <w:gridSpan w:val="2"/>
            <w:tcBorders/>
            <w:shd w:fill="auto" w:val="clear"/>
            <w:vAlign w:val="bottom"/>
          </w:tcPr>
          <w:p>
            <w:pPr>
              <w:pStyle w:val="TableContents"/>
              <w:pBdr/>
              <w:spacing w:before="0" w:after="0"/>
              <w:ind w:left="0" w:right="0" w:hanging="0"/>
              <w:rPr/>
            </w:pPr>
            <w:r>
              <w:rPr/>
              <w:t> </w:t>
            </w:r>
          </w:p>
        </w:tc>
        <w:tc>
          <w:tcPr>
            <w:tcW w:w="87"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2928" w:type="dxa"/>
            <w:gridSpan w:val="3"/>
            <w:tcBorders/>
            <w:shd w:fill="auto" w:val="clear"/>
            <w:vAlign w:val="bottom"/>
          </w:tcPr>
          <w:p>
            <w:pPr>
              <w:pStyle w:val="TableContents"/>
              <w:spacing w:before="0" w:after="0"/>
              <w:ind w:left="0" w:right="0" w:hanging="0"/>
              <w:jc w:val="right"/>
              <w:rPr/>
            </w:pPr>
            <w:r>
              <w:rPr/>
              <w:t xml:space="preserve">350,000 </w:t>
            </w:r>
          </w:p>
        </w:tc>
        <w:tc>
          <w:tcPr>
            <w:tcW w:w="1197" w:type="dxa"/>
            <w:gridSpan w:val="2"/>
            <w:tcBorders/>
            <w:shd w:fill="auto" w:val="clear"/>
            <w:vAlign w:val="bottom"/>
          </w:tcPr>
          <w:p>
            <w:pPr>
              <w:pStyle w:val="TableContents"/>
              <w:spacing w:before="0" w:after="0"/>
              <w:ind w:left="0" w:right="0" w:hanging="0"/>
              <w:jc w:val="right"/>
              <w:rPr/>
            </w:pPr>
            <w:r>
              <w:rPr/>
              <w:t>38,935</w:t>
            </w:r>
          </w:p>
        </w:tc>
      </w:tr>
      <w:tr>
        <w:trPr/>
        <w:tc>
          <w:tcPr>
            <w:tcW w:w="5802" w:type="dxa"/>
            <w:tcBorders/>
            <w:shd w:fill="auto" w:val="clear"/>
            <w:vAlign w:val="bottom"/>
          </w:tcPr>
          <w:p>
            <w:pPr>
              <w:pStyle w:val="TableContents"/>
              <w:spacing w:before="0" w:after="0"/>
              <w:ind w:left="0" w:right="0" w:hanging="0"/>
              <w:rPr/>
            </w:pPr>
            <w:r>
              <w:rPr/>
              <w:t>Shares issued pursuant to debt settlement</w:t>
            </w:r>
          </w:p>
        </w:tc>
        <w:tc>
          <w:tcPr>
            <w:tcW w:w="68" w:type="dxa"/>
            <w:gridSpan w:val="2"/>
            <w:tcBorders/>
            <w:shd w:fill="auto" w:val="clear"/>
            <w:vAlign w:val="bottom"/>
          </w:tcPr>
          <w:p>
            <w:pPr>
              <w:pStyle w:val="TableContents"/>
              <w:pBdr/>
              <w:spacing w:before="0" w:after="0"/>
              <w:ind w:left="0" w:right="0" w:hanging="0"/>
              <w:rPr/>
            </w:pPr>
            <w:r>
              <w:rPr/>
              <w:t> </w:t>
            </w:r>
          </w:p>
        </w:tc>
        <w:tc>
          <w:tcPr>
            <w:tcW w:w="63" w:type="dxa"/>
            <w:gridSpan w:val="2"/>
            <w:tcBorders/>
            <w:shd w:fill="auto" w:val="clear"/>
            <w:vAlign w:val="bottom"/>
          </w:tcPr>
          <w:p>
            <w:pPr>
              <w:pStyle w:val="TableContents"/>
              <w:pBdr/>
              <w:spacing w:before="0" w:after="0"/>
              <w:ind w:left="0" w:right="0" w:hanging="0"/>
              <w:rPr/>
            </w:pPr>
            <w:r>
              <w:rPr/>
              <w:t> </w:t>
            </w:r>
          </w:p>
        </w:tc>
        <w:tc>
          <w:tcPr>
            <w:tcW w:w="87"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2928" w:type="dxa"/>
            <w:gridSpan w:val="3"/>
            <w:tcBorders/>
            <w:shd w:fill="auto" w:val="clear"/>
            <w:vAlign w:val="bottom"/>
          </w:tcPr>
          <w:p>
            <w:pPr>
              <w:pStyle w:val="TableContents"/>
              <w:spacing w:before="0" w:after="0"/>
              <w:ind w:left="0" w:right="0" w:hanging="0"/>
              <w:jc w:val="right"/>
              <w:rPr/>
            </w:pPr>
            <w:r>
              <w:rPr/>
              <w:t>18,464,921</w:t>
            </w:r>
          </w:p>
        </w:tc>
        <w:tc>
          <w:tcPr>
            <w:tcW w:w="1197" w:type="dxa"/>
            <w:gridSpan w:val="2"/>
            <w:tcBorders/>
            <w:shd w:fill="auto" w:val="clear"/>
            <w:vAlign w:val="bottom"/>
          </w:tcPr>
          <w:p>
            <w:pPr>
              <w:pStyle w:val="TableContents"/>
              <w:spacing w:before="0" w:after="0"/>
              <w:ind w:left="0" w:right="0" w:hanging="0"/>
              <w:jc w:val="right"/>
              <w:rPr/>
            </w:pPr>
            <w:r>
              <w:rPr/>
              <w:t>400,472</w:t>
            </w:r>
          </w:p>
        </w:tc>
      </w:tr>
      <w:tr>
        <w:trPr/>
        <w:tc>
          <w:tcPr>
            <w:tcW w:w="5802" w:type="dxa"/>
            <w:tcBorders/>
            <w:shd w:fill="auto" w:val="clear"/>
            <w:vAlign w:val="bottom"/>
          </w:tcPr>
          <w:p>
            <w:pPr>
              <w:pStyle w:val="TableContents"/>
              <w:spacing w:before="0" w:after="0"/>
              <w:ind w:left="0" w:right="0" w:hanging="0"/>
              <w:rPr/>
            </w:pPr>
            <w:r>
              <w:rPr/>
              <w:t>Shares issued pursuant to a settlement agreement</w:t>
            </w:r>
          </w:p>
        </w:tc>
        <w:tc>
          <w:tcPr>
            <w:tcW w:w="68" w:type="dxa"/>
            <w:gridSpan w:val="2"/>
            <w:tcBorders/>
            <w:shd w:fill="auto" w:val="clear"/>
            <w:vAlign w:val="bottom"/>
          </w:tcPr>
          <w:p>
            <w:pPr>
              <w:pStyle w:val="TableContents"/>
              <w:pBdr/>
              <w:spacing w:before="0" w:after="0"/>
              <w:ind w:left="0" w:right="0" w:hanging="0"/>
              <w:rPr/>
            </w:pPr>
            <w:r>
              <w:rPr/>
              <w:t> </w:t>
            </w:r>
          </w:p>
        </w:tc>
        <w:tc>
          <w:tcPr>
            <w:tcW w:w="63" w:type="dxa"/>
            <w:gridSpan w:val="2"/>
            <w:tcBorders/>
            <w:shd w:fill="auto" w:val="clear"/>
            <w:vAlign w:val="bottom"/>
          </w:tcPr>
          <w:p>
            <w:pPr>
              <w:pStyle w:val="TableContents"/>
              <w:pBdr/>
              <w:spacing w:before="0" w:after="0"/>
              <w:ind w:left="0" w:right="0" w:hanging="0"/>
              <w:rPr/>
            </w:pPr>
            <w:r>
              <w:rPr/>
              <w:t> </w:t>
            </w:r>
          </w:p>
        </w:tc>
        <w:tc>
          <w:tcPr>
            <w:tcW w:w="87"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2928" w:type="dxa"/>
            <w:gridSpan w:val="3"/>
            <w:tcBorders/>
            <w:shd w:fill="auto" w:val="clear"/>
            <w:vAlign w:val="bottom"/>
          </w:tcPr>
          <w:p>
            <w:pPr>
              <w:pStyle w:val="TableContents"/>
              <w:spacing w:before="0" w:after="0"/>
              <w:ind w:left="0" w:right="0" w:hanging="0"/>
              <w:jc w:val="right"/>
              <w:rPr/>
            </w:pPr>
            <w:r>
              <w:rPr/>
              <w:t>8,000,000</w:t>
            </w:r>
          </w:p>
        </w:tc>
        <w:tc>
          <w:tcPr>
            <w:tcW w:w="1197" w:type="dxa"/>
            <w:gridSpan w:val="2"/>
            <w:tcBorders/>
            <w:shd w:fill="auto" w:val="clear"/>
            <w:vAlign w:val="bottom"/>
          </w:tcPr>
          <w:p>
            <w:pPr>
              <w:pStyle w:val="TableContents"/>
              <w:spacing w:before="0" w:after="0"/>
              <w:ind w:left="0" w:right="0" w:hanging="0"/>
              <w:jc w:val="right"/>
              <w:rPr/>
            </w:pPr>
            <w:r>
              <w:rPr/>
              <w:t>110,100</w:t>
            </w:r>
          </w:p>
        </w:tc>
      </w:tr>
      <w:tr>
        <w:trPr/>
        <w:tc>
          <w:tcPr>
            <w:tcW w:w="5802" w:type="dxa"/>
            <w:tcBorders/>
            <w:shd w:fill="auto" w:val="clear"/>
            <w:vAlign w:val="bottom"/>
          </w:tcPr>
          <w:p>
            <w:pPr>
              <w:pStyle w:val="TableContents"/>
              <w:spacing w:before="0" w:after="0"/>
              <w:ind w:left="0" w:right="0" w:hanging="0"/>
              <w:rPr/>
            </w:pPr>
            <w:r>
              <w:rPr/>
              <w:t>Shares issued pursuant to notes conversion</w:t>
            </w:r>
          </w:p>
        </w:tc>
        <w:tc>
          <w:tcPr>
            <w:tcW w:w="68" w:type="dxa"/>
            <w:gridSpan w:val="2"/>
            <w:tcBorders/>
            <w:shd w:fill="auto" w:val="clear"/>
            <w:vAlign w:val="bottom"/>
          </w:tcPr>
          <w:p>
            <w:pPr>
              <w:pStyle w:val="TableContents"/>
              <w:pBdr/>
              <w:spacing w:before="0" w:after="0"/>
              <w:ind w:left="0" w:right="0" w:hanging="0"/>
              <w:rPr/>
            </w:pPr>
            <w:r>
              <w:rPr/>
              <w:t> </w:t>
            </w:r>
          </w:p>
        </w:tc>
        <w:tc>
          <w:tcPr>
            <w:tcW w:w="63" w:type="dxa"/>
            <w:gridSpan w:val="2"/>
            <w:tcBorders/>
            <w:shd w:fill="auto" w:val="clear"/>
            <w:vAlign w:val="bottom"/>
          </w:tcPr>
          <w:p>
            <w:pPr>
              <w:pStyle w:val="TableContents"/>
              <w:pBdr/>
              <w:spacing w:before="0" w:after="0"/>
              <w:ind w:left="0" w:right="0" w:hanging="0"/>
              <w:rPr/>
            </w:pPr>
            <w:r>
              <w:rPr/>
              <w:t> </w:t>
            </w:r>
          </w:p>
        </w:tc>
        <w:tc>
          <w:tcPr>
            <w:tcW w:w="87"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2928" w:type="dxa"/>
            <w:gridSpan w:val="3"/>
            <w:tcBorders/>
            <w:shd w:fill="auto" w:val="clear"/>
            <w:vAlign w:val="bottom"/>
          </w:tcPr>
          <w:p>
            <w:pPr>
              <w:pStyle w:val="TableContents"/>
              <w:spacing w:before="0" w:after="0"/>
              <w:ind w:left="0" w:right="0" w:hanging="0"/>
              <w:jc w:val="right"/>
              <w:rPr/>
            </w:pPr>
            <w:r>
              <w:rPr/>
              <w:t xml:space="preserve">30,471,339 </w:t>
            </w:r>
          </w:p>
        </w:tc>
        <w:tc>
          <w:tcPr>
            <w:tcW w:w="1197" w:type="dxa"/>
            <w:gridSpan w:val="2"/>
            <w:tcBorders/>
            <w:shd w:fill="auto" w:val="clear"/>
            <w:vAlign w:val="bottom"/>
          </w:tcPr>
          <w:p>
            <w:pPr>
              <w:pStyle w:val="TableContents"/>
              <w:spacing w:before="0" w:after="0"/>
              <w:ind w:left="0" w:right="0" w:hanging="0"/>
              <w:jc w:val="right"/>
              <w:rPr/>
            </w:pPr>
            <w:r>
              <w:rPr/>
              <w:t>699,427</w:t>
            </w:r>
          </w:p>
        </w:tc>
      </w:tr>
      <w:tr>
        <w:trPr/>
        <w:tc>
          <w:tcPr>
            <w:tcW w:w="5840" w:type="dxa"/>
            <w:gridSpan w:val="2"/>
            <w:tcBorders>
              <w:top w:val="single" w:sz="1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pPr>
            <w:r>
              <w:rPr/>
            </w:r>
          </w:p>
          <w:p>
            <w:pPr>
              <w:pStyle w:val="TableContents"/>
              <w:spacing w:before="0" w:after="0"/>
              <w:ind w:left="0" w:right="0" w:hanging="0"/>
              <w:rPr/>
            </w:pPr>
            <w:r>
              <w:rPr/>
            </w:r>
          </w:p>
        </w:tc>
        <w:tc>
          <w:tcPr>
            <w:tcW w:w="60" w:type="dxa"/>
            <w:gridSpan w:val="2"/>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60" w:type="dxa"/>
            <w:gridSpan w:val="2"/>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60" w:type="dxa"/>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60" w:type="dxa"/>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2245" w:type="dxa"/>
            <w:gridSpan w:val="2"/>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c>
          <w:tcPr>
            <w:tcW w:w="1880" w:type="dxa"/>
            <w:gridSpan w:val="3"/>
            <w:tcBorders>
              <w:top w:val="single" w:sz="12" w:space="0" w:color="000000"/>
              <w:bottom w:val="single" w:sz="12" w:space="0" w:color="000000"/>
            </w:tcBorders>
            <w:shd w:fill="auto" w:val="clear"/>
            <w:tcMar>
              <w:top w:w="28" w:type="dxa"/>
              <w:bottom w:w="28" w:type="dxa"/>
            </w:tcMar>
            <w:vAlign w:val="bottom"/>
          </w:tcPr>
          <w:p>
            <w:pPr>
              <w:pStyle w:val="TableContents"/>
              <w:pBdr/>
              <w:spacing w:before="0" w:after="0"/>
              <w:ind w:left="0" w:right="0" w:hanging="0"/>
              <w:rPr/>
            </w:pPr>
            <w:r>
              <w:rPr/>
              <w:t> </w:t>
            </w:r>
          </w:p>
        </w:tc>
      </w:tr>
      <w:tr>
        <w:trPr/>
        <w:tc>
          <w:tcPr>
            <w:tcW w:w="5840"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 </w:t>
            </w:r>
          </w:p>
        </w:tc>
        <w:tc>
          <w:tcPr>
            <w:tcW w:w="60"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 </w:t>
            </w:r>
          </w:p>
        </w:tc>
        <w:tc>
          <w:tcPr>
            <w:tcW w:w="60" w:type="dxa"/>
            <w:gridSpan w:val="2"/>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6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60" w:type="dxa"/>
            <w:tcBorders>
              <w:bottom w:val="single" w:sz="2" w:space="0" w:color="000000"/>
            </w:tcBorders>
            <w:shd w:fill="auto" w:val="clear"/>
            <w:tcMar>
              <w:bottom w:w="28" w:type="dxa"/>
            </w:tcMar>
          </w:tcPr>
          <w:p>
            <w:pPr>
              <w:pStyle w:val="TableContents"/>
              <w:pBdr/>
              <w:spacing w:before="0" w:after="0"/>
              <w:ind w:left="0" w:right="0" w:hanging="0"/>
              <w:rPr/>
            </w:pPr>
            <w:r>
              <w:rPr/>
              <w:t> </w:t>
            </w:r>
          </w:p>
        </w:tc>
        <w:tc>
          <w:tcPr>
            <w:tcW w:w="2245"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pPr>
            <w:r>
              <w:rPr/>
              <w:t>Nine Months Ended</w:t>
            </w:r>
          </w:p>
          <w:p>
            <w:pPr>
              <w:pStyle w:val="TableContents"/>
              <w:spacing w:before="0" w:after="0"/>
              <w:ind w:left="0" w:right="0" w:hanging="0"/>
              <w:jc w:val="center"/>
              <w:rPr/>
            </w:pPr>
            <w:r>
              <w:rPr/>
              <w:t>       </w:t>
            </w:r>
            <w:r>
              <w:rPr/>
              <w:t>September 30, 2012</w:t>
            </w:r>
          </w:p>
        </w:tc>
        <w:tc>
          <w:tcPr>
            <w:tcW w:w="1880" w:type="dxa"/>
            <w:gridSpan w:val="3"/>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r>
      <w:tr>
        <w:trPr/>
        <w:tc>
          <w:tcPr>
            <w:tcW w:w="5840"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 </w:t>
            </w:r>
          </w:p>
        </w:tc>
        <w:tc>
          <w:tcPr>
            <w:tcW w:w="60" w:type="dxa"/>
            <w:gridSpan w:val="2"/>
            <w:tcBorders>
              <w:bottom w:val="single" w:sz="2" w:space="0" w:color="000000"/>
            </w:tcBorders>
            <w:shd w:fill="auto" w:val="clear"/>
            <w:tcMar>
              <w:bottom w:w="28" w:type="dxa"/>
            </w:tcMar>
            <w:vAlign w:val="bottom"/>
          </w:tcPr>
          <w:p>
            <w:pPr>
              <w:pStyle w:val="TableContents"/>
              <w:spacing w:before="0" w:after="0"/>
              <w:ind w:left="0" w:right="0" w:hanging="0"/>
              <w:rPr/>
            </w:pPr>
            <w:r>
              <w:rPr/>
              <w:t> </w:t>
            </w:r>
          </w:p>
        </w:tc>
        <w:tc>
          <w:tcPr>
            <w:tcW w:w="60" w:type="dxa"/>
            <w:gridSpan w:val="2"/>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tcBorders>
              <w:bottom w:val="single" w:sz="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tcBorders>
              <w:bottom w:val="single" w:sz="2" w:space="0" w:color="000000"/>
            </w:tcBorders>
            <w:shd w:fill="auto" w:val="clear"/>
            <w:tcMar>
              <w:bottom w:w="28" w:type="dxa"/>
            </w:tcMar>
            <w:vAlign w:val="bottom"/>
          </w:tcPr>
          <w:p>
            <w:pPr>
              <w:pStyle w:val="TableContents"/>
              <w:spacing w:before="0" w:after="0"/>
              <w:ind w:left="0" w:right="0" w:hanging="0"/>
              <w:rPr/>
            </w:pPr>
            <w:r>
              <w:rPr/>
              <w:t> </w:t>
            </w:r>
          </w:p>
        </w:tc>
        <w:tc>
          <w:tcPr>
            <w:tcW w:w="2245" w:type="dxa"/>
            <w:gridSpan w:val="2"/>
            <w:tcBorders>
              <w:bottom w:val="single" w:sz="2" w:space="0" w:color="000000"/>
            </w:tcBorders>
            <w:shd w:fill="auto" w:val="clear"/>
            <w:tcMar>
              <w:bottom w:w="28" w:type="dxa"/>
            </w:tcMar>
            <w:vAlign w:val="bottom"/>
          </w:tcPr>
          <w:p>
            <w:pPr>
              <w:pStyle w:val="TableContents"/>
              <w:spacing w:before="0" w:after="0"/>
              <w:ind w:left="0" w:right="0" w:hanging="0"/>
              <w:jc w:val="center"/>
              <w:rPr/>
            </w:pPr>
            <w:r>
              <w:rPr/>
              <w:t>Shares/warrants</w:t>
            </w:r>
          </w:p>
        </w:tc>
        <w:tc>
          <w:tcPr>
            <w:tcW w:w="1880" w:type="dxa"/>
            <w:gridSpan w:val="3"/>
            <w:tcBorders>
              <w:bottom w:val="single" w:sz="2" w:space="0" w:color="000000"/>
            </w:tcBorders>
            <w:shd w:fill="auto" w:val="clear"/>
            <w:tcMar>
              <w:bottom w:w="28" w:type="dxa"/>
            </w:tcMar>
            <w:vAlign w:val="bottom"/>
          </w:tcPr>
          <w:p>
            <w:pPr>
              <w:pStyle w:val="TableContents"/>
              <w:spacing w:before="0" w:after="0"/>
              <w:ind w:left="0" w:right="0" w:hanging="0"/>
              <w:jc w:val="center"/>
              <w:rPr/>
            </w:pPr>
            <w:r>
              <w:rPr/>
              <w:t>Amount</w:t>
            </w:r>
          </w:p>
        </w:tc>
      </w:tr>
      <w:tr>
        <w:trPr/>
        <w:tc>
          <w:tcPr>
            <w:tcW w:w="5840" w:type="dxa"/>
            <w:gridSpan w:val="2"/>
            <w:tcBorders/>
            <w:shd w:fill="auto" w:val="clear"/>
            <w:vAlign w:val="bottom"/>
          </w:tcPr>
          <w:p>
            <w:pPr>
              <w:pStyle w:val="TableContents"/>
              <w:spacing w:before="0" w:after="0"/>
              <w:ind w:left="0" w:right="0" w:hanging="0"/>
              <w:rPr/>
            </w:pPr>
            <w:r>
              <w:rPr/>
              <w:t> </w:t>
            </w:r>
          </w:p>
        </w:tc>
        <w:tc>
          <w:tcPr>
            <w:tcW w:w="60" w:type="dxa"/>
            <w:gridSpan w:val="2"/>
            <w:tcBorders/>
            <w:shd w:fill="auto" w:val="clear"/>
            <w:vAlign w:val="bottom"/>
          </w:tcPr>
          <w:p>
            <w:pPr>
              <w:pStyle w:val="TableContents"/>
              <w:spacing w:before="0" w:after="0"/>
              <w:ind w:left="0" w:right="0" w:hanging="0"/>
              <w:rPr/>
            </w:pPr>
            <w:r>
              <w:rPr/>
              <w:t> </w:t>
            </w:r>
          </w:p>
        </w:tc>
        <w:tc>
          <w:tcPr>
            <w:tcW w:w="60"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245" w:type="dxa"/>
            <w:gridSpan w:val="2"/>
            <w:tcBorders/>
            <w:shd w:fill="auto" w:val="clear"/>
            <w:vAlign w:val="bottom"/>
          </w:tcPr>
          <w:p>
            <w:pPr>
              <w:pStyle w:val="TableContents"/>
              <w:spacing w:before="0" w:after="0"/>
              <w:ind w:left="0" w:right="0" w:hanging="0"/>
              <w:rPr/>
            </w:pPr>
            <w:r>
              <w:rPr/>
              <w:t> </w:t>
            </w:r>
          </w:p>
        </w:tc>
        <w:tc>
          <w:tcPr>
            <w:tcW w:w="1880" w:type="dxa"/>
            <w:gridSpan w:val="3"/>
            <w:tcBorders/>
            <w:shd w:fill="auto" w:val="clear"/>
            <w:vAlign w:val="bottom"/>
          </w:tcPr>
          <w:p>
            <w:pPr>
              <w:pStyle w:val="TableContents"/>
              <w:spacing w:before="0" w:after="0"/>
              <w:ind w:left="0" w:right="0" w:hanging="0"/>
              <w:jc w:val="center"/>
              <w:rPr/>
            </w:pPr>
            <w:r>
              <w:rPr/>
              <w:t>     </w:t>
            </w:r>
            <w:r>
              <w:rPr/>
              <w:t>$</w:t>
            </w:r>
          </w:p>
        </w:tc>
      </w:tr>
      <w:tr>
        <w:trPr/>
        <w:tc>
          <w:tcPr>
            <w:tcW w:w="5840" w:type="dxa"/>
            <w:gridSpan w:val="2"/>
            <w:tcBorders/>
            <w:shd w:fill="auto" w:val="clear"/>
            <w:vAlign w:val="bottom"/>
          </w:tcPr>
          <w:p>
            <w:pPr>
              <w:pStyle w:val="TableContents"/>
              <w:spacing w:before="0" w:after="0"/>
              <w:ind w:left="0" w:right="0" w:hanging="0"/>
              <w:rPr/>
            </w:pPr>
            <w:r>
              <w:rPr/>
              <w:t>Shares issued pursuant to debt settlement agreements</w:t>
            </w:r>
          </w:p>
        </w:tc>
        <w:tc>
          <w:tcPr>
            <w:tcW w:w="60" w:type="dxa"/>
            <w:gridSpan w:val="2"/>
            <w:tcBorders/>
            <w:shd w:fill="auto" w:val="clear"/>
            <w:vAlign w:val="bottom"/>
          </w:tcPr>
          <w:p>
            <w:pPr>
              <w:pStyle w:val="TableContents"/>
              <w:pBdr/>
              <w:spacing w:before="0" w:after="0"/>
              <w:ind w:left="0" w:right="0" w:hanging="0"/>
              <w:rPr/>
            </w:pPr>
            <w:r>
              <w:rPr/>
              <w:t> </w:t>
            </w:r>
          </w:p>
        </w:tc>
        <w:tc>
          <w:tcPr>
            <w:tcW w:w="60" w:type="dxa"/>
            <w:gridSpan w:val="2"/>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60" w:type="dxa"/>
            <w:tcBorders/>
            <w:shd w:fill="auto" w:val="clear"/>
            <w:vAlign w:val="bottom"/>
          </w:tcPr>
          <w:p>
            <w:pPr>
              <w:pStyle w:val="TableContents"/>
              <w:pBdr/>
              <w:spacing w:before="0" w:after="0"/>
              <w:ind w:left="0" w:right="0" w:hanging="0"/>
              <w:rPr/>
            </w:pPr>
            <w:r>
              <w:rPr/>
              <w:t> </w:t>
            </w:r>
          </w:p>
        </w:tc>
        <w:tc>
          <w:tcPr>
            <w:tcW w:w="2245" w:type="dxa"/>
            <w:gridSpan w:val="2"/>
            <w:tcBorders/>
            <w:shd w:fill="auto" w:val="clear"/>
            <w:vAlign w:val="bottom"/>
          </w:tcPr>
          <w:p>
            <w:pPr>
              <w:pStyle w:val="TableContents"/>
              <w:spacing w:before="0" w:after="0"/>
              <w:ind w:left="0" w:right="0" w:hanging="0"/>
              <w:jc w:val="right"/>
              <w:rPr/>
            </w:pPr>
            <w:r>
              <w:rPr/>
              <w:t xml:space="preserve">2,126,447 </w:t>
            </w:r>
          </w:p>
        </w:tc>
        <w:tc>
          <w:tcPr>
            <w:tcW w:w="1880" w:type="dxa"/>
            <w:gridSpan w:val="3"/>
            <w:tcBorders/>
            <w:shd w:fill="auto" w:val="clear"/>
            <w:vAlign w:val="bottom"/>
          </w:tcPr>
          <w:p>
            <w:pPr>
              <w:pStyle w:val="TableContents"/>
              <w:spacing w:before="0" w:after="0"/>
              <w:ind w:left="0" w:right="0" w:hanging="0"/>
              <w:rPr/>
            </w:pPr>
            <w:r>
              <w:rPr/>
              <w:t>$326,937</w:t>
            </w:r>
          </w:p>
        </w:tc>
      </w:tr>
      <w:tr>
        <w:trPr/>
        <w:tc>
          <w:tcPr>
            <w:tcW w:w="5840" w:type="dxa"/>
            <w:gridSpan w:val="2"/>
            <w:tcBorders>
              <w:bottom w:val="single" w:sz="12" w:space="0" w:color="000000"/>
            </w:tcBorders>
            <w:shd w:fill="auto" w:val="clear"/>
            <w:tcMar>
              <w:bottom w:w="28" w:type="dxa"/>
            </w:tcMar>
            <w:vAlign w:val="bottom"/>
          </w:tcPr>
          <w:p>
            <w:pPr>
              <w:pStyle w:val="TableContents"/>
              <w:spacing w:before="0" w:after="0"/>
              <w:ind w:left="0" w:right="0" w:hanging="0"/>
              <w:rPr/>
            </w:pPr>
            <w:r>
              <w:rPr/>
              <w:t>Common shares issued pursuant to consulting service arrangements</w:t>
            </w:r>
          </w:p>
        </w:tc>
        <w:tc>
          <w:tcPr>
            <w:tcW w:w="60"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gridSpan w:val="2"/>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60" w:type="dxa"/>
            <w:tcBorders>
              <w:bottom w:val="single" w:sz="12" w:space="0" w:color="000000"/>
            </w:tcBorders>
            <w:shd w:fill="auto" w:val="clear"/>
            <w:tcMar>
              <w:bottom w:w="28" w:type="dxa"/>
            </w:tcMar>
            <w:vAlign w:val="bottom"/>
          </w:tcPr>
          <w:p>
            <w:pPr>
              <w:pStyle w:val="TableContents"/>
              <w:pBdr/>
              <w:spacing w:before="0" w:after="0"/>
              <w:ind w:left="0" w:right="0" w:hanging="0"/>
              <w:rPr/>
            </w:pPr>
            <w:r>
              <w:rPr/>
              <w:t> </w:t>
            </w:r>
          </w:p>
        </w:tc>
        <w:tc>
          <w:tcPr>
            <w:tcW w:w="2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pPr>
            <w:r>
              <w:rPr/>
              <w:t xml:space="preserve">14,535,179 </w:t>
            </w:r>
          </w:p>
        </w:tc>
        <w:tc>
          <w:tcPr>
            <w:tcW w:w="1880" w:type="dxa"/>
            <w:gridSpan w:val="3"/>
            <w:tcBorders>
              <w:bottom w:val="single" w:sz="12" w:space="0" w:color="000000"/>
            </w:tcBorders>
            <w:shd w:fill="auto" w:val="clear"/>
            <w:tcMar>
              <w:bottom w:w="28" w:type="dxa"/>
            </w:tcMar>
            <w:vAlign w:val="bottom"/>
          </w:tcPr>
          <w:p>
            <w:pPr>
              <w:pStyle w:val="TableContents"/>
              <w:spacing w:before="0" w:after="0"/>
              <w:ind w:left="0" w:right="0" w:hanging="0"/>
              <w:rPr/>
            </w:pPr>
            <w:r>
              <w:rPr/>
              <w:t>$1,998,000</w:t>
            </w:r>
          </w:p>
        </w:tc>
      </w:tr>
    </w:tbl>
    <w:p>
      <w:pPr>
        <w:pStyle w:val="TextBody"/>
        <w:spacing w:before="90" w:after="90"/>
        <w:ind w:left="90" w:right="90" w:hanging="0"/>
        <w:jc w:val="both"/>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r>
    </w:p>
    <w:p>
      <w:pPr>
        <w:pStyle w:val="TextBody"/>
        <w:spacing w:before="0" w:after="0"/>
        <w:ind w:left="0" w:right="0" w:hanging="0"/>
        <w:jc w:val="both"/>
        <w:rPr/>
      </w:pPr>
      <w:r>
        <w:rPr/>
        <w:t>See Notes 5 and 9 for additional disclosure on non-cash transactions.</w:t>
      </w:r>
    </w:p>
    <w:p>
      <w:pPr>
        <w:pStyle w:val="TextBody"/>
        <w:spacing w:before="90" w:after="90"/>
        <w:ind w:left="90" w:right="90" w:hanging="0"/>
        <w:jc w:val="both"/>
        <w:rPr/>
      </w:pPr>
      <w:r>
        <w:rPr/>
      </w:r>
    </w:p>
    <w:tbl>
      <w:tblPr>
        <w:tblW w:w="5000" w:type="pct"/>
        <w:jc w:val="left"/>
        <w:tblInd w:w="0" w:type="dxa"/>
        <w:tblCellMar>
          <w:top w:w="0" w:type="dxa"/>
          <w:left w:w="0" w:type="dxa"/>
          <w:bottom w:w="0" w:type="dxa"/>
          <w:right w:w="0" w:type="dxa"/>
        </w:tblCellMar>
      </w:tblPr>
      <w:tblGrid>
        <w:gridCol w:w="3603"/>
        <w:gridCol w:w="3251"/>
        <w:gridCol w:w="3351"/>
      </w:tblGrid>
      <w:tr>
        <w:trPr/>
        <w:tc>
          <w:tcPr>
            <w:tcW w:w="3603" w:type="dxa"/>
            <w:tcBorders/>
            <w:shd w:fill="auto" w:val="clear"/>
            <w:vAlign w:val="center"/>
          </w:tcPr>
          <w:p>
            <w:pPr>
              <w:pStyle w:val="TableContents"/>
              <w:spacing w:before="0" w:after="283"/>
              <w:rPr>
                <w:sz w:val="4"/>
                <w:szCs w:val="4"/>
              </w:rPr>
            </w:pPr>
            <w:r>
              <w:rPr>
                <w:sz w:val="4"/>
                <w:szCs w:val="4"/>
              </w:rPr>
            </w:r>
          </w:p>
        </w:tc>
        <w:tc>
          <w:tcPr>
            <w:tcW w:w="3251" w:type="dxa"/>
            <w:tcBorders/>
            <w:shd w:fill="auto" w:val="clear"/>
            <w:vAlign w:val="center"/>
          </w:tcPr>
          <w:p>
            <w:pPr>
              <w:pStyle w:val="TableContents"/>
              <w:spacing w:before="0" w:after="283"/>
              <w:rPr>
                <w:sz w:val="4"/>
                <w:szCs w:val="4"/>
              </w:rPr>
            </w:pPr>
            <w:r>
              <w:rPr>
                <w:sz w:val="4"/>
                <w:szCs w:val="4"/>
              </w:rPr>
            </w:r>
          </w:p>
        </w:tc>
        <w:tc>
          <w:tcPr>
            <w:tcW w:w="3351" w:type="dxa"/>
            <w:tcBorders/>
            <w:shd w:fill="auto" w:val="clear"/>
            <w:vAlign w:val="center"/>
          </w:tcPr>
          <w:p>
            <w:pPr>
              <w:pStyle w:val="TableContents"/>
              <w:spacing w:before="0" w:after="283"/>
              <w:rPr>
                <w:sz w:val="4"/>
                <w:szCs w:val="4"/>
              </w:rPr>
            </w:pPr>
            <w:r>
              <w:rPr>
                <w:sz w:val="4"/>
                <w:szCs w:val="4"/>
              </w:rPr>
            </w:r>
          </w:p>
        </w:tc>
      </w:tr>
      <w:tr>
        <w:trPr/>
        <w:tc>
          <w:tcPr>
            <w:tcW w:w="3603" w:type="dxa"/>
            <w:vMerge w:val="restart"/>
            <w:tcBorders>
              <w:top w:val="single" w:sz="12" w:space="0" w:color="000000"/>
            </w:tcBorders>
            <w:shd w:fill="auto" w:val="clear"/>
            <w:tcMar>
              <w:top w:w="28" w:type="dxa"/>
            </w:tcMar>
          </w:tcPr>
          <w:p>
            <w:pPr>
              <w:pStyle w:val="TableContents"/>
              <w:spacing w:before="0" w:after="0"/>
              <w:ind w:left="0" w:right="0" w:hanging="0"/>
              <w:rPr/>
            </w:pPr>
            <w:r>
              <w:rPr/>
            </w:r>
          </w:p>
        </w:tc>
        <w:tc>
          <w:tcPr>
            <w:tcW w:w="6602" w:type="dxa"/>
            <w:gridSpan w:val="2"/>
            <w:tcBorders>
              <w:top w:val="single" w:sz="12" w:space="0" w:color="000000"/>
            </w:tcBorders>
            <w:shd w:fill="auto" w:val="clear"/>
            <w:tcMar>
              <w:top w:w="28" w:type="dxa"/>
            </w:tcMar>
          </w:tcPr>
          <w:p>
            <w:pPr>
              <w:pStyle w:val="TableContents"/>
              <w:spacing w:before="0" w:after="0"/>
              <w:ind w:left="0" w:right="0" w:hanging="0"/>
              <w:jc w:val="center"/>
              <w:rPr/>
            </w:pPr>
            <w:r>
              <w:rPr/>
              <w:t>                      </w:t>
            </w:r>
            <w:r>
              <w:rPr/>
              <w:t>Period Ended June 30,</w:t>
            </w:r>
          </w:p>
        </w:tc>
      </w:tr>
      <w:tr>
        <w:trPr/>
        <w:tc>
          <w:tcPr>
            <w:tcW w:w="3603" w:type="dxa"/>
            <w:vMerge w:val="continue"/>
            <w:tcBorders>
              <w:top w:val="single" w:sz="12" w:space="0" w:color="000000"/>
            </w:tcBorders>
            <w:shd w:fill="auto" w:val="clear"/>
            <w:tcMar>
              <w:top w:w="28" w:type="dxa"/>
            </w:tcMar>
          </w:tcPr>
          <w:p>
            <w:pPr>
              <w:pStyle w:val="Normal"/>
              <w:rPr/>
            </w:pPr>
            <w:r>
              <w:rPr/>
            </w:r>
          </w:p>
        </w:tc>
        <w:tc>
          <w:tcPr>
            <w:tcW w:w="3251" w:type="dxa"/>
            <w:tcBorders>
              <w:bottom w:val="single" w:sz="2" w:space="0" w:color="000000"/>
            </w:tcBorders>
            <w:shd w:fill="auto" w:val="clear"/>
            <w:tcMar>
              <w:bottom w:w="28" w:type="dxa"/>
            </w:tcMar>
          </w:tcPr>
          <w:p>
            <w:pPr>
              <w:pStyle w:val="TableContents"/>
              <w:spacing w:before="0" w:after="0"/>
              <w:ind w:left="0" w:right="0" w:hanging="0"/>
              <w:jc w:val="right"/>
              <w:rPr/>
            </w:pPr>
            <w:r>
              <w:rPr/>
              <w:t>2013</w:t>
            </w:r>
          </w:p>
        </w:tc>
        <w:tc>
          <w:tcPr>
            <w:tcW w:w="3351" w:type="dxa"/>
            <w:tcBorders>
              <w:bottom w:val="single" w:sz="2" w:space="0" w:color="000000"/>
            </w:tcBorders>
            <w:shd w:fill="auto" w:val="clear"/>
            <w:tcMar>
              <w:bottom w:w="28" w:type="dxa"/>
            </w:tcMar>
          </w:tcPr>
          <w:p>
            <w:pPr>
              <w:pStyle w:val="TableContents"/>
              <w:spacing w:before="0" w:after="0"/>
              <w:ind w:left="0" w:right="0" w:hanging="0"/>
              <w:jc w:val="right"/>
              <w:rPr/>
            </w:pPr>
            <w:r>
              <w:rPr/>
              <w:t>2012</w:t>
            </w:r>
          </w:p>
        </w:tc>
      </w:tr>
      <w:tr>
        <w:trPr/>
        <w:tc>
          <w:tcPr>
            <w:tcW w:w="3603" w:type="dxa"/>
            <w:tcBorders>
              <w:top w:val="single" w:sz="2" w:space="0" w:color="000000"/>
            </w:tcBorders>
            <w:shd w:fill="auto" w:val="clear"/>
            <w:tcMar>
              <w:top w:w="28" w:type="dxa"/>
            </w:tcMar>
          </w:tcPr>
          <w:p>
            <w:pPr>
              <w:pStyle w:val="TableContents"/>
              <w:pBdr/>
              <w:spacing w:before="0" w:after="0"/>
              <w:ind w:left="0" w:right="0" w:hanging="0"/>
              <w:rPr/>
            </w:pPr>
            <w:r>
              <w:rPr/>
              <w:t> </w:t>
            </w:r>
          </w:p>
        </w:tc>
        <w:tc>
          <w:tcPr>
            <w:tcW w:w="3251" w:type="dxa"/>
            <w:tcBorders/>
            <w:shd w:fill="auto" w:val="clear"/>
            <w:vAlign w:val="bottom"/>
          </w:tcPr>
          <w:p>
            <w:pPr>
              <w:pStyle w:val="TableContents"/>
              <w:pBdr/>
              <w:spacing w:before="0" w:after="0"/>
              <w:ind w:left="0" w:right="0" w:hanging="0"/>
              <w:rPr/>
            </w:pPr>
            <w:r>
              <w:rPr/>
              <w:t> </w:t>
            </w:r>
          </w:p>
        </w:tc>
        <w:tc>
          <w:tcPr>
            <w:tcW w:w="3351" w:type="dxa"/>
            <w:tcBorders/>
            <w:shd w:fill="auto" w:val="clear"/>
            <w:vAlign w:val="bottom"/>
          </w:tcPr>
          <w:p>
            <w:pPr>
              <w:pStyle w:val="TableContents"/>
              <w:pBdr/>
              <w:spacing w:before="0" w:after="0"/>
              <w:ind w:left="0" w:right="0" w:hanging="0"/>
              <w:rPr/>
            </w:pPr>
            <w:r>
              <w:rPr/>
              <w:t> </w:t>
            </w:r>
          </w:p>
        </w:tc>
      </w:tr>
      <w:tr>
        <w:trPr/>
        <w:tc>
          <w:tcPr>
            <w:tcW w:w="3603" w:type="dxa"/>
            <w:tcBorders/>
            <w:shd w:fill="auto" w:val="clear"/>
          </w:tcPr>
          <w:p>
            <w:pPr>
              <w:pStyle w:val="TableContents"/>
              <w:spacing w:before="0" w:after="0"/>
              <w:ind w:left="0" w:right="0" w:hanging="0"/>
              <w:rPr/>
            </w:pPr>
            <w:r>
              <w:rPr/>
              <w:t>Interest paid in cash</w:t>
            </w:r>
          </w:p>
        </w:tc>
        <w:tc>
          <w:tcPr>
            <w:tcW w:w="3251" w:type="dxa"/>
            <w:tcBorders/>
            <w:shd w:fill="auto" w:val="clear"/>
            <w:vAlign w:val="bottom"/>
          </w:tcPr>
          <w:p>
            <w:pPr>
              <w:pStyle w:val="TableContents"/>
              <w:pBdr/>
              <w:spacing w:before="0" w:after="0"/>
              <w:ind w:left="0" w:right="0" w:hanging="0"/>
              <w:jc w:val="right"/>
              <w:rPr/>
            </w:pPr>
            <w:r>
              <w:rPr/>
              <w:t>$  -</w:t>
            </w:r>
          </w:p>
        </w:tc>
        <w:tc>
          <w:tcPr>
            <w:tcW w:w="3351" w:type="dxa"/>
            <w:tcBorders/>
            <w:shd w:fill="auto" w:val="clear"/>
            <w:vAlign w:val="bottom"/>
          </w:tcPr>
          <w:p>
            <w:pPr>
              <w:pStyle w:val="TableContents"/>
              <w:pBdr/>
              <w:spacing w:before="0" w:after="0"/>
              <w:ind w:left="0" w:right="0" w:hanging="0"/>
              <w:jc w:val="right"/>
              <w:rPr/>
            </w:pPr>
            <w:r>
              <w:rPr/>
              <w:t>$  -</w:t>
            </w:r>
          </w:p>
        </w:tc>
      </w:tr>
      <w:tr>
        <w:trPr/>
        <w:tc>
          <w:tcPr>
            <w:tcW w:w="3603" w:type="dxa"/>
            <w:tcBorders>
              <w:bottom w:val="single" w:sz="12" w:space="0" w:color="000000"/>
            </w:tcBorders>
            <w:shd w:fill="auto" w:val="clear"/>
            <w:tcMar>
              <w:bottom w:w="28" w:type="dxa"/>
            </w:tcMar>
          </w:tcPr>
          <w:p>
            <w:pPr>
              <w:pStyle w:val="TableContents"/>
              <w:spacing w:before="0" w:after="0"/>
              <w:ind w:left="0" w:right="0" w:hanging="0"/>
              <w:rPr/>
            </w:pPr>
            <w:r>
              <w:rPr/>
              <w:t>Income taxes paid</w:t>
            </w:r>
          </w:p>
        </w:tc>
        <w:tc>
          <w:tcPr>
            <w:tcW w:w="3251"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  -</w:t>
            </w:r>
          </w:p>
        </w:tc>
        <w:tc>
          <w:tcPr>
            <w:tcW w:w="3351" w:type="dxa"/>
            <w:tcBorders>
              <w:bottom w:val="single" w:sz="12" w:space="0" w:color="000000"/>
            </w:tcBorders>
            <w:shd w:fill="auto" w:val="clear"/>
            <w:tcMar>
              <w:bottom w:w="28" w:type="dxa"/>
            </w:tcMar>
            <w:vAlign w:val="bottom"/>
          </w:tcPr>
          <w:p>
            <w:pPr>
              <w:pStyle w:val="TableContents"/>
              <w:pBdr/>
              <w:spacing w:before="0" w:after="0"/>
              <w:ind w:left="0" w:right="0" w:hanging="0"/>
              <w:jc w:val="right"/>
              <w:rPr/>
            </w:pPr>
            <w:r>
              <w:rPr/>
              <w:t>$  -</w:t>
            </w:r>
          </w:p>
        </w:tc>
      </w:tr>
    </w:tbl>
    <w:p>
      <w:pPr>
        <w:pStyle w:val="TextBody"/>
        <w:spacing w:before="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jc w:val="both"/>
        <w:rPr/>
      </w:pPr>
      <w:r>
        <w:rPr/>
        <w:t> </w:t>
      </w:r>
    </w:p>
    <w:p>
      <w:pPr>
        <w:pStyle w:val="TextBody"/>
        <w:spacing w:before="0" w:after="0"/>
        <w:ind w:left="0" w:right="0" w:hanging="30"/>
        <w:jc w:val="both"/>
        <w:rPr>
          <w:b/>
          <w:u w:val="single"/>
        </w:rPr>
      </w:pPr>
      <w:r>
        <w:rPr>
          <w:b/>
          <w:u w:val="single"/>
        </w:rPr>
        <w:t>CONTINGENCIES AND COMMITMENTS</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638175" cy="350520"/>
                <wp:effectExtent l="0" t="0" r="0" b="0"/>
                <wp:wrapSquare wrapText="largest"/>
                <wp:docPr id="17" name="Frame17"/>
                <a:graphic xmlns:a="http://schemas.openxmlformats.org/drawingml/2006/main">
                  <a:graphicData uri="http://schemas.microsoft.com/office/word/2010/wordprocessingShape">
                    <wps:wsp>
                      <wps:cNvSpPr txBox="1"/>
                      <wps:spPr>
                        <a:xfrm>
                          <a:off x="0" y="0"/>
                          <a:ext cx="638175" cy="350520"/>
                        </a:xfrm>
                        <a:prstGeom prst="rect"/>
                      </wps:spPr>
                      <wps:txbx>
                        <w:txbxContent>
                          <w:p>
                            <w:pPr>
                              <w:pStyle w:val="TextBody"/>
                              <w:spacing w:before="0" w:after="283"/>
                              <w:rPr>
                                <w:b/>
                                <w:u w:val="single"/>
                              </w:rPr>
                            </w:pPr>
                            <w:r>
                              <w:rPr>
                                <w:b/>
                                <w:u w:val="single"/>
                              </w:rPr>
                              <w:t>NOTE 11:</w:t>
                            </w:r>
                          </w:p>
                        </w:txbxContent>
                      </wps:txbx>
                      <wps:bodyPr anchor="t" lIns="0" tIns="0" rIns="0" bIns="0">
                        <a:noAutofit/>
                      </wps:bodyPr>
                    </wps:wsp>
                  </a:graphicData>
                </a:graphic>
              </wp:anchor>
            </w:drawing>
          </mc:Choice>
          <mc:Fallback>
            <w:pict>
              <v:rect style="position:absolute;rotation:0;width:5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11:</w:t>
                      </w:r>
                    </w:p>
                  </w:txbxContent>
                </v:textbox>
                <w10:wrap type="square" side="right"/>
              </v:rect>
            </w:pict>
          </mc:Fallback>
        </mc:AlternateContent>
      </w:r>
    </w:p>
    <w:p>
      <w:pPr>
        <w:pStyle w:val="TextBody"/>
        <w:spacing w:before="90" w:after="0"/>
        <w:jc w:val="both"/>
        <w:rPr>
          <w:b/>
          <w:i/>
        </w:rPr>
      </w:pPr>
      <w:r>
        <w:rPr>
          <w:b/>
          <w:i/>
        </w:rPr>
        <w:t>Contingencies</w:t>
      </w:r>
    </w:p>
    <w:p>
      <w:pPr>
        <w:pStyle w:val="TextBody"/>
        <w:spacing w:before="90" w:after="0"/>
        <w:jc w:val="both"/>
        <w:rPr>
          <w:b/>
          <w:i/>
        </w:rPr>
      </w:pPr>
      <w:r>
        <w:rPr>
          <w:b/>
          <w:i/>
        </w:rPr>
        <w:t>Tax Filings</w:t>
      </w:r>
    </w:p>
    <w:p>
      <w:pPr>
        <w:pStyle w:val="TextBody"/>
        <w:spacing w:before="90" w:after="0"/>
        <w:jc w:val="both"/>
        <w:rPr/>
      </w:pPr>
      <w:r>
        <w:rPr/>
        <w:t>The Company has not filed income tax returns for several years in certain operating jurisdictions (Note 10),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90" w:after="0"/>
        <w:jc w:val="both"/>
        <w:rPr>
          <w:b/>
          <w:i/>
        </w:rPr>
      </w:pPr>
      <w:r>
        <w:rPr>
          <w:b/>
          <w:i/>
        </w:rPr>
        <w:t>Commitments</w:t>
      </w:r>
    </w:p>
    <w:p>
      <w:pPr>
        <w:pStyle w:val="TextBody"/>
        <w:spacing w:before="90" w:after="0"/>
        <w:jc w:val="both"/>
        <w:rPr>
          <w:b/>
          <w:i/>
        </w:rPr>
      </w:pPr>
      <w:r>
        <w:rPr>
          <w:b/>
          <w:i/>
        </w:rPr>
        <w:t>Combined Research and Operating Obligations</w:t>
      </w:r>
    </w:p>
    <w:p>
      <w:pPr>
        <w:pStyle w:val="TextBody"/>
        <w:spacing w:before="90" w:after="0"/>
        <w:jc w:val="both"/>
        <w:rPr/>
      </w:pPr>
      <w:r>
        <w:rPr/>
        <w:t xml:space="preserve">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 </w:t>
      </w:r>
    </w:p>
    <w:p>
      <w:pPr>
        <w:pStyle w:val="TextBody"/>
        <w:spacing w:before="90" w:after="0"/>
        <w:jc w:val="both"/>
        <w:rPr/>
      </w:pPr>
      <w:r>
        <w:rPr/>
        <w:t>The Company has agreed that, during the period of the option and upon approval of FDA to conduct Phase I Trials, will pay all the costs incurred by the Mayo Clinic, not to exceed a total of $841,000, of which, $510,572 has been paid and $50,000 accrued as of September 30, 2013 . Both Parties agree that within 30 days after the Mayo Clinic informs the Company in writing about the receipt of FDA approval, the parties shall enter into an a formal research agreement. Management anticipates that Phase 1 Trials will begin in the fourth quarter of 2013. An initial payment of $250,000 will be required within 30 days of receiving notice from the Mayo Clinic that the Phase 1 Trial will commence.</w:t>
      </w:r>
    </w:p>
    <w:p>
      <w:pPr>
        <w:pStyle w:val="TextBody"/>
        <w:spacing w:before="90" w:after="0"/>
        <w:jc w:val="both"/>
        <w:rPr>
          <w:b/>
          <w:i/>
        </w:rPr>
      </w:pPr>
      <w:r>
        <w:rPr>
          <w:b/>
          <w:i/>
        </w:rPr>
        <w:t>Management Services Agreement</w:t>
      </w:r>
    </w:p>
    <w:p>
      <w:pPr>
        <w:pStyle w:val="TextBody"/>
        <w:spacing w:before="0" w:after="0"/>
        <w:ind w:left="0" w:right="0" w:hanging="0"/>
        <w:jc w:val="both"/>
        <w:rPr/>
      </w:pPr>
      <w:r>
        <w:rPr/>
      </w:r>
    </w:p>
    <w:p>
      <w:pPr>
        <w:pStyle w:val="TextBody"/>
        <w:spacing w:before="0" w:after="0"/>
        <w:ind w:left="0" w:right="0" w:hanging="0"/>
        <w:jc w:val="both"/>
        <w:rPr/>
      </w:pPr>
      <w:r>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2,000,000 shares of the Companys common stock at $0.19 per share, 50% of which vested on March 16, 2011, while the remainder vested monthly over a period of two years (41,667 per month). The options shall be exercisable for at least five years.</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b/>
          <w:i/>
        </w:rPr>
      </w:pPr>
      <w:r>
        <w:rPr>
          <w:b/>
          <w:i/>
        </w:rPr>
        <w:t>Consultant Agreements</w:t>
      </w:r>
    </w:p>
    <w:p>
      <w:pPr>
        <w:pStyle w:val="TextBody"/>
        <w:spacing w:before="90" w:after="0"/>
        <w:jc w:val="both"/>
        <w:rPr/>
      </w:pPr>
      <w:r>
        <w:rPr/>
        <w:t>In April 2012, the Company entered into an investors relation consulting agreement for a one year term, with a one-time right to terminate the agreement at its six month anniversary. The consulting agreement provided for the Company to issue 620,690 shares to the consultant and a monthly payment of $7,500.</w:t>
      </w:r>
    </w:p>
    <w:p>
      <w:pPr>
        <w:pStyle w:val="TextBody"/>
        <w:spacing w:before="90" w:after="0"/>
        <w:jc w:val="both"/>
        <w:rPr/>
      </w:pPr>
      <w:r>
        <w:rPr/>
        <w:t>In April 2012, the Company entered into financial consulting service agreements, which included compensation of 14,000,000 shares of common stock, whereby the Company agreed to issue additional shares to the consultants to restore their holdings to 24.8% of fully diluted capitalization of the Company if the Company completes a re-organization, re-capitalization or a liquidity event during the eighteen months commencing with the signing of these agreements. In May 2013, the Company recovered 2,800,000 of 14,000,000 common shares issued to the consultant during the year ended December 31, 2012, under a settlement agreement.</w:t>
      </w:r>
    </w:p>
    <w:p>
      <w:pPr>
        <w:pStyle w:val="TextBody"/>
        <w:spacing w:before="90" w:after="0"/>
        <w:jc w:val="both"/>
        <w:rPr/>
      </w:pPr>
      <w:r>
        <w:rPr/>
        <w:t>In May 2012, the Company entered into a one year consulting services agreement superseding the previous management consulting agreement with Mr. Corin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250,000 options to Mr. Corin, vesting equally over twelve months at an exercise price of $0.17 with a ten year term.</w:t>
      </w:r>
    </w:p>
    <w:p>
      <w:pPr>
        <w:pStyle w:val="TextBody"/>
        <w:spacing w:before="90" w:after="0"/>
        <w:jc w:val="both"/>
        <w:rPr>
          <w:b/>
          <w:i/>
        </w:rPr>
      </w:pPr>
      <w:r>
        <w:rPr>
          <w:b/>
          <w:i/>
        </w:rPr>
        <w:t>Rental Lease Agreement</w:t>
      </w:r>
    </w:p>
    <w:p>
      <w:pPr>
        <w:pStyle w:val="TextBody"/>
        <w:spacing w:before="90" w:after="0"/>
        <w:jc w:val="both"/>
        <w:rPr/>
      </w:pPr>
      <w:r>
        <w:rPr/>
        <w:t>In December 2011, the Company entered into a lease agreement, to start in January 2012 for a two year period. The Company will pay a monthly basic rent of $7,152 and additional rent for operating costs of 2.20% of total operating expenses of the property.</w:t>
      </w:r>
    </w:p>
    <w:p>
      <w:pPr>
        <w:pStyle w:val="TextBody"/>
        <w:spacing w:before="90" w:after="0"/>
        <w:jc w:val="both"/>
        <w:rPr/>
      </w:pPr>
      <w:r>
        <w:rPr/>
        <w:t>The Company has obligations under various research and consulting agreements through December 31, 2014. The aggregate minimum annual payments for the years ending December 31 are as follows:</w:t>
      </w:r>
    </w:p>
    <w:p>
      <w:pPr>
        <w:pStyle w:val="TextBody"/>
        <w:spacing w:before="0" w:after="0"/>
        <w:ind w:left="0" w:right="0" w:hanging="0"/>
        <w:jc w:val="both"/>
        <w:rPr/>
      </w:pPr>
      <w:r>
        <w:rPr/>
      </w:r>
    </w:p>
    <w:p>
      <w:pPr>
        <w:pStyle w:val="TextBody"/>
        <w:spacing w:before="195" w:after="0"/>
        <w:jc w:val="both"/>
        <w:rPr/>
      </w:pPr>
      <w:r>
        <w:rPr/>
        <w:t>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657600" cy="175260"/>
                <wp:effectExtent l="0" t="0" r="0" b="0"/>
                <wp:wrapSquare wrapText="largest"/>
                <wp:docPr id="18" name="Frame18"/>
                <a:graphic xmlns:a="http://schemas.openxmlformats.org/drawingml/2006/main">
                  <a:graphicData uri="http://schemas.microsoft.com/office/word/2010/wordprocessingShape">
                    <wps:wsp>
                      <wps:cNvSpPr txBox="1"/>
                      <wps:spPr>
                        <a:xfrm>
                          <a:off x="0" y="0"/>
                          <a:ext cx="3657600" cy="175260"/>
                        </a:xfrm>
                        <a:prstGeom prst="rect"/>
                      </wps:spPr>
                      <wps:txbx>
                        <w:txbxContent>
                          <w:p>
                            <w:pPr>
                              <w:pStyle w:val="TextBody"/>
                              <w:spacing w:before="0" w:after="283"/>
                              <w:rPr/>
                            </w:pPr>
                            <w:r>
                              <w:rPr/>
                              <w:t>2013</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2013</w:t>
                      </w:r>
                    </w:p>
                  </w:txbxContent>
                </v:textbox>
                <w10:wrap type="square" side="right"/>
              </v:rect>
            </w:pict>
          </mc:Fallback>
        </mc:AlternateConten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largest"/>
                <wp:docPr id="19" name="Frame19"/>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288pt;mso-position-horizontal:left;mso-position-horizontal-relative:text">
                <v:textbox>
                  <w:txbxContent>
                    <w:p>
                      <w:pPr>
                        <w:pStyle w:val="TextBody"/>
                        <w:spacing w:before="0" w:after="283"/>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largest"/>
                <wp:docPr id="20" name="Frame20"/>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jc w:val="right"/>
                              <w:rPr/>
                            </w:pPr>
                            <w:r>
                              <w:rPr/>
                              <w:t>422,749</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360pt;mso-position-horizontal:left;mso-position-horizontal-relative:text">
                <v:textbox>
                  <w:txbxContent>
                    <w:p>
                      <w:pPr>
                        <w:pStyle w:val="TextBody"/>
                        <w:spacing w:before="0" w:after="283"/>
                        <w:jc w:val="right"/>
                        <w:rPr/>
                      </w:pPr>
                      <w:r>
                        <w:rPr/>
                        <w:t>422,749</w:t>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0" cy="175260"/>
                <wp:effectExtent l="0" t="0" r="0" b="0"/>
                <wp:wrapSquare wrapText="largest"/>
                <wp:docPr id="21" name="Frame21"/>
                <a:graphic xmlns:a="http://schemas.openxmlformats.org/drawingml/2006/main">
                  <a:graphicData uri="http://schemas.microsoft.com/office/word/2010/wordprocessingShape">
                    <wps:wsp>
                      <wps:cNvSpPr txBox="1"/>
                      <wps:spPr>
                        <a:xfrm>
                          <a:off x="0" y="0"/>
                          <a:ext cx="4572000" cy="175260"/>
                        </a:xfrm>
                        <a:prstGeom prst="rect"/>
                      </wps:spPr>
                      <wps:txbx>
                        <w:txbxContent>
                          <w:p>
                            <w:pPr>
                              <w:pStyle w:val="TextBody"/>
                              <w:spacing w:before="0" w:after="283"/>
                              <w:rPr/>
                            </w:pPr>
                            <w:r>
                              <w:rPr/>
                              <w:t>2014</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2014</w:t>
                      </w:r>
                    </w:p>
                  </w:txbxContent>
                </v:textbox>
                <w10:wrap type="square" side="right"/>
              </v:rect>
            </w:pict>
          </mc:Fallback>
        </mc:AlternateConten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009900" cy="175260"/>
                <wp:effectExtent l="0" t="0" r="0" b="0"/>
                <wp:wrapSquare wrapText="largest"/>
                <wp:docPr id="22" name="Frame22"/>
                <a:graphic xmlns:a="http://schemas.openxmlformats.org/drawingml/2006/main">
                  <a:graphicData uri="http://schemas.microsoft.com/office/word/2010/wordprocessingShape">
                    <wps:wsp>
                      <wps:cNvSpPr txBox="1"/>
                      <wps:spPr>
                        <a:xfrm>
                          <a:off x="0" y="0"/>
                          <a:ext cx="3009900" cy="175260"/>
                        </a:xfrm>
                        <a:prstGeom prst="rect"/>
                      </wps:spPr>
                      <wps:txbx>
                        <w:txbxContent>
                          <w:p>
                            <w:pPr>
                              <w:pStyle w:val="TextBody"/>
                              <w:spacing w:before="0" w:after="283"/>
                              <w:jc w:val="right"/>
                              <w:rPr>
                                <w:u w:val="single"/>
                              </w:rPr>
                            </w:pPr>
                            <w:r>
                              <w:rPr>
                                <w:u w:val="single"/>
                              </w:rPr>
                              <w:t>22,284</w:t>
                            </w:r>
                          </w:p>
                        </w:txbxContent>
                      </wps:txbx>
                      <wps:bodyPr anchor="t" lIns="0" tIns="0" rIns="0" bIns="0">
                        <a:noAutofit/>
                      </wps:bodyPr>
                    </wps:wsp>
                  </a:graphicData>
                </a:graphic>
              </wp:anchor>
            </w:drawing>
          </mc:Choice>
          <mc:Fallback>
            <w:pict>
              <v:rect style="position:absolute;rotation:0;width:237pt;height:13.8pt;mso-wrap-distance-left:0pt;mso-wrap-distance-right:0pt;mso-wrap-distance-top:0pt;mso-wrap-distance-bottom:0pt;margin-top:0pt;mso-position-vertical:top;mso-position-vertical-relative:text;margin-left:288pt;mso-position-horizontal:left;mso-position-horizontal-relative:text">
                <v:textbox>
                  <w:txbxContent>
                    <w:p>
                      <w:pPr>
                        <w:pStyle w:val="TextBody"/>
                        <w:spacing w:before="0" w:after="283"/>
                        <w:jc w:val="right"/>
                        <w:rPr>
                          <w:u w:val="single"/>
                        </w:rPr>
                      </w:pPr>
                      <w:r>
                        <w:rPr>
                          <w:u w:val="single"/>
                        </w:rPr>
                        <w:t>22,284</w:t>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0" cy="175260"/>
                <wp:effectExtent l="0" t="0" r="0" b="0"/>
                <wp:wrapSquare wrapText="largest"/>
                <wp:docPr id="23" name="Frame23"/>
                <a:graphic xmlns:a="http://schemas.openxmlformats.org/drawingml/2006/main">
                  <a:graphicData uri="http://schemas.microsoft.com/office/word/2010/wordprocessingShape">
                    <wps:wsp>
                      <wps:cNvSpPr txBox="1"/>
                      <wps:spPr>
                        <a:xfrm>
                          <a:off x="0" y="0"/>
                          <a:ext cx="4572000" cy="175260"/>
                        </a:xfrm>
                        <a:prstGeom prst="rect"/>
                      </wps:spPr>
                      <wps:txbx>
                        <w:txbxContent>
                          <w:p>
                            <w:pPr>
                              <w:pStyle w:val="TextBody"/>
                              <w:spacing w:before="0" w:after="283"/>
                              <w:rPr/>
                            </w:pPr>
                            <w:r>
                              <w:rPr/>
                              <w:t>$</w:t>
                            </w:r>
                          </w:p>
                        </w:txbxContent>
                      </wps:txbx>
                      <wps:bodyPr anchor="t" lIns="0" tIns="0" rIns="0" bIns="0">
                        <a:noAutofit/>
                      </wps:bodyPr>
                    </wps:wsp>
                  </a:graphicData>
                </a:graphic>
              </wp:anchor>
            </w:drawing>
          </mc:Choice>
          <mc:Fallback>
            <w:pict>
              <v:rect style="position:absolute;rotation:0;width:3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largest"/>
                <wp:docPr id="24" name="Frame24"/>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jc w:val="right"/>
                              <w:rPr/>
                            </w:pPr>
                            <w:r>
                              <w:rPr/>
                              <w:t>445,033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432pt;mso-position-horizontal:left;mso-position-horizontal-relative:text">
                <v:textbox>
                  <w:txbxContent>
                    <w:p>
                      <w:pPr>
                        <w:pStyle w:val="TextBody"/>
                        <w:spacing w:before="0" w:after="283"/>
                        <w:jc w:val="right"/>
                        <w:rPr/>
                      </w:pPr>
                      <w:r>
                        <w:rPr/>
                        <w:t>445,033</w:t>
                      </w:r>
                    </w:p>
                  </w:txbxContent>
                </v:textbox>
                <w10:wrap type="square" side="right"/>
              </v:rect>
            </w:pict>
          </mc:Fallback>
        </mc:AlternateConten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r>
    </w:p>
    <w:p>
      <w:pPr>
        <w:pStyle w:val="TextBody"/>
        <w:spacing w:before="0" w:after="0"/>
        <w:ind w:left="0" w:right="0" w:hanging="30"/>
        <w:jc w:val="both"/>
        <w:rPr>
          <w:b/>
          <w:u w:val="single"/>
        </w:rPr>
      </w:pPr>
      <w:r>
        <w:rPr>
          <w:b/>
          <w:u w:val="single"/>
        </w:rPr>
        <w:t>ACCOUNTS PAYABLE AND ACCRUED LIABILITIES</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38175" cy="350520"/>
                <wp:effectExtent l="0" t="0" r="0" b="0"/>
                <wp:wrapSquare wrapText="largest"/>
                <wp:docPr id="25" name="Frame25"/>
                <a:graphic xmlns:a="http://schemas.openxmlformats.org/drawingml/2006/main">
                  <a:graphicData uri="http://schemas.microsoft.com/office/word/2010/wordprocessingShape">
                    <wps:wsp>
                      <wps:cNvSpPr txBox="1"/>
                      <wps:spPr>
                        <a:xfrm>
                          <a:off x="0" y="0"/>
                          <a:ext cx="638175" cy="350520"/>
                        </a:xfrm>
                        <a:prstGeom prst="rect"/>
                      </wps:spPr>
                      <wps:txbx>
                        <w:txbxContent>
                          <w:p>
                            <w:pPr>
                              <w:pStyle w:val="TextBody"/>
                              <w:spacing w:before="0" w:after="283"/>
                              <w:rPr>
                                <w:b/>
                                <w:u w:val="single"/>
                              </w:rPr>
                            </w:pPr>
                            <w:r>
                              <w:rPr>
                                <w:b/>
                                <w:u w:val="single"/>
                              </w:rPr>
                              <w:t>NOTE 12:</w:t>
                            </w:r>
                          </w:p>
                        </w:txbxContent>
                      </wps:txbx>
                      <wps:bodyPr anchor="t" lIns="0" tIns="0" rIns="0" bIns="0">
                        <a:noAutofit/>
                      </wps:bodyPr>
                    </wps:wsp>
                  </a:graphicData>
                </a:graphic>
              </wp:anchor>
            </w:drawing>
          </mc:Choice>
          <mc:Fallback>
            <w:pict>
              <v:rect style="position:absolute;rotation:0;width:5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12:</w:t>
                      </w:r>
                    </w:p>
                  </w:txbxContent>
                </v:textbox>
                <w10:wrap type="square" side="right"/>
              </v:rect>
            </w:pict>
          </mc:Fallback>
        </mc:AlternateContent>
      </w:r>
    </w:p>
    <w:p>
      <w:pPr>
        <w:pStyle w:val="TextBody"/>
        <w:spacing w:before="0" w:after="0"/>
        <w:ind w:left="0" w:right="0" w:hanging="0"/>
        <w:jc w:val="both"/>
        <w:rPr/>
      </w:pPr>
      <w:r>
        <w:rPr/>
      </w:r>
    </w:p>
    <w:p>
      <w:pPr>
        <w:pStyle w:val="TextBody"/>
        <w:spacing w:before="90" w:after="0"/>
        <w:jc w:val="both"/>
        <w:rPr>
          <w:b/>
          <w:i/>
        </w:rPr>
      </w:pPr>
      <w:r>
        <w:rPr>
          <w:b/>
          <w:i/>
        </w:rPr>
        <w:t>Accounts Payable and Accrued Liabilities</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2035"/>
        <w:gridCol w:w="1635"/>
        <w:gridCol w:w="92"/>
        <w:gridCol w:w="3234"/>
        <w:gridCol w:w="92"/>
        <w:gridCol w:w="3001"/>
        <w:gridCol w:w="116"/>
      </w:tblGrid>
      <w:tr>
        <w:trPr/>
        <w:tc>
          <w:tcPr>
            <w:tcW w:w="2035"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r>
      <w:tr>
        <w:trPr/>
        <w:tc>
          <w:tcPr>
            <w:tcW w:w="2035"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1635"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92"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3234" w:type="dxa"/>
            <w:tcBorders>
              <w:top w:val="single" w:sz="2" w:space="0" w:color="000000"/>
            </w:tcBorders>
            <w:shd w:fill="auto" w:val="clear"/>
            <w:tcMar>
              <w:top w:w="28" w:type="dxa"/>
            </w:tcMar>
            <w:vAlign w:val="bottom"/>
          </w:tcPr>
          <w:p>
            <w:pPr>
              <w:pStyle w:val="TableContents"/>
              <w:spacing w:before="0" w:after="0"/>
              <w:ind w:left="0" w:right="0" w:hanging="0"/>
              <w:jc w:val="center"/>
              <w:rPr/>
            </w:pPr>
            <w:r>
              <w:rPr/>
              <w:t> </w:t>
            </w:r>
            <w:r>
              <w:rPr/>
              <w:t>September 30, 2013  </w:t>
            </w:r>
          </w:p>
        </w:tc>
        <w:tc>
          <w:tcPr>
            <w:tcW w:w="92" w:type="dxa"/>
            <w:tcBorders>
              <w:top w:val="single" w:sz="2" w:space="0" w:color="000000"/>
            </w:tcBorders>
            <w:shd w:fill="auto" w:val="clear"/>
            <w:tcMar>
              <w:top w:w="28" w:type="dxa"/>
            </w:tcMar>
            <w:vAlign w:val="bottom"/>
          </w:tcPr>
          <w:p>
            <w:pPr>
              <w:pStyle w:val="TableContents"/>
              <w:spacing w:before="0" w:after="0"/>
              <w:ind w:left="0" w:right="0" w:hanging="0"/>
              <w:jc w:val="center"/>
              <w:rPr/>
            </w:pPr>
            <w:r>
              <w:rPr/>
              <w:t> </w:t>
            </w:r>
          </w:p>
        </w:tc>
        <w:tc>
          <w:tcPr>
            <w:tcW w:w="3117" w:type="dxa"/>
            <w:gridSpan w:val="2"/>
            <w:tcBorders>
              <w:top w:val="single" w:sz="2" w:space="0" w:color="000000"/>
            </w:tcBorders>
            <w:shd w:fill="auto" w:val="clear"/>
            <w:tcMar>
              <w:top w:w="28" w:type="dxa"/>
            </w:tcMar>
            <w:vAlign w:val="bottom"/>
          </w:tcPr>
          <w:p>
            <w:pPr>
              <w:pStyle w:val="TableContents"/>
              <w:spacing w:before="0" w:after="0"/>
              <w:ind w:left="0" w:right="0" w:hanging="0"/>
              <w:jc w:val="center"/>
              <w:rPr/>
            </w:pPr>
            <w:r>
              <w:rPr/>
              <w:t> </w:t>
            </w:r>
            <w:r>
              <w:rPr/>
              <w:t xml:space="preserve">December 31, 2012 </w:t>
            </w:r>
          </w:p>
        </w:tc>
      </w:tr>
      <w:tr>
        <w:trPr/>
        <w:tc>
          <w:tcPr>
            <w:tcW w:w="2035" w:type="dxa"/>
            <w:tcBorders/>
            <w:shd w:fill="auto" w:val="clear"/>
            <w:vAlign w:val="bottom"/>
          </w:tcPr>
          <w:p>
            <w:pPr>
              <w:pStyle w:val="TableContents"/>
              <w:pBdr/>
              <w:spacing w:before="0" w:after="0"/>
              <w:ind w:left="0" w:right="0" w:hanging="0"/>
              <w:jc w:val="center"/>
              <w:rPr/>
            </w:pPr>
            <w:r>
              <w:rPr/>
              <w:t> </w:t>
            </w:r>
          </w:p>
        </w:tc>
        <w:tc>
          <w:tcPr>
            <w:tcW w:w="1635" w:type="dxa"/>
            <w:tcBorders/>
            <w:shd w:fill="auto" w:val="clear"/>
            <w:vAlign w:val="bottom"/>
          </w:tcPr>
          <w:p>
            <w:pPr>
              <w:pStyle w:val="TableContents"/>
              <w:pBdr/>
              <w:spacing w:before="0" w:after="0"/>
              <w:ind w:left="0" w:right="0" w:hanging="0"/>
              <w:jc w:val="center"/>
              <w:rPr/>
            </w:pPr>
            <w:r>
              <w:rPr/>
              <w:t> </w:t>
            </w:r>
          </w:p>
        </w:tc>
        <w:tc>
          <w:tcPr>
            <w:tcW w:w="92" w:type="dxa"/>
            <w:tcBorders/>
            <w:shd w:fill="auto" w:val="clear"/>
            <w:vAlign w:val="bottom"/>
          </w:tcPr>
          <w:p>
            <w:pPr>
              <w:pStyle w:val="TableContents"/>
              <w:pBdr/>
              <w:spacing w:before="0" w:after="0"/>
              <w:ind w:left="0" w:right="0" w:hanging="0"/>
              <w:jc w:val="center"/>
              <w:rPr/>
            </w:pPr>
            <w:r>
              <w:rPr/>
              <w:t> </w:t>
            </w:r>
          </w:p>
        </w:tc>
        <w:tc>
          <w:tcPr>
            <w:tcW w:w="3234" w:type="dxa"/>
            <w:tcBorders/>
            <w:shd w:fill="auto" w:val="clear"/>
            <w:vAlign w:val="bottom"/>
          </w:tcPr>
          <w:p>
            <w:pPr>
              <w:pStyle w:val="TableContents"/>
              <w:spacing w:before="0" w:after="0"/>
              <w:ind w:left="0" w:right="0" w:hanging="0"/>
              <w:jc w:val="center"/>
              <w:rPr/>
            </w:pPr>
            <w:r>
              <w:rPr/>
              <w:t> </w:t>
            </w:r>
            <w:r>
              <w:rPr/>
              <w:t xml:space="preserve">$ </w:t>
            </w:r>
          </w:p>
        </w:tc>
        <w:tc>
          <w:tcPr>
            <w:tcW w:w="92" w:type="dxa"/>
            <w:tcBorders/>
            <w:shd w:fill="auto" w:val="clear"/>
            <w:vAlign w:val="bottom"/>
          </w:tcPr>
          <w:p>
            <w:pPr>
              <w:pStyle w:val="TableContents"/>
              <w:pBdr/>
              <w:spacing w:before="0" w:after="0"/>
              <w:ind w:left="0" w:right="0" w:hanging="0"/>
              <w:jc w:val="center"/>
              <w:rPr/>
            </w:pPr>
            <w:r>
              <w:rPr/>
              <w:t> </w:t>
            </w:r>
          </w:p>
        </w:tc>
        <w:tc>
          <w:tcPr>
            <w:tcW w:w="3001" w:type="dxa"/>
            <w:tcBorders/>
            <w:shd w:fill="auto" w:val="clear"/>
            <w:vAlign w:val="bottom"/>
          </w:tcPr>
          <w:p>
            <w:pPr>
              <w:pStyle w:val="TableContents"/>
              <w:spacing w:before="0" w:after="0"/>
              <w:ind w:left="0" w:right="0" w:hanging="0"/>
              <w:jc w:val="center"/>
              <w:rPr/>
            </w:pPr>
            <w:r>
              <w:rPr/>
              <w:t> </w:t>
            </w:r>
            <w:r>
              <w:rPr/>
              <w:t xml:space="preserve">$ </w:t>
            </w:r>
          </w:p>
        </w:tc>
        <w:tc>
          <w:tcPr>
            <w:tcW w:w="116" w:type="dxa"/>
            <w:tcBorders/>
            <w:shd w:fill="auto" w:val="clear"/>
            <w:vAlign w:val="bottom"/>
          </w:tcPr>
          <w:p>
            <w:pPr>
              <w:pStyle w:val="TableContents"/>
              <w:pBdr/>
              <w:spacing w:before="0" w:after="0"/>
              <w:ind w:left="0" w:right="0" w:hanging="0"/>
              <w:rPr/>
            </w:pPr>
            <w:r>
              <w:rPr/>
              <w:t> </w:t>
            </w:r>
          </w:p>
        </w:tc>
      </w:tr>
      <w:tr>
        <w:trPr/>
        <w:tc>
          <w:tcPr>
            <w:tcW w:w="2035"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1635"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92"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3234"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92"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3001"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c>
          <w:tcPr>
            <w:tcW w:w="116" w:type="dxa"/>
            <w:tcBorders>
              <w:top w:val="single" w:sz="2" w:space="0" w:color="000000"/>
            </w:tcBorders>
            <w:shd w:fill="auto" w:val="clear"/>
            <w:tcMar>
              <w:top w:w="28" w:type="dxa"/>
            </w:tcMar>
            <w:vAlign w:val="bottom"/>
          </w:tcPr>
          <w:p>
            <w:pPr>
              <w:pStyle w:val="TableContents"/>
              <w:spacing w:before="0" w:after="0"/>
              <w:ind w:left="0" w:right="0" w:hanging="0"/>
              <w:rPr/>
            </w:pPr>
            <w:r>
              <w:rPr/>
              <w:t> </w:t>
            </w:r>
          </w:p>
        </w:tc>
      </w:tr>
      <w:tr>
        <w:trPr/>
        <w:tc>
          <w:tcPr>
            <w:tcW w:w="3670" w:type="dxa"/>
            <w:gridSpan w:val="2"/>
            <w:tcBorders/>
            <w:shd w:fill="auto" w:val="clear"/>
            <w:vAlign w:val="bottom"/>
          </w:tcPr>
          <w:p>
            <w:pPr>
              <w:pStyle w:val="TableContents"/>
              <w:spacing w:before="0" w:after="0"/>
              <w:ind w:left="0" w:right="0" w:hanging="0"/>
              <w:rPr/>
            </w:pPr>
            <w:r>
              <w:rPr/>
              <w:t> </w:t>
            </w:r>
            <w:r>
              <w:rPr/>
              <w:t xml:space="preserve">Trade accounts payable </w:t>
            </w:r>
          </w:p>
        </w:tc>
        <w:tc>
          <w:tcPr>
            <w:tcW w:w="92" w:type="dxa"/>
            <w:tcBorders/>
            <w:shd w:fill="auto" w:val="clear"/>
            <w:vAlign w:val="bottom"/>
          </w:tcPr>
          <w:p>
            <w:pPr>
              <w:pStyle w:val="TableContents"/>
              <w:pBdr/>
              <w:spacing w:before="0" w:after="0"/>
              <w:ind w:left="0" w:right="0" w:hanging="0"/>
              <w:rPr/>
            </w:pPr>
            <w:r>
              <w:rPr/>
              <w:t> </w:t>
            </w:r>
          </w:p>
        </w:tc>
        <w:tc>
          <w:tcPr>
            <w:tcW w:w="3234" w:type="dxa"/>
            <w:tcBorders/>
            <w:shd w:fill="auto" w:val="clear"/>
            <w:vAlign w:val="bottom"/>
          </w:tcPr>
          <w:p>
            <w:pPr>
              <w:pStyle w:val="TableContents"/>
              <w:spacing w:before="0" w:after="0"/>
              <w:ind w:left="0" w:right="0" w:hanging="0"/>
              <w:rPr/>
            </w:pPr>
            <w:r>
              <w:rPr/>
              <w:t>                 </w:t>
            </w:r>
            <w:r>
              <w:rPr/>
              <w:t xml:space="preserve">983,303 </w:t>
            </w:r>
          </w:p>
        </w:tc>
        <w:tc>
          <w:tcPr>
            <w:tcW w:w="92" w:type="dxa"/>
            <w:tcBorders/>
            <w:shd w:fill="auto" w:val="clear"/>
            <w:vAlign w:val="bottom"/>
          </w:tcPr>
          <w:p>
            <w:pPr>
              <w:pStyle w:val="TableContents"/>
              <w:pBdr/>
              <w:spacing w:before="0" w:after="0"/>
              <w:ind w:left="0" w:right="0" w:hanging="0"/>
              <w:rPr/>
            </w:pPr>
            <w:r>
              <w:rPr/>
              <w:t> </w:t>
            </w:r>
          </w:p>
        </w:tc>
        <w:tc>
          <w:tcPr>
            <w:tcW w:w="3001" w:type="dxa"/>
            <w:tcBorders/>
            <w:shd w:fill="auto" w:val="clear"/>
            <w:vAlign w:val="bottom"/>
          </w:tcPr>
          <w:p>
            <w:pPr>
              <w:pStyle w:val="TableContents"/>
              <w:spacing w:before="0" w:after="0"/>
              <w:ind w:left="0" w:right="0" w:hanging="0"/>
              <w:rPr/>
            </w:pPr>
            <w:r>
              <w:rPr/>
              <w:t>               </w:t>
            </w:r>
            <w:r>
              <w:rPr/>
              <w:t xml:space="preserve">1,663,315 </w:t>
            </w:r>
          </w:p>
        </w:tc>
        <w:tc>
          <w:tcPr>
            <w:tcW w:w="116" w:type="dxa"/>
            <w:tcBorders/>
            <w:shd w:fill="auto" w:val="clear"/>
            <w:vAlign w:val="bottom"/>
          </w:tcPr>
          <w:p>
            <w:pPr>
              <w:pStyle w:val="TableContents"/>
              <w:pBdr/>
              <w:spacing w:before="0" w:after="0"/>
              <w:ind w:left="0" w:right="0" w:hanging="0"/>
              <w:rPr/>
            </w:pPr>
            <w:r>
              <w:rPr/>
              <w:t> </w:t>
            </w:r>
          </w:p>
        </w:tc>
      </w:tr>
      <w:tr>
        <w:trPr/>
        <w:tc>
          <w:tcPr>
            <w:tcW w:w="3670" w:type="dxa"/>
            <w:gridSpan w:val="2"/>
            <w:tcBorders/>
            <w:shd w:fill="auto" w:val="clear"/>
            <w:vAlign w:val="bottom"/>
          </w:tcPr>
          <w:p>
            <w:pPr>
              <w:pStyle w:val="TableContents"/>
              <w:spacing w:before="0" w:after="0"/>
              <w:ind w:left="0" w:right="0" w:hanging="0"/>
              <w:rPr/>
            </w:pPr>
            <w:r>
              <w:rPr/>
              <w:t> </w:t>
            </w:r>
            <w:r>
              <w:rPr/>
              <w:t xml:space="preserve">Accrued liabilities </w:t>
            </w:r>
          </w:p>
        </w:tc>
        <w:tc>
          <w:tcPr>
            <w:tcW w:w="92" w:type="dxa"/>
            <w:tcBorders/>
            <w:shd w:fill="auto" w:val="clear"/>
            <w:vAlign w:val="bottom"/>
          </w:tcPr>
          <w:p>
            <w:pPr>
              <w:pStyle w:val="TableContents"/>
              <w:pBdr/>
              <w:spacing w:before="0" w:after="0"/>
              <w:ind w:left="0" w:right="0" w:hanging="0"/>
              <w:rPr/>
            </w:pPr>
            <w:r>
              <w:rPr/>
              <w:t> </w:t>
            </w:r>
          </w:p>
        </w:tc>
        <w:tc>
          <w:tcPr>
            <w:tcW w:w="3234" w:type="dxa"/>
            <w:tcBorders/>
            <w:shd w:fill="auto" w:val="clear"/>
            <w:vAlign w:val="bottom"/>
          </w:tcPr>
          <w:p>
            <w:pPr>
              <w:pStyle w:val="TableContents"/>
              <w:spacing w:before="0" w:after="0"/>
              <w:ind w:left="0" w:right="0" w:hanging="0"/>
              <w:rPr/>
            </w:pPr>
            <w:r>
              <w:rPr/>
              <w:t>                 </w:t>
            </w:r>
            <w:r>
              <w:rPr/>
              <w:t xml:space="preserve">136,395 </w:t>
            </w:r>
          </w:p>
        </w:tc>
        <w:tc>
          <w:tcPr>
            <w:tcW w:w="92" w:type="dxa"/>
            <w:tcBorders/>
            <w:shd w:fill="auto" w:val="clear"/>
            <w:vAlign w:val="bottom"/>
          </w:tcPr>
          <w:p>
            <w:pPr>
              <w:pStyle w:val="TableContents"/>
              <w:pBdr/>
              <w:spacing w:before="0" w:after="0"/>
              <w:ind w:left="0" w:right="0" w:hanging="0"/>
              <w:rPr/>
            </w:pPr>
            <w:r>
              <w:rPr/>
              <w:t> </w:t>
            </w:r>
          </w:p>
        </w:tc>
        <w:tc>
          <w:tcPr>
            <w:tcW w:w="3001" w:type="dxa"/>
            <w:tcBorders/>
            <w:shd w:fill="auto" w:val="clear"/>
            <w:vAlign w:val="bottom"/>
          </w:tcPr>
          <w:p>
            <w:pPr>
              <w:pStyle w:val="TableContents"/>
              <w:spacing w:before="0" w:after="0"/>
              <w:ind w:left="0" w:right="0" w:hanging="0"/>
              <w:rPr/>
            </w:pPr>
            <w:r>
              <w:rPr/>
              <w:t>                  </w:t>
            </w:r>
            <w:r>
              <w:rPr/>
              <w:t xml:space="preserve">242,245 </w:t>
            </w:r>
          </w:p>
        </w:tc>
        <w:tc>
          <w:tcPr>
            <w:tcW w:w="116" w:type="dxa"/>
            <w:tcBorders/>
            <w:shd w:fill="auto" w:val="clear"/>
            <w:vAlign w:val="bottom"/>
          </w:tcPr>
          <w:p>
            <w:pPr>
              <w:pStyle w:val="TableContents"/>
              <w:pBdr/>
              <w:spacing w:before="0" w:after="0"/>
              <w:ind w:left="0" w:right="0" w:hanging="0"/>
              <w:rPr/>
            </w:pPr>
            <w:r>
              <w:rPr/>
              <w:t> </w:t>
            </w:r>
          </w:p>
        </w:tc>
      </w:tr>
      <w:tr>
        <w:trPr/>
        <w:tc>
          <w:tcPr>
            <w:tcW w:w="3670" w:type="dxa"/>
            <w:gridSpan w:val="2"/>
            <w:tcBorders/>
            <w:shd w:fill="auto" w:val="clear"/>
            <w:vAlign w:val="bottom"/>
          </w:tcPr>
          <w:p>
            <w:pPr>
              <w:pStyle w:val="TableContents"/>
              <w:spacing w:before="0" w:after="0"/>
              <w:ind w:left="0" w:right="0" w:hanging="0"/>
              <w:rPr/>
            </w:pPr>
            <w:r>
              <w:rPr/>
              <w:t> </w:t>
            </w:r>
            <w:r>
              <w:rPr/>
              <w:t xml:space="preserve">Employee payroll </w:t>
            </w:r>
          </w:p>
        </w:tc>
        <w:tc>
          <w:tcPr>
            <w:tcW w:w="92" w:type="dxa"/>
            <w:tcBorders/>
            <w:shd w:fill="auto" w:val="clear"/>
            <w:vAlign w:val="bottom"/>
          </w:tcPr>
          <w:p>
            <w:pPr>
              <w:pStyle w:val="TableContents"/>
              <w:pBdr/>
              <w:spacing w:before="0" w:after="0"/>
              <w:ind w:left="0" w:right="0" w:hanging="0"/>
              <w:rPr/>
            </w:pPr>
            <w:r>
              <w:rPr/>
              <w:t> </w:t>
            </w:r>
          </w:p>
        </w:tc>
        <w:tc>
          <w:tcPr>
            <w:tcW w:w="3234" w:type="dxa"/>
            <w:tcBorders/>
            <w:shd w:fill="auto" w:val="clear"/>
            <w:vAlign w:val="bottom"/>
          </w:tcPr>
          <w:p>
            <w:pPr>
              <w:pStyle w:val="TableContents"/>
              <w:spacing w:before="0" w:after="0"/>
              <w:ind w:left="0" w:right="0" w:hanging="0"/>
              <w:rPr/>
            </w:pPr>
            <w:r>
              <w:rPr/>
              <w:t>                 </w:t>
            </w:r>
            <w:r>
              <w:rPr/>
              <w:t xml:space="preserve">127,083 </w:t>
            </w:r>
          </w:p>
        </w:tc>
        <w:tc>
          <w:tcPr>
            <w:tcW w:w="92" w:type="dxa"/>
            <w:tcBorders/>
            <w:shd w:fill="auto" w:val="clear"/>
            <w:vAlign w:val="bottom"/>
          </w:tcPr>
          <w:p>
            <w:pPr>
              <w:pStyle w:val="TableContents"/>
              <w:pBdr/>
              <w:spacing w:before="0" w:after="0"/>
              <w:ind w:left="0" w:right="0" w:hanging="0"/>
              <w:rPr/>
            </w:pPr>
            <w:r>
              <w:rPr/>
              <w:t> </w:t>
            </w:r>
          </w:p>
        </w:tc>
        <w:tc>
          <w:tcPr>
            <w:tcW w:w="3001" w:type="dxa"/>
            <w:tcBorders/>
            <w:shd w:fill="auto" w:val="clear"/>
            <w:vAlign w:val="bottom"/>
          </w:tcPr>
          <w:p>
            <w:pPr>
              <w:pStyle w:val="TableContents"/>
              <w:spacing w:before="0" w:after="0"/>
              <w:ind w:left="0" w:right="0" w:hanging="0"/>
              <w:rPr/>
            </w:pPr>
            <w:r>
              <w:rPr/>
              <w:t>                    </w:t>
            </w:r>
            <w:r>
              <w:rPr/>
              <w:t xml:space="preserve">61,458 </w:t>
            </w:r>
          </w:p>
        </w:tc>
        <w:tc>
          <w:tcPr>
            <w:tcW w:w="116" w:type="dxa"/>
            <w:tcBorders/>
            <w:shd w:fill="auto" w:val="clear"/>
            <w:vAlign w:val="bottom"/>
          </w:tcPr>
          <w:p>
            <w:pPr>
              <w:pStyle w:val="TableContents"/>
              <w:pBdr/>
              <w:spacing w:before="0" w:after="0"/>
              <w:ind w:left="0" w:right="0" w:hanging="0"/>
              <w:rPr/>
            </w:pPr>
            <w:r>
              <w:rPr/>
              <w:t> </w:t>
            </w:r>
          </w:p>
        </w:tc>
      </w:tr>
      <w:tr>
        <w:trPr/>
        <w:tc>
          <w:tcPr>
            <w:tcW w:w="3670" w:type="dxa"/>
            <w:gridSpan w:val="2"/>
            <w:tcBorders/>
            <w:shd w:fill="auto" w:val="clear"/>
            <w:vAlign w:val="bottom"/>
          </w:tcPr>
          <w:p>
            <w:pPr>
              <w:pStyle w:val="TableContents"/>
              <w:spacing w:before="0" w:after="0"/>
              <w:ind w:left="0" w:right="0" w:hanging="0"/>
              <w:rPr/>
            </w:pPr>
            <w:r>
              <w:rPr/>
              <w:t> </w:t>
            </w:r>
            <w:r>
              <w:rPr/>
              <w:t xml:space="preserve">Accrued interest </w:t>
            </w:r>
          </w:p>
        </w:tc>
        <w:tc>
          <w:tcPr>
            <w:tcW w:w="92" w:type="dxa"/>
            <w:tcBorders/>
            <w:shd w:fill="auto" w:val="clear"/>
            <w:vAlign w:val="bottom"/>
          </w:tcPr>
          <w:p>
            <w:pPr>
              <w:pStyle w:val="TableContents"/>
              <w:pBdr/>
              <w:spacing w:before="0" w:after="0"/>
              <w:ind w:left="0" w:right="0" w:hanging="0"/>
              <w:rPr/>
            </w:pPr>
            <w:r>
              <w:rPr/>
              <w:t> </w:t>
            </w:r>
          </w:p>
        </w:tc>
        <w:tc>
          <w:tcPr>
            <w:tcW w:w="3234" w:type="dxa"/>
            <w:tcBorders/>
            <w:shd w:fill="auto" w:val="clear"/>
            <w:vAlign w:val="bottom"/>
          </w:tcPr>
          <w:p>
            <w:pPr>
              <w:pStyle w:val="TableContents"/>
              <w:spacing w:before="0" w:after="0"/>
              <w:ind w:left="0" w:right="0" w:hanging="0"/>
              <w:rPr/>
            </w:pPr>
            <w:r>
              <w:rPr/>
              <w:t>                 </w:t>
            </w:r>
            <w:r>
              <w:rPr/>
              <w:t xml:space="preserve">210,517 </w:t>
            </w:r>
          </w:p>
        </w:tc>
        <w:tc>
          <w:tcPr>
            <w:tcW w:w="92" w:type="dxa"/>
            <w:tcBorders/>
            <w:shd w:fill="auto" w:val="clear"/>
            <w:vAlign w:val="bottom"/>
          </w:tcPr>
          <w:p>
            <w:pPr>
              <w:pStyle w:val="TableContents"/>
              <w:pBdr/>
              <w:spacing w:before="0" w:after="0"/>
              <w:ind w:left="0" w:right="0" w:hanging="0"/>
              <w:rPr/>
            </w:pPr>
            <w:r>
              <w:rPr/>
              <w:t> </w:t>
            </w:r>
          </w:p>
        </w:tc>
        <w:tc>
          <w:tcPr>
            <w:tcW w:w="3001" w:type="dxa"/>
            <w:tcBorders/>
            <w:shd w:fill="auto" w:val="clear"/>
            <w:vAlign w:val="bottom"/>
          </w:tcPr>
          <w:p>
            <w:pPr>
              <w:pStyle w:val="TableContents"/>
              <w:spacing w:before="0" w:after="0"/>
              <w:ind w:left="0" w:right="0" w:hanging="0"/>
              <w:rPr/>
            </w:pPr>
            <w:r>
              <w:rPr/>
              <w:t>                    </w:t>
            </w:r>
            <w:r>
              <w:rPr/>
              <w:t xml:space="preserve">74,698 </w:t>
            </w:r>
          </w:p>
        </w:tc>
        <w:tc>
          <w:tcPr>
            <w:tcW w:w="116" w:type="dxa"/>
            <w:tcBorders/>
            <w:shd w:fill="auto" w:val="clear"/>
            <w:vAlign w:val="bottom"/>
          </w:tcPr>
          <w:p>
            <w:pPr>
              <w:pStyle w:val="TableContents"/>
              <w:pBdr/>
              <w:spacing w:before="0" w:after="0"/>
              <w:ind w:left="0" w:right="0" w:hanging="0"/>
              <w:rPr/>
            </w:pPr>
            <w:r>
              <w:rPr/>
              <w:t> </w:t>
            </w:r>
          </w:p>
        </w:tc>
      </w:tr>
      <w:tr>
        <w:trPr/>
        <w:tc>
          <w:tcPr>
            <w:tcW w:w="2035" w:type="dxa"/>
            <w:tcBorders/>
            <w:shd w:fill="auto" w:val="clear"/>
            <w:vAlign w:val="bottom"/>
          </w:tcPr>
          <w:p>
            <w:pPr>
              <w:pStyle w:val="TableContents"/>
              <w:pBdr/>
              <w:spacing w:before="0" w:after="0"/>
              <w:ind w:left="0" w:right="0" w:hanging="0"/>
              <w:rPr/>
            </w:pPr>
            <w:r>
              <w:rPr/>
              <w:t> </w:t>
            </w:r>
          </w:p>
        </w:tc>
        <w:tc>
          <w:tcPr>
            <w:tcW w:w="1635" w:type="dxa"/>
            <w:tcBorders/>
            <w:shd w:fill="auto" w:val="clear"/>
            <w:vAlign w:val="bottom"/>
          </w:tcPr>
          <w:p>
            <w:pPr>
              <w:pStyle w:val="TableContents"/>
              <w:pBdr/>
              <w:spacing w:before="0" w:after="0"/>
              <w:ind w:left="0" w:right="0" w:hanging="0"/>
              <w:rPr/>
            </w:pPr>
            <w:r>
              <w:rPr/>
              <w:t> </w:t>
            </w:r>
          </w:p>
        </w:tc>
        <w:tc>
          <w:tcPr>
            <w:tcW w:w="92" w:type="dxa"/>
            <w:tcBorders/>
            <w:shd w:fill="auto" w:val="clear"/>
            <w:vAlign w:val="bottom"/>
          </w:tcPr>
          <w:p>
            <w:pPr>
              <w:pStyle w:val="TableContents"/>
              <w:pBdr/>
              <w:spacing w:before="0" w:after="0"/>
              <w:ind w:left="0" w:right="0" w:hanging="0"/>
              <w:rPr/>
            </w:pPr>
            <w:r>
              <w:rPr/>
              <w:t> </w:t>
            </w:r>
          </w:p>
        </w:tc>
        <w:tc>
          <w:tcPr>
            <w:tcW w:w="3234"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pPr>
            <w:r>
              <w:rPr/>
              <w:t>              </w:t>
            </w:r>
            <w:r>
              <w:rPr/>
              <w:t xml:space="preserve">1,457,298 </w:t>
            </w:r>
          </w:p>
        </w:tc>
        <w:tc>
          <w:tcPr>
            <w:tcW w:w="92"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pPr>
            <w:r>
              <w:rPr/>
              <w:t> </w:t>
            </w:r>
          </w:p>
        </w:tc>
        <w:tc>
          <w:tcPr>
            <w:tcW w:w="3001"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pPr>
            <w:r>
              <w:rPr/>
              <w:t>               </w:t>
            </w:r>
            <w:r>
              <w:rPr/>
              <w:t xml:space="preserve">2,041,716 </w:t>
            </w:r>
          </w:p>
        </w:tc>
        <w:tc>
          <w:tcPr>
            <w:tcW w:w="116"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r>
    </w:p>
    <w:p>
      <w:pPr>
        <w:pStyle w:val="TextBody"/>
        <w:spacing w:before="0" w:after="0"/>
        <w:ind w:left="0" w:right="0" w:hanging="30"/>
        <w:jc w:val="both"/>
        <w:rPr>
          <w:b/>
          <w:u w:val="single"/>
        </w:rPr>
      </w:pPr>
      <w:r>
        <w:rPr>
          <w:b/>
          <w:u w:val="single"/>
        </w:rPr>
        <w:t>SUBSEQUENT EVENTS</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638175" cy="350520"/>
                <wp:effectExtent l="0" t="0" r="0" b="0"/>
                <wp:wrapSquare wrapText="largest"/>
                <wp:docPr id="26" name="Frame26"/>
                <a:graphic xmlns:a="http://schemas.openxmlformats.org/drawingml/2006/main">
                  <a:graphicData uri="http://schemas.microsoft.com/office/word/2010/wordprocessingShape">
                    <wps:wsp>
                      <wps:cNvSpPr txBox="1"/>
                      <wps:spPr>
                        <a:xfrm>
                          <a:off x="0" y="0"/>
                          <a:ext cx="638175" cy="350520"/>
                        </a:xfrm>
                        <a:prstGeom prst="rect"/>
                      </wps:spPr>
                      <wps:txbx>
                        <w:txbxContent>
                          <w:p>
                            <w:pPr>
                              <w:pStyle w:val="TextBody"/>
                              <w:spacing w:before="0" w:after="283"/>
                              <w:rPr>
                                <w:b/>
                                <w:u w:val="single"/>
                              </w:rPr>
                            </w:pPr>
                            <w:r>
                              <w:rPr>
                                <w:b/>
                                <w:u w:val="single"/>
                              </w:rPr>
                              <w:t>NOTE 13:</w:t>
                            </w:r>
                          </w:p>
                        </w:txbxContent>
                      </wps:txbx>
                      <wps:bodyPr anchor="t" lIns="0" tIns="0" rIns="0" bIns="0">
                        <a:noAutofit/>
                      </wps:bodyPr>
                    </wps:wsp>
                  </a:graphicData>
                </a:graphic>
              </wp:anchor>
            </w:drawing>
          </mc:Choice>
          <mc:Fallback>
            <w:pict>
              <v:rect style="position:absolute;rotation:0;width:5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NOTE 13: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In November, 2013, the Company entered into securities purchase agreements with accredited investors to place convertible notes with a maturity date of six months after the issuance thereof in the aggregate principal amount of $143,000. Consideration under the notes consisted of $130,000 in cash proceeds and an original issue discount of 10%. The note holders have the option to convert a portion or all of the outstanding balance of the notes including any accrued interest into shares of the Companys common stock at a conversion rate of lesser than $0.01 per share or a conversion price available to any of the other debtors. The note carries no interest unless the note is in default, in which case, the note will incur an interest rate of 20% per year.</w:t>
      </w:r>
    </w:p>
    <w:p>
      <w:pPr>
        <w:pStyle w:val="TextBody"/>
        <w:spacing w:before="90" w:after="0"/>
        <w:jc w:val="both"/>
        <w:rPr/>
      </w:pPr>
      <w:r>
        <w:rPr/>
        <w:t>In November, 2013, the Company exchanged partial amount due to a related party into a convertible note with a maturity date of six months after the issuance thereof in the aggregate principal amount of $56,667. Consideration under the notes consisted of $51,000 of accounts payable and an original issue discount of 10%. The note was issued on the same terms as the notes issued to accredited investors in November 2013.In November, 2013, one of the convertible note holders elected to convert $6,360, a portion of the note, into 1,200,000 shares of the Company at a conversion price of $0.0053.</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F-48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30"/>
        <w:jc w:val="both"/>
        <w:rPr/>
      </w:pPr>
      <w:r>
        <w:rPr/>
        <w:t>Managements Discussion and Analysis of Financial Condition and Results of Operations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largest"/>
                <wp:docPr id="27" name="Frame27"/>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Item 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Item 2.</w:t>
                      </w:r>
                    </w:p>
                  </w:txbxContent>
                </v:textbox>
                <w10:wrap type="square" side="right"/>
              </v:rect>
            </w:pict>
          </mc:Fallback>
        </mc:AlternateContent>
      </w:r>
    </w:p>
    <w:p>
      <w:pPr>
        <w:pStyle w:val="TextBody"/>
        <w:spacing w:before="90" w:after="0"/>
        <w:jc w:val="both"/>
        <w:rPr>
          <w:i/>
        </w:rPr>
      </w:pPr>
      <w:r>
        <w:rPr>
          <w:i/>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90" w:after="0"/>
        <w:jc w:val="both"/>
        <w:rPr>
          <w:i/>
        </w:rPr>
      </w:pPr>
      <w:r>
        <w:rPr>
          <w:i/>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90" w:after="0"/>
        <w:jc w:val="both"/>
        <w:rPr>
          <w:i/>
        </w:rPr>
      </w:pPr>
      <w:r>
        <w:rPr>
          <w:i/>
        </w:rPr>
        <w:t>The following should be read in conjunction with our unaudited consolidated interim financial statements and related notes for the nine months ended months ended September 30, 2013 included in this quarterly report, as well as our Annual Report on Form 10-K for the year ended December 31, 2012.</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Overview</w:t>
      </w:r>
    </w:p>
    <w:p>
      <w:pPr>
        <w:pStyle w:val="TextBody"/>
        <w:spacing w:before="0" w:after="0"/>
        <w:ind w:left="0" w:right="0" w:hanging="0"/>
        <w:jc w:val="both"/>
        <w:rPr/>
      </w:pPr>
      <w:r>
        <w:rPr/>
      </w:r>
    </w:p>
    <w:p>
      <w:pPr>
        <w:pStyle w:val="TextBody"/>
        <w:spacing w:before="0" w:after="0"/>
        <w:ind w:left="0" w:right="0" w:hanging="0"/>
        <w:jc w:val="both"/>
        <w:rPr/>
      </w:pPr>
      <w:r>
        <w:rPr>
          <w:b/>
        </w:rPr>
        <w:t>Taplmmune Inc.</w:t>
      </w:r>
      <w:r>
        <w:rPr/>
        <w:t xml:space="preserve"> is a vaccine technologies company specializing in the development of innovative gene based immunotherapeutics and vaccines in the areas of oncology and infectious disease. The Company's lead product candidates, include vaccines designed to restore and augment antigen presentation and subsequent recognition and killing of cancer cells by the immune system. The Company recently began treating patients in its first Phase 1 immunotherapy clinical trial targeting HER2/neu in breast cancer at the Mayo clinic (see Clinicaltrials.gov). This trial uses patented antigen technologies developed at the Mayo clinic and will follow patients for safety and immune responses as the primary endpoints. During the first year of this trial there will be a safety review interim analysis. TapImmune has the exclusive Option to license this technology. The Company is also developing TAP-based prophylactic vaccines commercially suitable for the prevention of infectious diseases and as Biodefense agents. We have applied for a grant in collaboration with the Mayo Clinic for the biodefense applications of this technology in and expect to file additional grants to support preclinical work on boost strategies for HER2/neu breast cancer. As a vaccine component, the gene based TAP technology has the potential to significantly improve the efficacy of both prophylactic and immunotherapeutic vaccines as it addresses a fundamental mechanism for T cell recognition and response.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w:t>
      </w:r>
    </w:p>
    <w:p>
      <w:pPr>
        <w:pStyle w:val="TextBody"/>
        <w:spacing w:before="90" w:after="0"/>
        <w:jc w:val="both"/>
        <w:rPr/>
      </w:pPr>
      <w:r>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breast cancer immunotherapeutic vaccine candidate is being developed for use in this setting as an adjuvant treatment to prevent recurrent disease.</w:t>
      </w:r>
    </w:p>
    <w:p>
      <w:pPr>
        <w:pStyle w:val="TextBody"/>
        <w:spacing w:before="90" w:after="0"/>
        <w:jc w:val="both"/>
        <w:rPr/>
      </w:pPr>
      <w:r>
        <w:rPr/>
        <w:t xml:space="preserve">Management strongly believes that the comprehensive scientific underpinnings of our overall approach, to elicit the production of both T-helper cells and T-killer cells, will provide the Company with highly competitive product candidates for the treatment of HER2/neu positive breast cancer with additional applications in ovarian and colorectal cancer. </w:t>
      </w:r>
    </w:p>
    <w:p>
      <w:pPr>
        <w:pStyle w:val="TextBody"/>
        <w:spacing w:before="90" w:after="0"/>
        <w:jc w:val="both"/>
        <w:rPr/>
      </w:pPr>
      <w:r>
        <w:rPr/>
        <w:t xml:space="preserve">In May, we entered into a Material Transfer Agreement with the Fred Hutchinson Cancer Research Center (FHCRC), Seattle, WA. The initial aim of this collaboration is to determine levels of TAP1/TAP2 in tissues taken from melanoma patients in a clinical trial at FHCRC using adoptive T-cell therapy and to correlate these levels with clinical outcomes. </w:t>
      </w:r>
    </w:p>
    <w:p>
      <w:pPr>
        <w:pStyle w:val="TextBody"/>
        <w:spacing w:before="90" w:after="0"/>
        <w:jc w:val="both"/>
        <w:rPr/>
      </w:pPr>
      <w:r>
        <w:rPr/>
        <w:t>Regarding our programs for the development of vaccines aimed at viral pandemics/biodefense, we believe that collaborations with the Mayo Clinic have progressed well and studies on the immunogenicity of novel smallpox antigens in mice treated with both antigens and TAP expression vectors are ongoing.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cancer.</w:t>
      </w:r>
    </w:p>
    <w:p>
      <w:pPr>
        <w:pStyle w:val="TextBody"/>
        <w:spacing w:before="90" w:after="0"/>
        <w:jc w:val="both"/>
        <w:rPr/>
      </w:pPr>
      <w:r>
        <w:rPr/>
        <w:t xml:space="preserve">The facilities at 1551 Eastlake Avenue, Seattle have exceeded our expectations and allowed us to continue to attract top-class scientific staff and collaborators while at the same time effectively leverage world class resources made available to us and manage our cash flow.. Our small core team has allowed us to maintain in-house technical expertise in molecular biology (expression vector development) and immunology to underpin our current and future development projects and to optimally work with external collaborators. New consulting agreements were executed with key staff in place of payroll to ensure their retention.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to add to our core TAP IP and the antigen IP from the Mayo Clinic that we have either licensed or have exclusive options to license. </w:t>
      </w:r>
    </w:p>
    <w:p>
      <w:pPr>
        <w:pStyle w:val="TextBody"/>
        <w:spacing w:before="90" w:after="0"/>
        <w:jc w:val="both"/>
        <w:rPr/>
      </w:pPr>
      <w:r>
        <w:rPr/>
        <w:t xml:space="preserve">Over the past few months we have, in a challenging financing climate, raised sufficient working capital to fund and progress our operations.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 </w:t>
      </w:r>
    </w:p>
    <w:p>
      <w:pPr>
        <w:pStyle w:val="TextBody"/>
        <w:spacing w:before="90" w:after="0"/>
        <w:jc w:val="both"/>
        <w:rPr/>
      </w:pPr>
      <w:r>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u w:val="single"/>
        </w:rPr>
      </w:pPr>
      <w:r>
        <w:rPr>
          <w:b/>
          <w:i/>
          <w:u w:val="single"/>
        </w:rPr>
        <w:t>The Immunotherapy Industry for Cancer</w:t>
      </w:r>
    </w:p>
    <w:p>
      <w:pPr>
        <w:pStyle w:val="TextBody"/>
        <w:spacing w:before="90" w:after="0"/>
        <w:jc w:val="both"/>
        <w:rPr>
          <w:b/>
          <w:i/>
        </w:rPr>
      </w:pPr>
      <w:r>
        <w:rPr>
          <w:b/>
          <w:i/>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90" w:after="0"/>
        <w:jc w:val="both"/>
        <w:rPr>
          <w:b/>
          <w:i/>
        </w:rPr>
      </w:pPr>
      <w:r>
        <w:rPr>
          <w:b/>
          <w:i/>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pStyle w:val="TextBody"/>
        <w:spacing w:before="90" w:after="0"/>
        <w:jc w:val="both"/>
        <w:rPr>
          <w:b/>
          <w:i/>
        </w:rPr>
      </w:pPr>
      <w:r>
        <w:rPr>
          <w:b/>
          <w:i/>
        </w:rPr>
        <w:t>In many solid cancer tumors, the TAP protein system does not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90" w:after="0"/>
        <w:jc w:val="both"/>
        <w:rPr>
          <w:b/>
          <w:i/>
        </w:rPr>
      </w:pPr>
      <w:r>
        <w:rPr>
          <w:b/>
          <w:i/>
        </w:rPr>
        <w:t>By restoring TAP expression to TAP-deficient cells, the MHC Class I protein peptide complexes could signal the immune system to attack the cancer. The strategic vision of TapImmune is to be a product-driven biotechnology company, focusing primarily on use of its patented TAP technology to restore the TAP function within cancerous cells, thus making them immunogenic, or more visible to cancer fighting immune cells. Management believes that this cancer vaccine strategy will provide the most viable therapeutic approach that addresses this problem of non-immunogenicity of cancer. Management believes that this therapy may have a strong competitive advantage over other cancer therapies, since restoring the TAP protein will direct the immune system to specifically target the cancerous cells without damaging healthy tissue.</w:t>
      </w:r>
    </w:p>
    <w:p>
      <w:pPr>
        <w:pStyle w:val="TextBody"/>
        <w:spacing w:before="90" w:after="0"/>
        <w:jc w:val="both"/>
        <w:rPr/>
      </w:pPr>
      <w:r>
        <w:rPr>
          <w:b/>
          <w:i/>
        </w:rPr>
        <w:t>As a key part of its overall strategy, and with adequate funding, the Company is pursuing the development of prophylactic vaccines against infectious microbes and will also do so in partnership with other vaccine developers. The Company intends to develop the TAP technology for use as a vaccine that restores normal immune recognition for the treatment of cancer and supplements immune recognition for the development of prophylactic vaccines.</w:t>
      </w:r>
      <w:r>
        <w:rPr/>
        <w:b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b/>
          <w:i/>
          <w:u w:val="single"/>
        </w:rPr>
      </w:pPr>
      <w:r>
        <w:rPr>
          <w:b/>
          <w:i/>
          <w:u w:val="single"/>
        </w:rPr>
        <w:t>TapImmunes Target Market Strategy</w:t>
      </w:r>
    </w:p>
    <w:p>
      <w:pPr>
        <w:pStyle w:val="TextBody"/>
        <w:spacing w:before="90" w:after="0"/>
        <w:jc w:val="both"/>
        <w:rPr/>
      </w:pPr>
      <w:r>
        <w:rPr>
          <w:b/>
          <w:i/>
        </w:rPr>
        <w:t>With the required funding in place, we plan to focus our resources on the progression of products in our lead oncology indication, HER2/neu positive breast cancer. We will support and expand on our key infectious disease partnerships, including our collaboration efforts with the Mayo Clinic and others using grants. We have applied for a grant in collaboration with the Mayo Clinic to progress our smallpox program and extend it to additional emerging viral threats..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Vaccines continue to be the success story for pharmaceutical companies, with the world market for preventative vaccines totaling $22.1 billion in 2009, up from $19 billion in 2008, according to healthcare market research publisher Kalorama Information. Kaloramas new report, Vaccines 2010. World Market Analysis, Key Players, and Critical Trends in a Fast-Changing Industry, notes that the worldwide vaccine market is predicted to increase at a compound annual rate of 9.7% during the next five years, as new product introductions continue and the use of current products expands further (</w:t>
      </w:r>
      <w:r>
        <w:rPr/>
        <w:t>http://www.kaloramainformation.com/Vaccines-Key-Players-2684026</w:t>
      </w:r>
      <w:r>
        <w:rPr>
          <w:b/>
          <w:i/>
        </w:rPr>
        <w:t>). Our targeting of the HER2/neu antigen provides commercial opportunities in breast, ovarian and colorectal cancer.</w:t>
      </w:r>
    </w:p>
    <w:p>
      <w:pPr>
        <w:pStyle w:val="TextBody"/>
        <w:spacing w:before="90" w:after="0"/>
        <w:jc w:val="both"/>
        <w:rPr/>
      </w:pPr>
      <w:r>
        <w:rPr>
          <w:b/>
          <w:i/>
        </w:rPr>
        <w:t>In the USA, the second leading cause of death by illness is cancer. The current estimates for cancer treatments such as chemotherapy represent approximately a US$7 billion market. The National Cancer Institute expects cancer to be the leading cause of death in the USA within 5 years. Cancer vaccines will become a major player in the vaccine market. According to the report Cancer Vaccines Markets, (</w:t>
      </w:r>
      <w:r>
        <w:rPr/>
        <w:t xml:space="preserve">http://www.pharmaceutical-market </w:t>
      </w:r>
      <w:r>
        <w:rPr>
          <w:b/>
          <w:i/>
        </w:rPr>
        <w:t xml:space="preserve">research.com/publications/diseases_conditions/cancer/cancer_vaccines_markets.html) cancer vaccines have the potential to become a significant force in future cancer treatments. The approval of two immunotherapy products, Dendreons Provenge® in 2010 for advanced prostate cancer, and Bristol Myers Squibbs Yervoy® in 2011 together with several late-stage clinical programs has generated renewed interest and support for this type of cancer immune therapy. </w:t>
      </w:r>
    </w:p>
    <w:p>
      <w:pPr>
        <w:pStyle w:val="TextBody"/>
        <w:spacing w:before="90" w:after="0"/>
        <w:jc w:val="both"/>
        <w:rPr>
          <w:b/>
          <w:i/>
        </w:rPr>
      </w:pPr>
      <w:r>
        <w:rPr>
          <w:b/>
          <w:i/>
        </w:rPr>
        <w:t>This relatively new commercial market for cancer vaccines is poised to dramatically increase to over $7 billion by 2015.</w:t>
      </w:r>
    </w:p>
    <w:p>
      <w:pPr>
        <w:pStyle w:val="TextBody"/>
        <w:spacing w:before="90" w:after="0"/>
        <w:jc w:val="both"/>
        <w:rPr/>
      </w:pPr>
      <w:r>
        <w:rPr>
          <w:b/>
          <w:i/>
        </w:rPr>
        <w:t>Management also believes that our prophylactic vaccine adjuvant will be a catalyst in the development of new vaccines and will serve to enhance the efficacy of current vaccines in the treatment of infectious disease. It will be a key business development strategy to pursue additional partnerships and joint research and development ventures with vaccine manufacturers and pharmaceutical companies to bring new and improved vaccines to market. This strategy includes the development of vaccines for pandemic diseases and for bioterrorism threats. The global market for vaccines is dominated by five companiesMerck, GlaxoSmithKline, Sanofi Pasteur (the vaccines division of Sanofi SA [SNY-NYSE]), Pfizer Inc. (PFE-NYSE),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our TAP Platform technology will increase the potency of many of the currently available vaccines and lead to the creation of better, more effective new vaccines, thereby allowing us to participate in this large market through novel new products and in combination with existing vaccines.</w:t>
      </w:r>
      <w:r>
        <w:rPr/>
        <w:b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0" w:after="0"/>
        <w:ind w:left="0" w:right="0" w:hanging="0"/>
        <w:jc w:val="both"/>
        <w:rPr>
          <w:b/>
          <w:i/>
        </w:rPr>
      </w:pPr>
      <w:r>
        <w:rPr>
          <w:b/>
          <w:i/>
        </w:rPr>
        <w:t>Research and Development Efforts</w:t>
      </w:r>
    </w:p>
    <w:p>
      <w:pPr>
        <w:pStyle w:val="TextBody"/>
        <w:spacing w:before="90" w:after="0"/>
        <w:jc w:val="both"/>
        <w:rPr/>
      </w:pPr>
      <w:r>
        <w:rPr/>
        <w:t xml:space="preserve">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us to pursue our own internal product development while positioning us to enter into multiple partnerships and licensing agreements. We will also rely on our new collaboration agreements with Mayo clinic to demonstrate the use of TAP in new vaccine candidates. In parallel with our viral vector approach we plan to develop non-viral vectors for the delivery of plasmid DNA.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transported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 </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Products and Technology in Development</w:t>
      </w:r>
    </w:p>
    <w:p>
      <w:pPr>
        <w:pStyle w:val="TextBody"/>
        <w:spacing w:before="0" w:after="0"/>
        <w:ind w:left="0" w:right="0" w:hanging="0"/>
        <w:jc w:val="both"/>
        <w:rPr/>
      </w:pPr>
      <w:r>
        <w:rPr/>
      </w:r>
    </w:p>
    <w:p>
      <w:pPr>
        <w:pStyle w:val="TextBody"/>
        <w:spacing w:before="0" w:after="0"/>
        <w:ind w:left="0" w:right="0" w:hanging="0"/>
        <w:jc w:val="both"/>
        <w:rPr>
          <w:b/>
          <w:i/>
          <w:u w:val="single"/>
        </w:rPr>
      </w:pPr>
      <w:r>
        <w:rPr>
          <w:b/>
          <w:i/>
          <w:u w:val="single"/>
        </w:rPr>
        <w:t>TAP Cancer Vaccine</w:t>
      </w:r>
    </w:p>
    <w:p>
      <w:pPr>
        <w:pStyle w:val="TextBody"/>
        <w:spacing w:before="90" w:after="0"/>
        <w:jc w:val="both"/>
        <w:rPr>
          <w:b/>
          <w:i/>
        </w:rPr>
      </w:pPr>
      <w:r>
        <w:rPr>
          <w:b/>
          <w:i/>
        </w:rPr>
        <w:t>Based on earlier research at UBC Biomedical Research Centre in Vancouver BC, our overall objective is to successfully develop a patented TAP gene vector technology to restore the TAP protein, with the objective being to develop the TAP technology as a therapeutic cancer vaccine that will restore the normal immune recognition of cancer cells. A TAP Cancer Vaccine will be targeted at those cancers that are deficient in the TAP protein, which include breast cancer, prostate cancer, lung cancer, liver cancer, melanoma, renal cancer and colorectal cancer. TAP gene vectors will be used clinically in concert with proprietary antigen technologies in a Prime and Boost strategy. In our HER2/neu breast cancer program, which has started at the Mayo Clinic, proprietary HER2/neu antigens licensed from the Mayo Clinic will be used as the Prime and a TAP gene vector also containing antigens will be used as the Boost. Recent progress on the development and validation of PolyStart vector technology has provided a breakthrough immunotherapy technology platform.</w:t>
      </w:r>
    </w:p>
    <w:p>
      <w:pPr>
        <w:pStyle w:val="TextBody"/>
        <w:spacing w:before="90" w:after="0"/>
        <w:jc w:val="both"/>
        <w:rPr/>
      </w:pPr>
      <w:r>
        <w:rPr/>
        <w:t>As part of a vaccine approach a TAP gene vector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A TAP Cancer Vaccine could allow the immune response to respond to the cancer even if the TAP protein and genetic information were only delivered to a small portion of the cancer cells. In addition, aTAP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pPr>
      <w:r>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90" w:after="0"/>
        <w:jc w:val="both"/>
        <w:rPr/>
      </w:pPr>
      <w:r>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90" w:after="0"/>
        <w:jc w:val="both"/>
        <w:rPr>
          <w:b/>
          <w:i/>
          <w:u w:val="single"/>
        </w:rPr>
      </w:pPr>
      <w:r>
        <w:rPr>
          <w:b/>
          <w:i/>
          <w:u w:val="single"/>
        </w:rPr>
        <w:t>Laboratory Testing of the TAP Cancer Vaccine</w:t>
      </w:r>
    </w:p>
    <w:p>
      <w:pPr>
        <w:pStyle w:val="TextBody"/>
        <w:spacing w:before="90" w:after="0"/>
        <w:jc w:val="both"/>
        <w:rPr>
          <w:b/>
          <w:i/>
          <w:u w:val="single"/>
        </w:rPr>
      </w:pPr>
      <w:r>
        <w:rPr>
          <w:b/>
          <w:i/>
          <w:u w:val="single"/>
        </w:rPr>
        <w:t>Management believes that key milestones of efficacy in animal models of cancer have been achieved and that scientific research from other laboratories has validated the efficacy data. The proof of principle for the TAP technology as a cancer vaccine has been established in research conducted at UBC in metastatic models that have multiple defects in the antigen presentation pathway resulting in poor detection of cancer cells by the immune system. These studies demonstrating that introduction of the TAP gene can restore an immune response have been published in a number of peer-reviewed leading scientific journals (links to publications can be found at www.tapimmune.com). We plan to conduct additional pre-clinical work on novel expression vectors that can express both TAP proteins and peptide antigens.</w:t>
      </w:r>
    </w:p>
    <w:p>
      <w:pPr>
        <w:pStyle w:val="TextBody"/>
        <w:spacing w:before="0" w:after="0"/>
        <w:ind w:left="0" w:right="0" w:hanging="0"/>
        <w:jc w:val="both"/>
        <w:rPr/>
      </w:pPr>
      <w:r>
        <w:rPr/>
      </w:r>
    </w:p>
    <w:p>
      <w:pPr>
        <w:pStyle w:val="TextBody"/>
        <w:spacing w:before="0" w:after="0"/>
        <w:ind w:left="0" w:right="0" w:hanging="0"/>
        <w:jc w:val="both"/>
        <w:rPr/>
      </w:pPr>
      <w:r>
        <w:rPr>
          <w:b/>
          <w:i/>
          <w:u w:val="single"/>
        </w:rPr>
        <w:t>Pre-Clinical Testing</w:t>
      </w:r>
      <w:r>
        <w:rPr>
          <w:color w:val="FF0000"/>
          <w:u w:val="single"/>
        </w:rPr>
        <w:t xml:space="preserve"> </w:t>
      </w:r>
    </w:p>
    <w:p>
      <w:pPr>
        <w:pStyle w:val="TextBody"/>
        <w:spacing w:before="90" w:after="0"/>
        <w:jc w:val="both"/>
        <w:rPr>
          <w:b/>
          <w:i/>
          <w:u w:val="single"/>
        </w:rPr>
      </w:pPr>
      <w:r>
        <w:rPr>
          <w:b/>
          <w:i/>
          <w:u w:val="single"/>
        </w:rPr>
        <w:t>Once the formal pre-clinical testing is completed, we intend to compile and summarize the data and submit it to the United States Federal Drug Administration (or FDA) and/or the Canadian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b/>
        </w:rPr>
      </w:pPr>
      <w:r>
        <w:rPr>
          <w:b/>
          <w:i/>
          <w:u w:val="single"/>
        </w:rPr>
        <w:t xml:space="preserve">Phase I Human Clinical Trials </w:t>
      </w:r>
      <w:r>
        <w:rPr>
          <w:b/>
          <w:u w:val="single"/>
        </w:rPr>
        <w:t>HER2/neu Vaccine Technology  Mayo Clinic</w:t>
      </w:r>
    </w:p>
    <w:p>
      <w:pPr>
        <w:pStyle w:val="TextBody"/>
        <w:spacing w:before="90" w:after="0"/>
        <w:jc w:val="both"/>
        <w:rPr/>
      </w:pPr>
      <w:r>
        <w:rPr/>
        <w:t xml:space="preserve">On June 1, 2010, we signed an exclusive licensing option agreement with the Mayo Clinic, Rochester MN for clinical development of a new HER2/neu breast cancer vaccine technology. An IND for Phase I human clinical trials on the HER2/neu cancer vaccine in collaboration with the Mayo Clinic was allowed by the FDA in July, 2011 and the Mayo IRB approved the trial on May 4 2012. Patient dosing has started, and interim safety analysis on the first five patients is complete and was successful. In addition, each of the first five patients treated developed specific T-cell immune responses to the antigens in the vaccine technology. </w:t>
      </w:r>
    </w:p>
    <w:p>
      <w:pPr>
        <w:pStyle w:val="TextBody"/>
        <w:spacing w:before="90" w:after="0"/>
        <w:jc w:val="both"/>
        <w:rPr/>
      </w:pPr>
      <w:r>
        <w:rPr/>
        <w:t>The primary endpoint for this trial will be vaccine safety. Secondary endpoints will be immune responses including generation of antigen-specific T-cells and time to disease progression in breast cancer patients. As this trial progresses, we plan to add the Class I peptide, licensed from the Mayo Clinic to the four Class II peptides as an extension of the Phase I clinical trial. In parallel, we will complete the manufacturing and toxicity of vector delivered Tap1/2 for subsequent Phase I human clinical trials and for use in combination in later stage clinical trials with the HER2/neu antigens as part of a Prime and Boost strategy. On April 16, 2012 we announced the licensing of a novel HER2/neu Class I antigen from the Mayo Clinic and are currently evaluating the clinical pathway to include this in our current Prime and Boost strategy. Management believes that the combination of Class I and Class II HER2/neu antigens plus TAP gives us the leading HER2/neu vaccine platform.</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pPr>
      <w:r>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For immunotherapeutics/vaccine, Phase I studies are conducted in cancer patients and include the measurement of cellular immune responses.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pStyle w:val="TextBody"/>
        <w:spacing w:before="90" w:after="0"/>
        <w:jc w:val="both"/>
        <w:rPr>
          <w:b/>
          <w:i/>
          <w:u w:val="single"/>
        </w:rPr>
      </w:pPr>
      <w:r>
        <w:rPr>
          <w:b/>
          <w:i/>
          <w:u w:val="single"/>
        </w:rPr>
        <w:t>Infectious Disease Application for TAP Adjuvant</w:t>
      </w:r>
    </w:p>
    <w:p>
      <w:pPr>
        <w:pStyle w:val="TextBody"/>
        <w:spacing w:before="90" w:after="0"/>
        <w:jc w:val="both"/>
        <w:rPr>
          <w:b/>
          <w:i/>
          <w:u w:val="single"/>
        </w:rPr>
      </w:pPr>
      <w:r>
        <w:rPr>
          <w:b/>
          <w:i/>
          <w:u w:val="single"/>
        </w:rPr>
        <w:t>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We believe our collaborations with the Mayo Clinic is evidence of this and we will continue to pursue additional partnerships and collaborations as a key strategy to expand our research and development (R&amp;D) program to optimize resources and to reduce costs and development times. In our collaboration with the Mayo Clinic, efficacy studies in small animals on a novel smallpox vaccine that includes TAP, were initiated in 2011 and are progressing on schedule. The subsequent regulatory pathway for this product is to use the FDAs Animal Efficacy Rule for completion of efficacy studies in primates followed by Phase I clinical studies on vaccine safety.</w:t>
      </w:r>
    </w:p>
    <w:p>
      <w:pPr>
        <w:pStyle w:val="TextBody"/>
        <w:spacing w:before="90" w:after="0"/>
        <w:jc w:val="both"/>
        <w:rPr>
          <w:b/>
          <w:i/>
          <w:u w:val="single"/>
        </w:rPr>
      </w:pPr>
      <w:r>
        <w:rPr>
          <w:b/>
          <w:i/>
          <w:u w:val="single"/>
        </w:rPr>
        <w:t>The cost of funding our current Phase I clinical program in HER2/neu breast cancer at the Mayo Clinic is approximately $850,000 and is mostly paid off as this report. We anticipate that on-going preclinical studies and Phase I studies on our TAP expression vectors will cost approximately $5million. 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pStyle w:val="TextBody"/>
        <w:spacing w:before="90" w:after="0"/>
        <w:jc w:val="both"/>
        <w:rPr>
          <w:b/>
          <w:i/>
          <w:u w:val="single"/>
        </w:rPr>
      </w:pPr>
      <w:r>
        <w:rPr>
          <w:b/>
          <w:i/>
          <w:u w:val="single"/>
        </w:rPr>
        <w:t>Strategic Relationships</w:t>
      </w:r>
    </w:p>
    <w:p>
      <w:pPr>
        <w:pStyle w:val="TextBody"/>
        <w:spacing w:before="0" w:after="0"/>
        <w:ind w:left="0" w:right="0" w:hanging="0"/>
        <w:jc w:val="both"/>
        <w:rPr/>
      </w:pPr>
      <w:r>
        <w:rPr/>
      </w:r>
    </w:p>
    <w:p>
      <w:pPr>
        <w:pStyle w:val="TextBody"/>
        <w:spacing w:before="0" w:after="0"/>
        <w:ind w:left="0" w:right="0" w:hanging="0"/>
        <w:jc w:val="both"/>
        <w:rPr>
          <w:b/>
          <w:i/>
        </w:rPr>
      </w:pPr>
      <w:r>
        <w:rPr>
          <w:b/>
          <w:i/>
        </w:rPr>
        <w:t>Mayo Foundation for Medical Education and Research</w:t>
      </w:r>
    </w:p>
    <w:p>
      <w:pPr>
        <w:pStyle w:val="TextBody"/>
        <w:spacing w:before="90" w:after="0"/>
        <w:jc w:val="both"/>
        <w:rPr>
          <w:b/>
          <w:i/>
          <w:u w:val="single"/>
        </w:rPr>
      </w:pPr>
      <w:r>
        <w:rPr>
          <w:b/>
          <w:i/>
          <w:u w:val="single"/>
        </w:rPr>
        <w:t xml:space="preserve">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 </w:t>
      </w:r>
    </w:p>
    <w:p>
      <w:pPr>
        <w:pStyle w:val="TextBody"/>
        <w:spacing w:before="90" w:after="0"/>
        <w:jc w:val="both"/>
        <w:rPr>
          <w:b/>
          <w:i/>
          <w:u w:val="single"/>
        </w:rPr>
      </w:pPr>
      <w:r>
        <w:rPr>
          <w:b/>
          <w:i/>
          <w:u w:val="single"/>
        </w:rPr>
        <w:t xml:space="preserve">Following approval of the IND by the FDA in July, 2011, TapImmune and the Mayo Foundation executed a Sponsored Research Agreement for the clinical trial. </w:t>
      </w:r>
    </w:p>
    <w:p>
      <w:pPr>
        <w:pStyle w:val="TextBody"/>
        <w:spacing w:before="90" w:after="0"/>
        <w:jc w:val="both"/>
        <w:rPr>
          <w:b/>
          <w:i/>
        </w:rPr>
      </w:pPr>
      <w:r>
        <w:rPr>
          <w:b/>
          <w:i/>
          <w:u w:val="single"/>
        </w:rPr>
        <w:t>On May 4, 2012, Mayo IRB approval was confirmed and patient dosing was initiated</w:t>
      </w:r>
      <w:r>
        <w:rPr>
          <w:b/>
          <w:i/>
        </w:rPr>
        <w: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both"/>
        <w:rPr/>
      </w:pPr>
      <w:r>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is progressing well with identification of several peptide antigens which could form the basis of a new vaccine for potential stockpiling.  Its completion in Q4, 2013 will trigger the decision whether to proceed into primate studies.</w:t>
      </w:r>
    </w:p>
    <w:p>
      <w:pPr>
        <w:pStyle w:val="TextBody"/>
        <w:spacing w:before="0" w:after="0"/>
        <w:ind w:left="0" w:right="0" w:hanging="0"/>
        <w:jc w:val="both"/>
        <w:rPr/>
      </w:pPr>
      <w:r>
        <w:rPr/>
      </w:r>
    </w:p>
    <w:p>
      <w:pPr>
        <w:pStyle w:val="TextBody"/>
        <w:spacing w:before="0" w:after="0"/>
        <w:ind w:left="0" w:right="0" w:hanging="0"/>
        <w:jc w:val="both"/>
        <w:rPr/>
      </w:pPr>
      <w:r>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p>
    <w:p>
      <w:pPr>
        <w:pStyle w:val="TextBody"/>
        <w:spacing w:before="90" w:after="0"/>
        <w:jc w:val="both"/>
        <w:rPr>
          <w:b/>
          <w:i/>
        </w:rPr>
      </w:pPr>
      <w:r>
        <w:rPr>
          <w:b/>
          <w:i/>
        </w:rPr>
        <w:t>Intellectual Property, Patents and Trademarks</w:t>
      </w:r>
    </w:p>
    <w:p>
      <w:pPr>
        <w:pStyle w:val="TextBody"/>
        <w:spacing w:before="90" w:after="0"/>
        <w:jc w:val="both"/>
        <w:rPr/>
      </w:pPr>
      <w:r>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pStyle w:val="TextBody"/>
        <w:spacing w:before="90" w:after="0"/>
        <w:jc w:val="both"/>
        <w:rPr/>
      </w:pPr>
      <w:r>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Method of Enhancing Expression of MHC Class I Molecules Bearing Endogenous Peptides</w:t>
      </w:r>
    </w:p>
    <w:p>
      <w:pPr>
        <w:pStyle w:val="TextBody"/>
        <w:spacing w:before="90" w:after="0"/>
        <w:jc w:val="both"/>
        <w:rPr/>
      </w:pPr>
      <w:r>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90" w:after="0"/>
        <w:jc w:val="both"/>
        <w:rPr>
          <w:b/>
          <w:i/>
        </w:rPr>
      </w:pPr>
      <w:r>
        <w:rPr>
          <w:b/>
          <w:i/>
        </w:rPr>
        <w:t>Method of Enhancing an Immune Response</w:t>
      </w:r>
    </w:p>
    <w:p>
      <w:pPr>
        <w:pStyle w:val="TextBody"/>
        <w:spacing w:before="90" w:after="0"/>
        <w:jc w:val="both"/>
        <w:rPr/>
      </w:pPr>
      <w:r>
        <w:rPr/>
        <w:t>U.S. patent No. 7,378,087, issued May 27 2008. The patent claims relate to methods for enhancing the immune response to tumor cells by introducing the TAP molecule into the infected cells. Patent applications are pending on other aspects of the companys technology. The inventors were Jefferies, Wilfred A.; Zhang, Qian-Jin; Chen, Susan Shu-Ping; Alimonti, Judie B., who collectively assigned the patent to UBC under an assignment agreement.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Method of Identifying MHC Class I Restricted Antigens Endogenously Processed by a Secretory Pathway</w:t>
      </w:r>
    </w:p>
    <w:p>
      <w:pPr>
        <w:pStyle w:val="TextBody"/>
        <w:spacing w:before="90" w:after="0"/>
        <w:jc w:val="both"/>
        <w:rPr/>
      </w:pPr>
      <w:r>
        <w:rPr/>
        <w:t xml:space="preserve">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 </w:t>
      </w:r>
    </w:p>
    <w:p>
      <w:pPr>
        <w:pStyle w:val="TextBody"/>
        <w:spacing w:before="90" w:after="0"/>
        <w:jc w:val="both"/>
        <w:rPr>
          <w:b/>
          <w:i/>
        </w:rPr>
      </w:pPr>
      <w:r>
        <w:rPr>
          <w:b/>
          <w:i/>
        </w:rPr>
        <w:t xml:space="preserve">Method of Enhancing an Immune Response </w:t>
      </w:r>
    </w:p>
    <w:p>
      <w:pPr>
        <w:pStyle w:val="TextBody"/>
        <w:spacing w:before="90" w:after="0"/>
        <w:jc w:val="both"/>
        <w:rPr/>
      </w:pPr>
      <w:r>
        <w:rPr/>
        <w:t>On October 27, 2011 The US Patent Office has issued Patent 7,994,146 entitled Method of Enhancing an Immune Response. The invention relates to a method of enhancing an immune response to an antigen by augmenting the level of TAP (Transporters Associated with Antigen Processing) molecule in a target cell bearing the antigen. This patent details application to treating vaccinia, herpes simplex and influenza virus infections and small cell lung cancer. Levels of TAP in humans correlate with susceptibility to certain diseases and the ability to respond to a vaccine.</w:t>
      </w:r>
    </w:p>
    <w:p>
      <w:pPr>
        <w:pStyle w:val="TextBody"/>
        <w:spacing w:before="90" w:after="0"/>
        <w:jc w:val="both"/>
        <w:rPr>
          <w:b/>
          <w:i/>
        </w:rPr>
      </w:pPr>
      <w:r>
        <w:rPr>
          <w:b/>
          <w:i/>
        </w:rPr>
        <w:t>TAP Vaccines and other filings</w:t>
      </w:r>
    </w:p>
    <w:p>
      <w:pPr>
        <w:pStyle w:val="TextBody"/>
        <w:spacing w:before="90" w:after="0"/>
        <w:jc w:val="both"/>
        <w:rPr/>
      </w:pPr>
      <w:r>
        <w:rPr/>
        <w:t>We intend to continue to work with our collaborators to file additional patent applications with respect to any novel aspects of our technology to further protect our intellectual property portfolio. An invention that describes the use of bio-acceptable substances to promote the transcription of the TAP-1 gene in TAP-1 expression-deficient cells was filed in July 2009 and was available to us under an option agreement with the University of British Columbia. The patent is entitled HAT acetylation promoters and uses of compositions thereof in promoting immunogenicity. The Company will not pursue this technology or continue to prosecute this additional patent and has released its option back to the University of British Columbia.</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u w:val="single"/>
        </w:rPr>
      </w:pPr>
      <w:r>
        <w:rPr>
          <w:b/>
          <w:i/>
          <w:u w:val="single"/>
        </w:rPr>
        <w:t>Competition</w:t>
      </w:r>
    </w:p>
    <w:p>
      <w:pPr>
        <w:pStyle w:val="TextBody"/>
        <w:spacing w:before="90" w:after="0"/>
        <w:jc w:val="both"/>
        <w:rPr/>
      </w:pPr>
      <w:r>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While management believes that we have a unique platform technology approach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90" w:after="0"/>
        <w:jc w:val="both"/>
        <w:rPr/>
      </w:pPr>
      <w:r>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pStyle w:val="TextBody"/>
        <w:spacing w:before="90" w:after="0"/>
        <w:jc w:val="both"/>
        <w:rPr/>
      </w:pPr>
      <w:r>
        <w:rPr/>
        <w:t>Management believes that the following companies, which are developing various types of similar immunotherapies and therapeutic cancer vaccines to treat cancer, could be our major competitors: CellGenSys Inc., Dendreon Corp., Galena, Immune Design, Immunocellular, Oncothyreon, Celldex, BN Immunotherapeutics, and Transgene S.A.</w:t>
      </w:r>
    </w:p>
    <w:p>
      <w:pPr>
        <w:pStyle w:val="TextBody"/>
        <w:spacing w:before="90" w:after="0"/>
        <w:jc w:val="both"/>
        <w:rPr>
          <w:b/>
          <w:i/>
        </w:rPr>
      </w:pPr>
      <w:r>
        <w:rPr>
          <w:b/>
          <w:i/>
        </w:rPr>
        <w:t>Our Financial Condition</w:t>
      </w:r>
    </w:p>
    <w:p>
      <w:pPr>
        <w:pStyle w:val="TextBody"/>
        <w:spacing w:before="90" w:after="0"/>
        <w:jc w:val="both"/>
        <w:rPr/>
      </w:pPr>
      <w:r>
        <w:rPr/>
        <w:t>During the next 12 months, we anticipate that we will not generate any sales revenue but may receive grant funding. We had cash of $4,933 and a working capital deficit of $4,971,681 at September 30, 2013. We will require significant additional financial resources and will depend on future financings to fund our ongoing research and development as well as other working capital requirements.</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Plan of Operation and Funding</w:t>
      </w:r>
    </w:p>
    <w:p>
      <w:pPr>
        <w:pStyle w:val="TextBody"/>
        <w:spacing w:before="90" w:after="0"/>
        <w:jc w:val="both"/>
        <w:rPr/>
      </w:pPr>
      <w:bookmarkStart w:id="2" w:name="_Toc154499466"/>
      <w:bookmarkStart w:id="3" w:name="_Toc154499337"/>
      <w:bookmarkEnd w:id="2"/>
      <w:bookmarkEnd w:id="3"/>
      <w:r>
        <w:rPr/>
        <w:t>As a vaccine component, the gene based TAP technology has the potential to significantly improve the efficacy of both prophylactic and immunotherapeutic vaccines as it addresses a fundamental mechanism for T cell recognition and response. We believe that, unlike other vaccine technologies that address only the initiation of immune responses, TAP expression also has the unique ability to enhance the effector function of mature killer T cells. This enhancement of effector function is potentially complementary to any/all vaccine approaches that are designed to enhance cellular responses. Therefore, we envisage establishing multiple collaborative partnerships as we progress gene-based TAP development and research in the clinic. The exploitation of this key mechanism is highlighted by two collaborations with the Mayo Clinic in Rochester, MN and their progress in 2012 and Q1 2013.</w:t>
      </w:r>
    </w:p>
    <w:p>
      <w:pPr>
        <w:pStyle w:val="TextBody"/>
        <w:spacing w:before="90" w:after="0"/>
        <w:jc w:val="both"/>
        <w:rPr/>
      </w:pPr>
      <w:r>
        <w:rPr/>
        <w:t>Management believes that as a result of the potential of our PolyStart vector technology developed in our laboratoriesour recent personnel additions, our moving into a state of the art facility, our exclusive Licensing Option agreements with the Mayo Clinic in Rochester, Minnesota, the completion start of term Phase 1 clinical trials in HER2/neu breast cancer, together with and subject to raising adequate funding, the Company will be well positioned to start Phase II clinical trials and for significant expansion of its current development programs.</w:t>
      </w:r>
    </w:p>
    <w:p>
      <w:pPr>
        <w:pStyle w:val="TextBody"/>
        <w:spacing w:before="90" w:after="0"/>
        <w:jc w:val="both"/>
        <w:rPr/>
      </w:pPr>
      <w:r>
        <w:rPr/>
        <w:t>In August 2011, the FDA allowed an IND (Investigational New Drug application) and the Company signed a sponsored research agreement with the Mayo Clinic for a Phase 1 Her2neu Breast Cancer Clinical Trial, which started in the first quarter of 2012. The trial will use a patented technology developed at the Mayo clinic. TapImmune has the exclusive Option to license this technology. Recent clinical trials of Her2neu vaccines have shown considerable promise but have significant room for improvements, and the technology we are evaluating in our phase I clinical trial offers a vaccine with broader coverage, making it applicable to a much larger population of women with breast cancer. We anticipate that this technology will be used therapeutically together with our TAP expression technology as it reaches clinical development in combination with the improved Her2neu targeted vaccine. Currently, Herceptin® (trastuzumab: an intravenously delivered monoclonal antibody) is used in the treatment of HER-2/neu breast cancer. Sales of this product in 2009 were approximately US$5 billion (source: Roche AGs Pharmaceutical Division). As our vaccine approach has the potential to treat a broader HER-2/neu positive clinical population, the market potential is significant.</w:t>
      </w:r>
    </w:p>
    <w:p>
      <w:pPr>
        <w:pStyle w:val="TextBody"/>
        <w:spacing w:before="90" w:after="0"/>
        <w:jc w:val="both"/>
        <w:rPr/>
      </w:pPr>
      <w:r>
        <w:rPr/>
        <w:t>Our Gene-based TAP vaccines also have the potential to significantly improve the efficacy of prophylactic vaccines for viral pandemics and as agents for biodefense. In a novel approach to the development of a smallpox vaccine, in our collaboration with the Mayo Clinic, research studies have progressed well and are now testing unique and patentable smallpox antigens in combination with TAP technology. Once these feasibility studies are complete we would move to larger preclinical animal studies, and Phase I safety trials. This study will also act as a platform for more extensive use of gene-based TAP vectors for biodefense. We will be seeking non-dilutive avenues to finance and advance this program by way of biodefense focused grants and contracts. We have the exclusive option to license the patented Mayo technology that is derived from this collaboration.</w:t>
      </w:r>
    </w:p>
    <w:p>
      <w:pPr>
        <w:pStyle w:val="TextBody"/>
        <w:spacing w:before="90" w:after="0"/>
        <w:jc w:val="both"/>
        <w:rPr/>
      </w:pPr>
      <w:r>
        <w:rPr/>
        <w:t xml:space="preserve">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(Dendreon NASD: DNDN) for prostate cancer and Yervoy (BMS) for metastatic melanoma, anticipation of the results from Phase III trials on MAGE-3 (GSK) for treatment of lung cancer, and progression of approaches for multiple cancer indications through Phase II and into Phase III. </w:t>
      </w:r>
    </w:p>
    <w:p>
      <w:pPr>
        <w:pStyle w:val="TextBody"/>
        <w:spacing w:before="90" w:after="0"/>
        <w:jc w:val="both"/>
        <w:rPr/>
      </w:pPr>
      <w:r>
        <w:rPr/>
        <w:t>Management believes that TapImmune is well positioned to be a leading player in this emerging market. It is important to note that the late stage immunotherapies in development do not necessarily represent competition to our programs, but rather offer us opportunities as our TAP expression technology is potentially synergistic with many other vaccine approaches. The addition of a TAP expression vector to patients already receiving a therapeutic vaccine could enhance the efficacy of these vaccines, as TAP is designed to help killer T-cells kill tumor cells. This concept of enhancing the effector stage of an immune response differentiates TAP technology from a wide list of immunotherapies currently in development, and offers a great opportunity for collaborations and partnerships. Accordingly we believe that the use of TAP expression vectors represents the next logical step in the development of more effective immunotherapies.</w:t>
      </w:r>
    </w:p>
    <w:p>
      <w:pPr>
        <w:pStyle w:val="TextBody"/>
        <w:spacing w:before="90" w:after="0"/>
        <w:jc w:val="both"/>
        <w:rPr/>
      </w:pPr>
      <w:r>
        <w:rPr/>
        <w:t>In Q3 2013, we continued to made good progress with very few resources. Progress in developing vectors for expression of antigens and TAP as a boost strategy has led to new intellectual property that we intend to file in the fourthsecond quarter of 2013. Immune responses generated to the HER2/neu antigens given to the first five patients in the Phase I trial provide confidence to move into Phase II trials. On the technology and product pipeline side, management believes that the company is fundamentally strong and poised to be a leading company in a highly attractive and expanding market.</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90" w:after="0"/>
        <w:jc w:val="both"/>
        <w:rPr>
          <w:b/>
          <w:i/>
        </w:rPr>
      </w:pPr>
      <w:r>
        <w:rPr>
          <w:b/>
          <w:i/>
        </w:rPr>
        <w:t>Results of Operations</w:t>
      </w:r>
    </w:p>
    <w:p>
      <w:pPr>
        <w:pStyle w:val="TextBody"/>
        <w:spacing w:before="0" w:after="0"/>
        <w:ind w:left="0" w:right="0" w:hanging="0"/>
        <w:jc w:val="both"/>
        <w:rPr/>
      </w:pPr>
      <w:r>
        <w:rPr/>
        <w:t>In this discussion of the Companys results of operations and financial condition, amounts, other than per-share amounts, have been rounded to the nearest thousand dollars.</w:t>
      </w:r>
    </w:p>
    <w:p>
      <w:pPr>
        <w:pStyle w:val="TextBody"/>
        <w:spacing w:before="90" w:after="0"/>
        <w:jc w:val="both"/>
        <w:rPr>
          <w:b/>
          <w:i/>
        </w:rPr>
      </w:pPr>
      <w:r>
        <w:rPr>
          <w:b/>
          <w:i/>
        </w:rPr>
        <w:t>Three Months Ended September 30, 2013 Compared to Three Months Ended September 30, 2012</w:t>
      </w:r>
    </w:p>
    <w:p>
      <w:pPr>
        <w:pStyle w:val="TextBody"/>
        <w:spacing w:before="0" w:after="0"/>
        <w:ind w:left="0" w:right="0" w:hanging="0"/>
        <w:jc w:val="both"/>
        <w:rPr/>
      </w:pPr>
      <w:r>
        <w:rPr/>
      </w:r>
    </w:p>
    <w:p>
      <w:pPr>
        <w:pStyle w:val="TextBody"/>
        <w:spacing w:before="0" w:after="0"/>
        <w:ind w:left="0" w:right="0" w:hanging="0"/>
        <w:jc w:val="both"/>
        <w:rPr/>
      </w:pPr>
      <w:r>
        <w:rPr/>
        <w:t>We are a development stage company. We recorded a net loss of $966,000 during the three months ended September 30, 2013 compared to $768,000 for the three months ended September 30, 2012.</w:t>
      </w:r>
    </w:p>
    <w:p>
      <w:pPr>
        <w:pStyle w:val="TextBody"/>
        <w:spacing w:before="90" w:after="0"/>
        <w:jc w:val="both"/>
        <w:rPr/>
      </w:pPr>
      <w:r>
        <w:rPr/>
        <w:t>Operating costs decreased to $313,000 during the three months ended September 30, 2013 compared to $797,000 in the prior period. Significant changes in operating expenses are outlined as follows:</w:t>
      </w:r>
    </w:p>
    <w:p>
      <w:pPr>
        <w:pStyle w:val="TextBody"/>
        <w:pBdr/>
        <w:spacing w:before="0" w:after="0"/>
        <w:ind w:left="0" w:right="0" w:hanging="30"/>
        <w:jc w:val="both"/>
        <w:rPr/>
      </w:pPr>
      <w:r>
        <w:rPr/>
        <w:t>Consulting fees decreased to $51,000 during the three months ended September 30, 2013 from $57,000 during the prior period, due primarily to previous business development contracts ended during the current period.</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38430"/>
                <wp:effectExtent l="0" t="0" r="0" b="0"/>
                <wp:wrapSquare wrapText="largest"/>
                <wp:docPr id="28" name="Frame2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Consulting fees  stock-based decreased to $7,000 during the three months ended September 30, 2013 from $110,000 during the prior period. The lower current period expense is primarily due to decreased share based payments to the consultants compared to the prior period.</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38430"/>
                <wp:effectExtent l="0" t="0" r="0" b="0"/>
                <wp:wrapSquare wrapText="largest"/>
                <wp:docPr id="29" name="Frame2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General and administrative expenses decreased to $70,000 in the three months ended June 30, 2012 from $268,000 in the prior period, with the decrease resulting from reduced staffing costs at the Companys Seattle office and lower travel related expense in the current period.</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38430"/>
                <wp:effectExtent l="0" t="0" r="0" b="0"/>
                <wp:wrapSquare wrapText="largest"/>
                <wp:docPr id="30" name="Frame3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Interest and finance charges increased to $23,000 during the three months ended September 30, 2013 from $215,000 during the prior period. Current period interest charges are primarily interest accruals and prior period interest charges are interest accruals and accretion of debt discounts.</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38430"/>
                <wp:effectExtent l="0" t="0" r="0" b="0"/>
                <wp:wrapSquare wrapText="largest"/>
                <wp:docPr id="31" name="Frame3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Management fees increased to $59,000 during the three months ended September 30, 2013 from $23,000 during the prior period due to one additional person in management in the current period.</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38430"/>
                <wp:effectExtent l="0" t="0" r="0" b="0"/>
                <wp:wrapSquare wrapText="largest"/>
                <wp:docPr id="32" name="Frame32"/>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Management fees  stock-based decreased to $4,000 during the three months ended September 30, 2013 from $31,000 during the prior period. The current and prior period expense consists of the fair value of option grants earned during the period.</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38430"/>
                <wp:effectExtent l="0" t="0" r="0" b="0"/>
                <wp:wrapSquare wrapText="largest"/>
                <wp:docPr id="33" name="Frame33"/>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Professional fees increased to $70,000 during the three months ended September 30, 2013 from $22,000 during the prior period, due to higher legal fees incurred relating to debt issuance and other legal matters in the current period.</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38430"/>
                <wp:effectExtent l="0" t="0" r="0" b="0"/>
                <wp:wrapSquare wrapText="largest"/>
                <wp:docPr id="34" name="Frame34"/>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Research and development decreased to $30,000 during the three months ended September 30, 2013 from $71,000 during the prior period. This was due to lower technology licensing fee and initiation of preclinical studies in the current period.</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38430"/>
                <wp:effectExtent l="0" t="0" r="0" b="0"/>
                <wp:wrapSquare wrapText="largest"/>
                <wp:docPr id="35" name="Frame35"/>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19</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pPr>
      <w:r>
        <w:rPr/>
        <w:t>Foreign exchange loss was $nil during the three months ended September 30, 2013 compared to a loss of $7,000 in the prior period primarily due to expiry of a licensing agreement.</w:t>
      </w:r>
    </w:p>
    <w:p>
      <w:pPr>
        <w:pStyle w:val="TextBody"/>
        <w:spacing w:before="90" w:after="0"/>
        <w:jc w:val="both"/>
        <w:rPr>
          <w:b/>
          <w:i/>
        </w:rPr>
      </w:pPr>
      <w:r>
        <w:rPr>
          <w:b/>
          <w:i/>
        </w:rPr>
        <w:t xml:space="preserve">Nine months ended September 30, 2013 Compared to Nine months ended September 30, 2012 </w:t>
      </w:r>
    </w:p>
    <w:p>
      <w:pPr>
        <w:pStyle w:val="TextBody"/>
        <w:spacing w:before="90" w:after="0"/>
        <w:jc w:val="both"/>
        <w:rPr/>
      </w:pPr>
      <w:r>
        <w:rPr/>
        <w:t>We recorded a net loss of $2,057,000 during the nine months ended September 30, 2013 compared to $4,119,000 for the nine months ended September 30, 2012.</w:t>
      </w:r>
    </w:p>
    <w:p>
      <w:pPr>
        <w:pStyle w:val="TextBody"/>
        <w:spacing w:before="90" w:after="0"/>
        <w:jc w:val="both"/>
        <w:rPr/>
      </w:pPr>
      <w:r>
        <w:rPr/>
        <w:t>Operating costs decreased to $1,594,000 during the nine months ended September 30, 2013 compared to $4,609,000 in the prior period. Significant changes in operating expenses are outlined as follows:</w:t>
      </w:r>
    </w:p>
    <w:p>
      <w:pPr>
        <w:pStyle w:val="TextBody"/>
        <w:pBdr/>
        <w:spacing w:before="0" w:after="0"/>
        <w:ind w:left="0" w:right="0" w:hanging="30"/>
        <w:jc w:val="both"/>
        <w:rPr/>
      </w:pPr>
      <w:r>
        <w:rPr/>
        <w:t>Consulting fees decreased to $117,000 during the nine months ended September 30, 2013 from $120,000 during the prior period, due primarily to increase in cash payments for a new business development contract entered into in May 2012.</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38430"/>
                <wp:effectExtent l="0" t="0" r="0" b="0"/>
                <wp:wrapSquare wrapText="largest"/>
                <wp:docPr id="36" name="Frame36"/>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Consulting fee - stock-based decreased to $90,000 during the nine months ended September 30, 2013 from $2,284,000 during the prior period. The lower current period expense is primarily due to decreased share based payments to the consultants compared to the prior period.</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38430"/>
                <wp:effectExtent l="0" t="0" r="0" b="0"/>
                <wp:wrapSquare wrapText="largest"/>
                <wp:docPr id="37" name="Frame3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General and administrative expenses decreased to $366,000 in the nine months ended September 30, 2013 from $880,000 in the prior period, with the decrease resulting from reduced staffing costs at the Company Seattle office and lower travel related expense in the current period.</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38430"/>
                <wp:effectExtent l="0" t="0" r="0" b="0"/>
                <wp:wrapSquare wrapText="largest"/>
                <wp:docPr id="38" name="Frame3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Interest and finance charges increased to $140,000 during the nine months ended September 30, 2013 from $412,000 during the prior period. Current period interest and finance charges are primarily accrual of interest on convertible notes and prior period interest charges are primarily accretion of convertible notes and accrual of interest charges.</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38430"/>
                <wp:effectExtent l="0" t="0" r="0" b="0"/>
                <wp:wrapSquare wrapText="largest"/>
                <wp:docPr id="39" name="Frame3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Management fees increased to $175,000 during the nine months ended September 30, 2013 from $125,000 during the prior period due to one additional person in management in the current period.</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38430"/>
                <wp:effectExtent l="0" t="0" r="0" b="0"/>
                <wp:wrapSquare wrapText="largest"/>
                <wp:docPr id="40" name="Frame4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Management fees  stock-based decreased to $31,000 during the nine months ended September 30, 2013 from $147,000 during the prior period. The current and prior period expense consists of the fair value of option grants earned during the period.</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38430"/>
                <wp:effectExtent l="0" t="0" r="0" b="0"/>
                <wp:wrapSquare wrapText="largest"/>
                <wp:docPr id="41" name="Frame4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Professional fees increased to $455,000 during the nine months ended September 30, 2013 from $209,000 during the prior period, due to higher legal fees incurred relating to debt issuance and other legal matters in the current period.</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38430"/>
                <wp:effectExtent l="0" t="0" r="0" b="0"/>
                <wp:wrapSquare wrapText="largest"/>
                <wp:docPr id="42" name="Frame42"/>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Research and development decreased to $218,000 during the nine months ended September 30, 2013 from $432,000 during the prior period. This was due to lower technology licensing fee and initiation of preclinical studies in the current period.</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38430"/>
                <wp:effectExtent l="0" t="0" r="0" b="0"/>
                <wp:wrapSquare wrapText="largest"/>
                <wp:docPr id="43" name="Frame43"/>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pBdr/>
        <w:spacing w:before="0" w:after="0"/>
        <w:ind w:left="0" w:right="0" w:hanging="3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20</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Liquidity and Capital Resources</w:t>
      </w:r>
    </w:p>
    <w:p>
      <w:pPr>
        <w:pStyle w:val="TextBody"/>
        <w:spacing w:before="0" w:after="0"/>
        <w:ind w:left="0" w:right="0" w:hanging="0"/>
        <w:jc w:val="both"/>
        <w:rPr/>
      </w:pPr>
      <w:r>
        <w:rPr/>
        <w:t>At September 30, 2013, we had $5,000 in cash. Generally, we have financed our operations through the proceeds from convertible notes and the private placement of equity securities as noted in Financing Activities below. We decreased our net cash by $29,000 during the nine months ended September 30, 2013 compared to a decrease of $247,000 during the prior period.</w:t>
      </w:r>
    </w:p>
    <w:p>
      <w:pPr>
        <w:pStyle w:val="TextBody"/>
        <w:spacing w:before="90" w:after="0"/>
        <w:jc w:val="both"/>
        <w:rPr>
          <w:b/>
          <w:i/>
        </w:rPr>
      </w:pPr>
      <w:r>
        <w:rPr>
          <w:b/>
          <w:i/>
        </w:rPr>
        <w:t>Operating Activities</w:t>
      </w:r>
    </w:p>
    <w:p>
      <w:pPr>
        <w:pStyle w:val="TextBody"/>
        <w:spacing w:before="0" w:after="0"/>
        <w:ind w:left="0" w:right="0" w:hanging="0"/>
        <w:jc w:val="both"/>
        <w:rPr/>
      </w:pPr>
      <w:r>
        <w:rPr/>
        <w:t>Net cash used in operating activities during the nine months ended September 30, 2013 was $755,000 compared to $1,096,000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pStyle w:val="TextBody"/>
        <w:spacing w:before="90" w:after="0"/>
        <w:jc w:val="both"/>
        <w:rPr>
          <w:b/>
          <w:i/>
        </w:rPr>
      </w:pPr>
      <w:r>
        <w:rPr>
          <w:b/>
          <w:i/>
        </w:rPr>
        <w:t>Investing Activities</w:t>
      </w:r>
    </w:p>
    <w:p>
      <w:pPr>
        <w:pStyle w:val="TextBody"/>
        <w:spacing w:before="0" w:after="0"/>
        <w:ind w:left="0" w:right="0" w:hanging="0"/>
        <w:jc w:val="both"/>
        <w:rPr/>
      </w:pPr>
      <w:r>
        <w:rPr/>
        <w:t>Net cash used in investing activities during the nine months ended September 30, 2013 was $Nil compared to $Nil during the prior period.</w:t>
      </w:r>
    </w:p>
    <w:p>
      <w:pPr>
        <w:pStyle w:val="TextBody"/>
        <w:spacing w:before="90" w:after="0"/>
        <w:jc w:val="both"/>
        <w:rPr>
          <w:b/>
          <w:i/>
        </w:rPr>
      </w:pPr>
      <w:r>
        <w:rPr>
          <w:b/>
          <w:i/>
        </w:rPr>
        <w:t>Financing Activities</w:t>
      </w:r>
    </w:p>
    <w:p>
      <w:pPr>
        <w:pStyle w:val="TextBody"/>
        <w:spacing w:before="0" w:after="0"/>
        <w:ind w:left="0" w:right="0" w:hanging="0"/>
        <w:jc w:val="both"/>
        <w:rPr/>
      </w:pPr>
      <w:r>
        <w:rPr/>
        <w:t>Net cash provided by financing activities during the nine months ended September 30, 2013 was $726,000 compared to $870,000 during the prior period. Current period financing consisted of proceeds from private placements and advances from related parties while prior period financing relates to proceeds from convertible notes and advances from related parties.</w:t>
      </w:r>
    </w:p>
    <w:p>
      <w:pPr>
        <w:pStyle w:val="TextBody"/>
        <w:spacing w:before="90" w:after="0"/>
        <w:jc w:val="both"/>
        <w:rPr/>
      </w:pPr>
      <w:r>
        <w:rPr/>
        <w:t>At September 30, 2013, we had 6,528,000 stock options and 20,257,599 share purchase warrants outstanding. The outstanding stock options had a weighted average exercise price of $0.18 per share, with the warrants having a weighted average exercise price of $0.26 per share. Accordingly, as of September 30, 2013, the outstanding options and warrants represented a total of 26,785,599 shares issuable for proceeds of approximately $6,487,000 if these options and warrants were exercised in full. The exercise of these options and warrants is completely at the discretion of the holders. There is no assurance that any of these options or warrants will be exercised.</w:t>
      </w:r>
    </w:p>
    <w:p>
      <w:pPr>
        <w:pStyle w:val="TextBody"/>
        <w:spacing w:before="90" w:after="0"/>
        <w:jc w:val="both"/>
        <w:rPr/>
      </w:pPr>
      <w:r>
        <w:rPr/>
        <w:t>As of September 30, 2013, we anticipate that we will need significant financing to enable us to meet our anticipated expenditures for the next 24 months, which are expected to be in the range of $5-7 million, assuming the completion of a single the Phase 1 clinical trial and start of a Phase II clinical trial in HER2/neu breast cancer.</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21</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rPr/>
      </w:pPr>
      <w:r>
        <w:rPr/>
        <w:br/>
      </w:r>
      <w:r>
        <w:rPr>
          <w:b/>
          <w:i/>
        </w:rPr>
        <w:t>Going Concern</w:t>
      </w:r>
    </w:p>
    <w:p>
      <w:pPr>
        <w:pStyle w:val="TextBody"/>
        <w:spacing w:before="0" w:after="0"/>
        <w:ind w:left="0" w:right="0" w:hanging="0"/>
        <w:jc w:val="both"/>
        <w:rPr/>
      </w:pPr>
      <w:r>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Management believes that the Company will be able to continue limited operations with accommodations from debt holders and additional temporary short term funding over the next twelve months. Due to capital market conditions, funding continues to be challenging. It is unlikely the Company will be able to continue as a going concern past a twelve month horizon if significant equity funding is not raised within this period.</w:t>
      </w:r>
    </w:p>
    <w:p>
      <w:pPr>
        <w:pStyle w:val="TextBody"/>
        <w:spacing w:before="0" w:after="0"/>
        <w:ind w:left="0" w:right="0" w:hanging="0"/>
        <w:jc w:val="both"/>
        <w:rPr/>
      </w:pPr>
      <w:r>
        <w:rPr/>
      </w:r>
    </w:p>
    <w:p>
      <w:pPr>
        <w:pStyle w:val="TextBody"/>
        <w:spacing w:before="90" w:after="0"/>
        <w:jc w:val="both"/>
        <w:rPr>
          <w:b/>
          <w:i/>
        </w:rPr>
      </w:pPr>
      <w:r>
        <w:rPr>
          <w:b/>
          <w:i/>
        </w:rPr>
        <w:t>Off-Balance Sheet Arrangements</w:t>
      </w:r>
    </w:p>
    <w:p>
      <w:pPr>
        <w:pStyle w:val="TextBody"/>
        <w:spacing w:before="90" w:after="0"/>
        <w:jc w:val="both"/>
        <w:rPr/>
      </w:pPr>
      <w:r>
        <w:rPr/>
        <w:t>Other than as disclosed in the financial statements, we have no significant off-balance sheet arrangements that have or are reasonably likely to have a material current or future effect on our financial condition, changes in financial condition, revenues or expenses, results of operations, liquidity, capital expenditures or capital resources that is material to stockholders.</w:t>
      </w:r>
    </w:p>
    <w:p>
      <w:pPr>
        <w:pStyle w:val="TextBody"/>
        <w:spacing w:before="90" w:after="0"/>
        <w:jc w:val="both"/>
        <w:rPr>
          <w:b/>
          <w:i/>
        </w:rPr>
      </w:pPr>
      <w:r>
        <w:rPr>
          <w:b/>
          <w:i/>
        </w:rPr>
        <w:t>Critical Accounting Policies</w:t>
      </w:r>
    </w:p>
    <w:p>
      <w:pPr>
        <w:pStyle w:val="TextBody"/>
        <w:spacing w:before="90" w:after="0"/>
        <w:jc w:val="both"/>
        <w:rPr/>
      </w:pPr>
      <w:r>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90" w:after="0"/>
        <w:jc w:val="both"/>
        <w:rPr/>
      </w:pPr>
      <w:r>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90" w:after="0"/>
        <w:jc w:val="both"/>
        <w:rPr/>
      </w:pPr>
      <w:r>
        <w:rPr/>
        <w:t>Refer to Note 2 of our consolidated financial statements for our year ended December 31, 2012 for a summary of significant accounting policies.</w:t>
      </w:r>
    </w:p>
    <w:p>
      <w:pPr>
        <w:pStyle w:val="TextBody"/>
        <w:spacing w:before="0" w:after="0"/>
        <w:ind w:left="0" w:right="0" w:hanging="30"/>
        <w:jc w:val="both"/>
        <w:rPr>
          <w:b/>
          <w:u w:val="single"/>
        </w:rPr>
      </w:pPr>
      <w:r>
        <w:rPr>
          <w:b/>
          <w:u w:val="single"/>
        </w:rPr>
        <w:t>Quantitative and Qualitative Disclosures About Market Risk</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685800" cy="175260"/>
                <wp:effectExtent l="0" t="0" r="0" b="0"/>
                <wp:wrapSquare wrapText="largest"/>
                <wp:docPr id="44" name="Frame44"/>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3.</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3.</w:t>
                      </w:r>
                    </w:p>
                  </w:txbxContent>
                </v:textbox>
                <w10:wrap type="square" side="right"/>
              </v:rect>
            </w:pict>
          </mc:Fallback>
        </mc:AlternateContent>
      </w:r>
    </w:p>
    <w:p>
      <w:pPr>
        <w:pStyle w:val="TextBody"/>
        <w:spacing w:before="90" w:after="0"/>
        <w:jc w:val="both"/>
        <w:rPr/>
      </w:pPr>
      <w:r>
        <w:rPr/>
        <w:t>We are a smaller reporting company as defined by Rule 12b-2 of the Exchange Act and are not required to provide the information required under this item.</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22</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Controls and Procedures</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685800" cy="175260"/>
                <wp:effectExtent l="0" t="0" r="0" b="0"/>
                <wp:wrapSquare wrapText="largest"/>
                <wp:docPr id="45" name="Frame45"/>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4.</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4.</w:t>
                      </w:r>
                    </w:p>
                  </w:txbxContent>
                </v:textbox>
                <w10:wrap type="square" side="right"/>
              </v:rect>
            </w:pict>
          </mc:Fallback>
        </mc:AlternateContent>
      </w:r>
    </w:p>
    <w:p>
      <w:pPr>
        <w:pStyle w:val="TextBody"/>
        <w:spacing w:before="90" w:after="0"/>
        <w:jc w:val="both"/>
        <w:rPr>
          <w:b/>
          <w:i/>
        </w:rPr>
      </w:pPr>
      <w:r>
        <w:rPr>
          <w:b/>
          <w:i/>
        </w:rPr>
        <w:t>Evaluation of Disclosure Controls and Procedures</w:t>
      </w:r>
    </w:p>
    <w:p>
      <w:pPr>
        <w:pStyle w:val="TextBody"/>
        <w:spacing w:before="90" w:after="0"/>
        <w:jc w:val="both"/>
        <w:rPr/>
      </w:pPr>
      <w:r>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pStyle w:val="TextBody"/>
        <w:spacing w:before="90" w:after="0"/>
        <w:jc w:val="both"/>
        <w:rPr/>
      </w:pPr>
      <w:r>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23</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90" w:after="0"/>
        <w:jc w:val="both"/>
        <w:rPr/>
      </w:pPr>
      <w:r>
        <w:rPr/>
        <w:t> </w:t>
      </w:r>
    </w:p>
    <w:p>
      <w:pPr>
        <w:pStyle w:val="TextBody"/>
        <w:spacing w:before="90" w:after="0"/>
        <w:jc w:val="both"/>
        <w:rPr>
          <w:b/>
          <w:i/>
        </w:rPr>
      </w:pPr>
      <w:r>
        <w:rPr>
          <w:b/>
          <w:i/>
        </w:rPr>
        <w:t>Managements Report on Internal Control Over Financial Reporting</w:t>
      </w:r>
    </w:p>
    <w:p>
      <w:pPr>
        <w:pStyle w:val="TextBody"/>
        <w:spacing w:before="90" w:after="0"/>
        <w:jc w:val="both"/>
        <w:rPr/>
      </w:pPr>
      <w:r>
        <w:rPr/>
        <w:t>The management of the Company is responsible for establishing and maintaining adequate internal control over financial reporting, as required by Sarbanes-Oxley (SOX) Section 404 A. The Company's internal control over financial reporting is a process designed under the supervision of the Company's Principal Executive Officer and Principal Financial Officer to provide reasonable assurance regarding the reliability of financial reporting and the preparation of the Company's financial statements for external purposes in accordance with United States generally accepted accounting principles (US GAAP).</w:t>
      </w:r>
    </w:p>
    <w:p>
      <w:pPr>
        <w:pStyle w:val="TextBody"/>
        <w:spacing w:before="90" w:after="0"/>
        <w:jc w:val="both"/>
        <w:rPr/>
      </w:pPr>
      <w:r>
        <w:rPr/>
        <w:t>As of September 30, 2013, management assessed the effectiveness of the Company's internal control over financial reporting based on the criteria for effective internal control over financial reporting established in Internal Control -Integrated Framework issued by the Committee of Sponsoring Organizations of the Treadway Commission ("COSO") and SEC guidance on conducting such assessments. Based on that evaluation, they concluded that, as at September 30, 2013such internal controls and procedures were not effective to detect the inappropriate application of US GAAP rules as more fully described below.</w:t>
      </w:r>
    </w:p>
    <w:p>
      <w:pPr>
        <w:pStyle w:val="TextBody"/>
        <w:spacing w:before="0" w:after="0"/>
        <w:ind w:left="0" w:right="0" w:hanging="0"/>
        <w:jc w:val="both"/>
        <w:rPr/>
      </w:pPr>
      <w:r>
        <w:rPr/>
      </w:r>
    </w:p>
    <w:p>
      <w:pPr>
        <w:pStyle w:val="TextBody"/>
        <w:spacing w:before="0" w:after="0"/>
        <w:ind w:left="0" w:right="0" w:hanging="0"/>
        <w:jc w:val="both"/>
        <w:rPr/>
      </w:pPr>
      <w:r>
        <w:rPr/>
        <w:t>The matters involving internal controls and procedures that the Companys management considered to be material weaknesses under the standards of the Public Company Accounting Oversight Board were: (1) inadequate entity level controls due to an ineffective audit committee resulting from the presence of only one of independent members on the current audit committee and the presence of only one outside director on our board of directors; (2) inadequate segregation of duties consistent with control objectives; (3) insufficient written policies and procedures for accounting and financial reporting with respect to the requirements and application of US GAAP and SEC disclosure requirements; (4) ineffective controls over period end financial disclosure and reporting processes.</w:t>
      </w:r>
    </w:p>
    <w:p>
      <w:pPr>
        <w:pStyle w:val="TextBody"/>
        <w:spacing w:before="90" w:after="0"/>
        <w:jc w:val="both"/>
        <w:rPr/>
      </w:pPr>
      <w:r>
        <w:rPr/>
        <w:t>Management believes that none of the material weaknesses set forth above had a material adverse effect on the Company's financial results for the three months ended September 30, 2013 but management is concerned that the material weakness in entity level controls set forth in item (1) results in ineffective oversight in the establishment and monitoring of required internal controls and procedures, it could result in a material misstatement in our financial statements in future periods.</w:t>
      </w:r>
    </w:p>
    <w:p>
      <w:pPr>
        <w:pStyle w:val="TextBody"/>
        <w:spacing w:before="90" w:after="0"/>
        <w:jc w:val="both"/>
        <w:rPr/>
      </w:pPr>
      <w:r>
        <w:rPr/>
        <w:t>We are committed to improving our financial organization. As part of this commitment, we will continue to enhance our internal control over financial reporting by: i) expanding our personnel, ii) improving segregated duties consistent with control objectives, iii) appointing more outside directors to our board of directors who shall be appointed to our audit committee resulting in a fully functioning audit committee who will undertake the oversight in the establishment and monitoring of required internal controls and procedures such as reviewing and approving estimates and assumptions made by management; and iv) preparing and implementing sufficient written policies and checklists which will set forth procedures for accounting and financial reporting with respect to the requirements and application of US GAAP and SEC disclosure requirements.</w:t>
      </w:r>
    </w:p>
    <w:p>
      <w:pPr>
        <w:pStyle w:val="TextBody"/>
        <w:spacing w:before="90" w:after="0"/>
        <w:jc w:val="both"/>
        <w:rPr/>
      </w:pPr>
      <w:r>
        <w:rPr/>
        <w:t>Management believes that the appointment of one or more outside directors, who shall be appointed to a fully functioning audit committee, will remedy the ineffective audit committee. To this end, Ms. Sherry Grisewood was appointed to our audit Committee in 2013.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pStyle w:val="TextBody"/>
        <w:spacing w:before="90" w:after="0"/>
        <w:jc w:val="both"/>
        <w:rPr/>
      </w:pPr>
      <w:r>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pStyle w:val="TextBody"/>
        <w:spacing w:before="90" w:after="0"/>
        <w:jc w:val="both"/>
        <w:rPr/>
      </w:pPr>
      <w:r>
        <w:rPr/>
        <w:t>This quarterly report does not include an attestation report of the Companys registered public accounting firm regarding internal controls over financial reporting. Managements report was not subject to attestation by the Companys registered public accounting firm pursuant to the rules of the SEC that permit the Company to provide only managements report in this report.</w:t>
      </w:r>
    </w:p>
    <w:p>
      <w:pPr>
        <w:pStyle w:val="TextBody"/>
        <w:spacing w:before="90" w:after="0"/>
        <w:jc w:val="both"/>
        <w:rPr>
          <w:b/>
          <w:i/>
        </w:rPr>
      </w:pPr>
      <w:r>
        <w:rPr>
          <w:b/>
          <w:i/>
        </w:rPr>
        <w:t>Changes in Internal Control Over Financial Reporting</w:t>
      </w:r>
    </w:p>
    <w:p>
      <w:pPr>
        <w:pStyle w:val="TextBody"/>
        <w:spacing w:before="90" w:after="0"/>
        <w:jc w:val="both"/>
        <w:rPr/>
      </w:pPr>
      <w:r>
        <w:rPr/>
        <w:t>There have been no changes in our internal control over financial reporting during the three months ended September 30, 2013 that have materially affected, or are reasonably likely to materially affect, our internal control over financial reporting.</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24</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r>
    </w:p>
    <w:p>
      <w:pPr>
        <w:pStyle w:val="TextBody"/>
        <w:spacing w:before="0" w:after="0"/>
        <w:ind w:left="0" w:right="0" w:hanging="0"/>
        <w:jc w:val="center"/>
        <w:rPr>
          <w:b/>
        </w:rPr>
      </w:pPr>
      <w:r>
        <w:rPr>
          <w:b/>
        </w:rPr>
        <w:t>PART II  OTHER INFORMATION</w:t>
      </w:r>
    </w:p>
    <w:p>
      <w:pPr>
        <w:pStyle w:val="TextBody"/>
        <w:spacing w:before="0" w:after="0"/>
        <w:ind w:left="0" w:right="0" w:hanging="30"/>
        <w:jc w:val="both"/>
        <w:rPr>
          <w:b/>
          <w:u w:val="single"/>
        </w:rPr>
      </w:pPr>
      <w:r>
        <w:rPr>
          <w:b/>
          <w:u w:val="single"/>
        </w:rPr>
        <w:t>Legal Proceedings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685800" cy="175260"/>
                <wp:effectExtent l="0" t="0" r="0" b="0"/>
                <wp:wrapSquare wrapText="largest"/>
                <wp:docPr id="46" name="Frame46"/>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1.</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1.</w:t>
                      </w:r>
                    </w:p>
                  </w:txbxContent>
                </v:textbox>
                <w10:wrap type="square" side="right"/>
              </v:rect>
            </w:pict>
          </mc:Fallback>
        </mc:AlternateContent>
      </w:r>
    </w:p>
    <w:p>
      <w:pPr>
        <w:pStyle w:val="TextBody"/>
        <w:spacing w:before="90" w:after="0"/>
        <w:jc w:val="both"/>
        <w:rPr/>
      </w:pPr>
      <w:r>
        <w:rPr/>
        <w:t xml:space="preserve">In May 2012, we issued 11,200,000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issuances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  The company is pursuing litigation against Gardner through the American Arbitration Association. </w:t>
      </w:r>
    </w:p>
    <w:p>
      <w:pPr>
        <w:pStyle w:val="TextBody"/>
        <w:spacing w:before="90" w:after="0"/>
        <w:jc w:val="both"/>
        <w:rPr/>
      </w:pPr>
      <w:r>
        <w:rPr/>
        <w:t>The law firm that we used to pursue this action against the consultants has been awarded a judgment against us for $210,255 of legal fees.</w:t>
      </w:r>
    </w:p>
    <w:p>
      <w:pPr>
        <w:pStyle w:val="TextBody"/>
        <w:spacing w:before="0" w:after="0"/>
        <w:ind w:left="0" w:right="0" w:hanging="30"/>
        <w:jc w:val="both"/>
        <w:rPr>
          <w:b/>
          <w:u w:val="single"/>
        </w:rPr>
      </w:pPr>
      <w:r>
        <w:rPr>
          <w:b/>
          <w:u w:val="single"/>
        </w:rPr>
        <w:t>Risk Factors</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685800" cy="175260"/>
                <wp:effectExtent l="0" t="0" r="0" b="0"/>
                <wp:wrapSquare wrapText="largest"/>
                <wp:docPr id="47" name="Frame47"/>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1A.</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1A.</w:t>
                      </w:r>
                    </w:p>
                  </w:txbxContent>
                </v:textbox>
                <w10:wrap type="square" side="right"/>
              </v:rect>
            </w:pict>
          </mc:Fallback>
        </mc:AlternateContent>
      </w:r>
    </w:p>
    <w:p>
      <w:pPr>
        <w:pStyle w:val="TextBody"/>
        <w:spacing w:before="90" w:after="0"/>
        <w:jc w:val="both"/>
        <w:rPr/>
      </w:pPr>
      <w:r>
        <w:rPr/>
        <w:t>Not required.</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25</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Unregistered Sales of Equity Securities and Use of Proceeds</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685800" cy="175260"/>
                <wp:effectExtent l="0" t="0" r="0" b="0"/>
                <wp:wrapSquare wrapText="largest"/>
                <wp:docPr id="48" name="Frame48"/>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2.</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2.</w:t>
                      </w:r>
                    </w:p>
                  </w:txbxContent>
                </v:textbox>
                <w10:wrap type="square" side="right"/>
              </v:rect>
            </w:pict>
          </mc:Fallback>
        </mc:AlternateContent>
      </w:r>
    </w:p>
    <w:p>
      <w:pPr>
        <w:pStyle w:val="TextBody"/>
        <w:spacing w:before="90" w:after="0"/>
        <w:jc w:val="both"/>
        <w:rPr/>
      </w:pPr>
      <w:r>
        <w:rPr/>
        <w:t>In July, 2013, we issued 318,823 shares of common stock in connection with the remaining balance of the conversion of October 9, 2012 Convertible Notes (see Note 9 in the financial statements).</w:t>
      </w:r>
    </w:p>
    <w:p>
      <w:pPr>
        <w:pStyle w:val="TextBody"/>
        <w:spacing w:before="90" w:after="0"/>
        <w:jc w:val="both"/>
        <w:rPr/>
      </w:pPr>
      <w:r>
        <w:rPr/>
        <w:t>During the three months ended September 30, 2013, we issued 10,818,783 shares of our common stock in connection with the conversion of a promissory note for $102,528 of principal and accrued interest at an average price of $0.0137 per share.</w:t>
      </w:r>
    </w:p>
    <w:p>
      <w:pPr>
        <w:pStyle w:val="TextBody"/>
        <w:spacing w:before="90" w:after="0"/>
        <w:jc w:val="both"/>
        <w:rPr/>
      </w:pPr>
      <w:r>
        <w:rPr/>
        <w:t>During the three months ended September 30, 2013, we issued 3,600,000 shares of our common stock in connection with the conversion of a promissory note for $30,212 of principal and accrued interest at an average price of $0.0099 per share.</w:t>
      </w:r>
    </w:p>
    <w:p>
      <w:pPr>
        <w:pStyle w:val="TextBody"/>
        <w:spacing w:before="90" w:after="0"/>
        <w:jc w:val="both"/>
        <w:rPr/>
      </w:pPr>
      <w:r>
        <w:rPr/>
        <w:t>During the three months ended September 30, 2013, we issued 5,000,000 shares of our common stock in connection with the conversion of a promissory note for $28,200 of principal and accrued interest at an average price of $0.0056 per share.</w:t>
      </w:r>
    </w:p>
    <w:p>
      <w:pPr>
        <w:pStyle w:val="TextBody"/>
        <w:spacing w:before="90" w:after="0"/>
        <w:jc w:val="both"/>
        <w:rPr/>
      </w:pPr>
      <w:r>
        <w:rPr/>
        <w:t>During the three months ended September 30, 2013, we issued 1,000,000 shares of our common stock in connection with the conversion of a promissory note for $5,000 of principal and accrued interest at an average price of $0.005 per share.</w:t>
      </w:r>
    </w:p>
    <w:p>
      <w:pPr>
        <w:pStyle w:val="TextBody"/>
        <w:spacing w:before="90" w:after="0"/>
        <w:jc w:val="both"/>
        <w:rPr/>
      </w:pPr>
      <w:r>
        <w:rPr/>
        <w:t>During the three months ended September 30, 2013, we issued 8,000,000 shares of our common stock as part of a settlement agreement of February 8, 2013 at an average price of $0.0138 per share.</w:t>
      </w:r>
    </w:p>
    <w:p>
      <w:pPr>
        <w:pStyle w:val="TextBody"/>
        <w:spacing w:before="90" w:after="0"/>
        <w:jc w:val="both"/>
        <w:rPr/>
      </w:pPr>
      <w:r>
        <w:rPr/>
        <w:t>The shares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26</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Defaults Upon Senior Securities</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638175" cy="175260"/>
                <wp:effectExtent l="0" t="0" r="0" b="0"/>
                <wp:wrapSquare wrapText="largest"/>
                <wp:docPr id="49" name="Frame49"/>
                <a:graphic xmlns:a="http://schemas.openxmlformats.org/drawingml/2006/main">
                  <a:graphicData uri="http://schemas.microsoft.com/office/word/2010/wordprocessingShape">
                    <wps:wsp>
                      <wps:cNvSpPr txBox="1"/>
                      <wps:spPr>
                        <a:xfrm>
                          <a:off x="0" y="0"/>
                          <a:ext cx="638175" cy="175260"/>
                        </a:xfrm>
                        <a:prstGeom prst="rect"/>
                      </wps:spPr>
                      <wps:txbx>
                        <w:txbxContent>
                          <w:p>
                            <w:pPr>
                              <w:pStyle w:val="TextBody"/>
                              <w:spacing w:before="0" w:after="283"/>
                              <w:rPr>
                                <w:b/>
                                <w:u w:val="single"/>
                              </w:rPr>
                            </w:pPr>
                            <w:r>
                              <w:rPr>
                                <w:b/>
                                <w:u w:val="single"/>
                              </w:rPr>
                              <w:t>Item 3.</w:t>
                            </w:r>
                          </w:p>
                        </w:txbxContent>
                      </wps:txbx>
                      <wps:bodyPr anchor="t" lIns="0" tIns="0" rIns="0" bIns="0">
                        <a:noAutofit/>
                      </wps:bodyPr>
                    </wps:wsp>
                  </a:graphicData>
                </a:graphic>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The Company is in default of the secured notes issued in February 2011. No second year amortization payments have been made to the holders as of the anniversary of the notes in February 2013 and April 2013. Interest charges will be accrued at 20% per year. The note holders have not made any demands other than the interest rate penalty and are in discussions with the Company to resolve the matter. Many of the Companys other notes have cross default provisions, meaning that a default under the secured notes would trigger a default under those notes as well.</w:t>
      </w:r>
    </w:p>
    <w:p>
      <w:pPr>
        <w:pStyle w:val="TextBody"/>
        <w:spacing w:before="0" w:after="0"/>
        <w:ind w:left="0" w:right="0" w:hanging="0"/>
        <w:jc w:val="both"/>
        <w:rPr/>
      </w:pPr>
      <w:r>
        <w:rPr/>
      </w:r>
    </w:p>
    <w:p>
      <w:pPr>
        <w:pStyle w:val="TextBody"/>
        <w:spacing w:before="0" w:after="0"/>
        <w:ind w:left="0" w:right="0" w:hanging="0"/>
        <w:jc w:val="both"/>
        <w:rPr/>
      </w:pPr>
      <w:r>
        <w:rPr/>
        <w:t>The Company was in default of the October 2012 note to a note holder due to the late filing of its annual report. Concurrent with the filing, this default will be cured. The lender has not made any claims under their default provisions and management is working closely with them to mitigate or negate any such claims.</w:t>
      </w:r>
    </w:p>
    <w:p>
      <w:pPr>
        <w:pStyle w:val="TextBody"/>
        <w:spacing w:before="0" w:after="0"/>
        <w:ind w:left="0" w:right="0" w:hanging="30"/>
        <w:jc w:val="both"/>
        <w:rPr>
          <w:b/>
          <w:u w:val="single"/>
        </w:rPr>
      </w:pPr>
      <w:r>
        <w:rPr>
          <w:b/>
          <w:u w:val="single"/>
        </w:rPr>
        <w:t>Mine Safety Disclosure</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685800" cy="175260"/>
                <wp:effectExtent l="0" t="0" r="0" b="0"/>
                <wp:wrapSquare wrapText="largest"/>
                <wp:docPr id="50" name="Frame50"/>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4.</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4.</w:t>
                      </w:r>
                    </w:p>
                  </w:txbxContent>
                </v:textbox>
                <w10:wrap type="square" side="right"/>
              </v:rect>
            </w:pict>
          </mc:Fallback>
        </mc:AlternateContent>
      </w:r>
    </w:p>
    <w:p>
      <w:pPr>
        <w:pStyle w:val="TextBody"/>
        <w:spacing w:before="90" w:after="0"/>
        <w:jc w:val="both"/>
        <w:rPr/>
      </w:pPr>
      <w:r>
        <w:rPr/>
        <w:t>Not Applicable.</w:t>
      </w:r>
    </w:p>
    <w:p>
      <w:pPr>
        <w:pStyle w:val="TextBody"/>
        <w:spacing w:before="90" w:after="0"/>
        <w:jc w:val="both"/>
        <w:rPr/>
      </w:pPr>
      <w:r>
        <w:rPr/>
      </w:r>
    </w:p>
    <w:p>
      <w:pPr>
        <w:pStyle w:val="TextBody"/>
        <w:spacing w:before="0" w:after="0"/>
        <w:ind w:left="0" w:right="0" w:hanging="30"/>
        <w:jc w:val="both"/>
        <w:rPr>
          <w:b/>
          <w:u w:val="single"/>
        </w:rPr>
      </w:pPr>
      <w:r>
        <w:rPr>
          <w:b/>
          <w:u w:val="single"/>
        </w:rPr>
        <w:t>Other Information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685800" cy="175260"/>
                <wp:effectExtent l="0" t="0" r="0" b="0"/>
                <wp:wrapSquare wrapText="largest"/>
                <wp:docPr id="51" name="Frame51"/>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5.</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5.</w:t>
                      </w:r>
                    </w:p>
                  </w:txbxContent>
                </v:textbox>
                <w10:wrap type="square" side="right"/>
              </v:rect>
            </w:pict>
          </mc:Fallback>
        </mc:AlternateContent>
      </w:r>
    </w:p>
    <w:p>
      <w:pPr>
        <w:pStyle w:val="TextBody"/>
        <w:spacing w:before="90" w:after="0"/>
        <w:jc w:val="both"/>
        <w:rPr/>
      </w:pPr>
      <w:r>
        <w:rPr/>
        <w:t>None.</w:t>
      </w:r>
    </w:p>
    <w:p>
      <w:pPr>
        <w:pStyle w:val="TextBody"/>
        <w:spacing w:before="90" w:after="0"/>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27</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30"/>
        <w:jc w:val="both"/>
        <w:rPr>
          <w:b/>
          <w:u w:val="single"/>
        </w:rPr>
      </w:pPr>
      <w:r>
        <w:rPr>
          <w:b/>
          <w:u w:val="single"/>
        </w:rPr>
        <w:t>Exhibits</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685800" cy="175260"/>
                <wp:effectExtent l="0" t="0" r="0" b="0"/>
                <wp:wrapSquare wrapText="largest"/>
                <wp:docPr id="52" name="Frame52"/>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extBody"/>
                              <w:spacing w:before="0" w:after="283"/>
                              <w:rPr>
                                <w:b/>
                                <w:u w:val="single"/>
                              </w:rPr>
                            </w:pPr>
                            <w:r>
                              <w:rPr>
                                <w:b/>
                                <w:u w:val="single"/>
                              </w:rPr>
                              <w:t>Item 6.</w:t>
                            </w:r>
                          </w:p>
                        </w:txbxContent>
                      </wps:txbx>
                      <wps:bodyPr anchor="t" lIns="0" tIns="0" rIns="0" bIns="0">
                        <a:noAutofit/>
                      </wps:bodyPr>
                    </wps:wsp>
                  </a:graphicData>
                </a:graphic>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u w:val="single"/>
                        </w:rPr>
                      </w:pPr>
                      <w:r>
                        <w:rPr>
                          <w:b/>
                          <w:u w:val="single"/>
                        </w:rPr>
                        <w:t>Item 6.</w:t>
                      </w:r>
                    </w:p>
                  </w:txbxContent>
                </v:textbox>
                <w10:wrap type="square" side="right"/>
              </v:rect>
            </w:pict>
          </mc:Fallback>
        </mc:AlternateContent>
      </w:r>
    </w:p>
    <w:p>
      <w:pPr>
        <w:pStyle w:val="TextBody"/>
        <w:spacing w:before="90" w:after="90"/>
        <w:jc w:val="both"/>
        <w:rPr/>
      </w:pPr>
      <w:r>
        <w:rPr/>
        <w:t>The following exhibits are included with this Quarterly Report on Form 10-Q:</w:t>
      </w:r>
    </w:p>
    <w:tbl>
      <w:tblPr>
        <w:tblW w:w="5000" w:type="pct"/>
        <w:jc w:val="left"/>
        <w:tblInd w:w="0" w:type="dxa"/>
        <w:tblCellMar>
          <w:top w:w="0" w:type="dxa"/>
          <w:left w:w="0" w:type="dxa"/>
          <w:bottom w:w="0" w:type="dxa"/>
          <w:right w:w="0" w:type="dxa"/>
        </w:tblCellMar>
      </w:tblPr>
      <w:tblGrid>
        <w:gridCol w:w="74"/>
        <w:gridCol w:w="1247"/>
        <w:gridCol w:w="8884"/>
      </w:tblGrid>
      <w:tr>
        <w:trPr/>
        <w:tc>
          <w:tcPr>
            <w:tcW w:w="7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8884" w:type="dxa"/>
            <w:tcBorders/>
            <w:shd w:fill="auto" w:val="clear"/>
            <w:vAlign w:val="center"/>
          </w:tcPr>
          <w:p>
            <w:pPr>
              <w:pStyle w:val="TableContents"/>
              <w:spacing w:before="0" w:after="283"/>
              <w:rPr>
                <w:sz w:val="4"/>
                <w:szCs w:val="4"/>
              </w:rPr>
            </w:pPr>
            <w:r>
              <w:rPr>
                <w:sz w:val="4"/>
                <w:szCs w:val="4"/>
              </w:rPr>
            </w:r>
          </w:p>
        </w:tc>
      </w:tr>
      <w:tr>
        <w:trPr/>
        <w:tc>
          <w:tcPr>
            <w:tcW w:w="74" w:type="dxa"/>
            <w:tcBorders>
              <w:top w:val="single" w:sz="12" w:space="0" w:color="000000"/>
              <w:bottom w:val="single" w:sz="2" w:space="0" w:color="000000"/>
            </w:tcBorders>
            <w:shd w:fill="auto" w:val="clear"/>
            <w:tcMar>
              <w:top w:w="28" w:type="dxa"/>
              <w:bottom w:w="28" w:type="dxa"/>
            </w:tcMar>
          </w:tcPr>
          <w:p>
            <w:pPr>
              <w:pStyle w:val="TableContents"/>
              <w:pBdr/>
              <w:spacing w:before="0" w:after="0"/>
              <w:ind w:left="0" w:right="0" w:hanging="0"/>
              <w:rPr/>
            </w:pPr>
            <w:r>
              <w:rPr/>
              <w:t> </w:t>
            </w:r>
          </w:p>
        </w:tc>
        <w:tc>
          <w:tcPr>
            <w:tcW w:w="1247" w:type="dxa"/>
            <w:tcBorders>
              <w:top w:val="single" w:sz="12" w:space="0" w:color="000000"/>
              <w:bottom w:val="single" w:sz="2" w:space="0" w:color="000000"/>
            </w:tcBorders>
            <w:shd w:fill="auto" w:val="clear"/>
            <w:tcMar>
              <w:top w:w="28" w:type="dxa"/>
              <w:bottom w:w="28" w:type="dxa"/>
            </w:tcMar>
          </w:tcPr>
          <w:p>
            <w:pPr>
              <w:pStyle w:val="TableContents"/>
              <w:spacing w:before="75" w:after="75"/>
              <w:jc w:val="center"/>
              <w:rPr>
                <w:b/>
              </w:rPr>
            </w:pPr>
            <w:r>
              <w:rPr>
                <w:b/>
              </w:rPr>
              <w:t>Exhibit Number</w:t>
            </w:r>
          </w:p>
        </w:tc>
        <w:tc>
          <w:tcPr>
            <w:tcW w:w="8884" w:type="dxa"/>
            <w:tcBorders>
              <w:top w:val="single" w:sz="12" w:space="0" w:color="000000"/>
              <w:bottom w:val="single" w:sz="2" w:space="0" w:color="000000"/>
            </w:tcBorders>
            <w:shd w:fill="auto" w:val="clear"/>
            <w:tcMar>
              <w:top w:w="28" w:type="dxa"/>
              <w:bottom w:w="28" w:type="dxa"/>
            </w:tcMar>
          </w:tcPr>
          <w:p>
            <w:pPr>
              <w:pStyle w:val="TableContents"/>
              <w:spacing w:before="75" w:after="75"/>
              <w:jc w:val="both"/>
              <w:rPr>
                <w:b/>
              </w:rPr>
            </w:pPr>
            <w:r>
              <w:rPr>
                <w:b/>
              </w:rPr>
              <w:t>Description of Exhibit</w:t>
            </w:r>
          </w:p>
        </w:tc>
      </w:tr>
      <w:tr>
        <w:trPr/>
        <w:tc>
          <w:tcPr>
            <w:tcW w:w="74" w:type="dxa"/>
            <w:tcBorders/>
            <w:shd w:fill="auto" w:val="clear"/>
          </w:tcPr>
          <w:p>
            <w:pPr>
              <w:pStyle w:val="TableContents"/>
              <w:pBdr/>
              <w:spacing w:before="0" w:after="0"/>
              <w:ind w:left="0" w:right="0" w:hanging="0"/>
              <w:rPr/>
            </w:pPr>
            <w:r>
              <w:rPr/>
              <w:t> </w:t>
            </w:r>
          </w:p>
        </w:tc>
        <w:tc>
          <w:tcPr>
            <w:tcW w:w="1247" w:type="dxa"/>
            <w:tcBorders/>
            <w:shd w:fill="auto" w:val="clear"/>
          </w:tcPr>
          <w:p>
            <w:pPr>
              <w:pStyle w:val="TableContents"/>
              <w:shd w:fill="E8EEFF" w:val="clear"/>
              <w:spacing w:before="75" w:after="75"/>
              <w:jc w:val="center"/>
              <w:rPr/>
            </w:pPr>
            <w:r>
              <w:rPr/>
              <w:t>31.1</w:t>
            </w:r>
          </w:p>
        </w:tc>
        <w:tc>
          <w:tcPr>
            <w:tcW w:w="8884" w:type="dxa"/>
            <w:tcBorders/>
            <w:shd w:fill="auto" w:val="clear"/>
          </w:tcPr>
          <w:p>
            <w:pPr>
              <w:pStyle w:val="TableContents"/>
              <w:shd w:fill="E8EEFF" w:val="clear"/>
              <w:spacing w:before="75" w:after="75"/>
              <w:jc w:val="both"/>
              <w:rPr/>
            </w:pPr>
            <w:r>
              <w:rPr/>
              <w:t>Certification of Principal Executive Officer and Acting Principal Accounting Officer Pursuant to Rule 13a-14(a) or 15d-14(a) of the Securities Exchange Act of 1933, as amended.</w:t>
            </w:r>
          </w:p>
        </w:tc>
      </w:tr>
      <w:tr>
        <w:trPr/>
        <w:tc>
          <w:tcPr>
            <w:tcW w:w="74" w:type="dxa"/>
            <w:tcBorders/>
            <w:shd w:fill="auto" w:val="clear"/>
          </w:tcPr>
          <w:p>
            <w:pPr>
              <w:pStyle w:val="TableContents"/>
              <w:pBdr/>
              <w:spacing w:before="0" w:after="0"/>
              <w:ind w:left="0" w:right="0" w:hanging="0"/>
              <w:rPr/>
            </w:pPr>
            <w:r>
              <w:rPr/>
              <w:t> </w:t>
            </w:r>
          </w:p>
        </w:tc>
        <w:tc>
          <w:tcPr>
            <w:tcW w:w="1247" w:type="dxa"/>
            <w:tcBorders/>
            <w:shd w:fill="auto" w:val="clear"/>
          </w:tcPr>
          <w:p>
            <w:pPr>
              <w:pStyle w:val="TableContents"/>
              <w:shd w:fill="E8EEFF" w:val="clear"/>
              <w:spacing w:before="75" w:after="75"/>
              <w:jc w:val="center"/>
              <w:rPr/>
            </w:pPr>
            <w:r>
              <w:rPr/>
              <w:t>32.1</w:t>
            </w:r>
          </w:p>
        </w:tc>
        <w:tc>
          <w:tcPr>
            <w:tcW w:w="8884" w:type="dxa"/>
            <w:tcBorders/>
            <w:shd w:fill="auto" w:val="clear"/>
          </w:tcPr>
          <w:p>
            <w:pPr>
              <w:pStyle w:val="TableContents"/>
              <w:shd w:fill="E8EEFF" w:val="clear"/>
              <w:spacing w:before="75" w:after="75"/>
              <w:jc w:val="both"/>
              <w:rPr/>
            </w:pPr>
            <w:r>
              <w:rPr/>
              <w:t>Certification of Principal Executive Officer and Acting Principal Accounting Officer pursuant to 18 U.S.C. 1350 as adopted pursuant to Section 906 of the Sarbanes-Oxley Act of 2002.</w:t>
            </w:r>
          </w:p>
        </w:tc>
      </w:tr>
    </w:tbl>
    <w:p>
      <w:pPr>
        <w:pStyle w:val="TextBody"/>
        <w:spacing w:before="0" w:after="0"/>
        <w:ind w:left="0" w:right="0" w:hanging="0"/>
        <w:jc w:val="both"/>
        <w:rPr/>
      </w:pPr>
      <w:r>
        <w:rPr/>
        <w:t> </w:t>
      </w:r>
    </w:p>
    <w:p>
      <w:pPr>
        <w:pStyle w:val="TextBody"/>
        <w:spacing w:before="0" w:after="0"/>
        <w:ind w:left="0" w:right="0" w:hanging="0"/>
        <w:jc w:val="both"/>
        <w:rPr/>
      </w:pPr>
      <w:r>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pStyle w:val="TextBody"/>
        <w:spacing w:before="0" w:after="0"/>
        <w:ind w:left="0" w:right="0" w:hanging="0"/>
        <w:jc w:val="both"/>
        <w:rPr/>
      </w:pPr>
      <w:r>
        <w:rPr/>
      </w:r>
    </w:p>
    <w:p>
      <w:pPr>
        <w:pStyle w:val="TextBody"/>
        <w:spacing w:before="0" w:after="0"/>
        <w:ind w:left="0" w:right="0" w:hanging="0"/>
        <w:jc w:val="both"/>
        <w:rPr/>
      </w:pPr>
      <w:r>
        <w:rPr>
          <w:rStyle w:val="StrongEmphasis"/>
        </w:rPr>
        <w:t>Exhibit 101</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101.INS - XBRL Instance Document</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101.SCH - XBRL Taxonomy Extension Schema Document</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101.CAL - XBRL Taxonomy Extension Calculation Linkbase Document</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101.DEF - XBRL Taxonomy Extension Definition Linkbase Document</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101.LAB - XBRL Taxonomy Extension Label Linkbase Document</w:t>
      </w:r>
    </w:p>
    <w:p>
      <w:pPr>
        <w:pStyle w:val="TextBody"/>
        <w:spacing w:before="0" w:after="0"/>
        <w:ind w:left="0" w:right="0" w:hanging="0"/>
        <w:jc w:val="both"/>
        <w:rPr/>
      </w:pPr>
      <w:r>
        <w:rPr/>
        <w:t> </w:t>
      </w:r>
    </w:p>
    <w:p>
      <w:pPr>
        <w:pStyle w:val="TextBody"/>
        <w:spacing w:before="0" w:after="0"/>
        <w:ind w:left="0" w:right="0" w:hanging="0"/>
        <w:jc w:val="both"/>
        <w:rPr>
          <w:color w:val="000000"/>
          <w:lang w:val="en-US"/>
        </w:rPr>
      </w:pPr>
      <w:r>
        <w:rPr>
          <w:color w:val="000000"/>
          <w:lang w:val="en-US"/>
        </w:rPr>
        <w:t>101.PRE - XBRL Taxonomy Extension Presentation Linkbase Document</w:t>
      </w:r>
    </w:p>
    <w:p>
      <w:pPr>
        <w:pStyle w:val="TextBody"/>
        <w:spacing w:before="0" w:after="0"/>
        <w:ind w:left="0" w:right="0" w:hanging="0"/>
        <w:jc w:val="both"/>
        <w:rPr/>
      </w:pPr>
      <w:r>
        <w:rPr/>
        <w:br/>
        <w:t> </w:t>
      </w:r>
    </w:p>
    <w:p>
      <w:pPr>
        <w:pStyle w:val="TextBody"/>
        <w:spacing w:before="0" w:after="0"/>
        <w:ind w:left="0" w:right="0" w:hanging="0"/>
        <w:jc w:val="both"/>
        <w:rPr/>
      </w:pPr>
      <w:r>
        <w:rPr/>
      </w:r>
      <w:r>
        <w:br w:type="page"/>
      </w:r>
    </w:p>
    <w:p>
      <w:pPr>
        <w:pStyle w:val="TextBody"/>
        <w:spacing w:before="0" w:after="0"/>
        <w:ind w:left="0" w:right="0" w:hanging="0"/>
        <w:jc w:val="center"/>
        <w:rPr>
          <w:b/>
        </w:rPr>
      </w:pPr>
      <w:r>
        <w:rPr>
          <w:b/>
        </w:rPr>
        <w:t>SIGNATURES</w:t>
      </w:r>
      <w:r>
        <w:br w:type="page"/>
      </w:r>
    </w:p>
    <w:p>
      <w:pPr>
        <w:pStyle w:val="TextBody"/>
        <w:spacing w:before="0" w:after="0"/>
        <w:ind w:left="0" w:right="0" w:hanging="0"/>
        <w:jc w:val="center"/>
        <w:rPr/>
      </w:pPr>
      <w:r>
        <w:rPr/>
        <w:t> </w:t>
      </w:r>
    </w:p>
    <w:p>
      <w:pPr>
        <w:pStyle w:val="TextBody"/>
        <w:spacing w:before="90" w:after="0"/>
        <w:jc w:val="left"/>
        <w:rPr/>
      </w:pPr>
      <w:r>
        <w:rPr/>
        <w:t>In accordance with the requirements of the Exchange Act, the registrant caused this report to be signed on its behalf by the undersigned, thereunto duly authorized.</w:t>
      </w:r>
    </w:p>
    <w:p>
      <w:pPr>
        <w:pStyle w:val="TextBody"/>
        <w:spacing w:before="0" w:after="0"/>
        <w:ind w:left="0" w:right="0" w:hanging="0"/>
        <w:jc w:val="center"/>
        <w:rPr/>
      </w:pPr>
      <w:r>
        <w:rPr/>
      </w:r>
    </w:p>
    <w:p>
      <w:pPr>
        <w:pStyle w:val="TextBody"/>
        <w:spacing w:before="0" w:after="0"/>
        <w:ind w:left="0" w:right="0" w:hanging="0"/>
        <w:jc w:val="center"/>
        <w:rPr/>
      </w:pPr>
      <w:r>
        <w:rPr/>
        <w:t>                                                                                                                                                                                                                                                                                            </w:t>
      </w:r>
      <w:r>
        <w:rPr>
          <w:b/>
        </w:rPr>
        <w:t>TAPIMMUNE INC.</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18"/>
        <w:gridCol w:w="610"/>
        <w:gridCol w:w="5277"/>
        <w:gridCol w:w="800"/>
      </w:tblGrid>
      <w:tr>
        <w:trPr/>
        <w:tc>
          <w:tcPr>
            <w:tcW w:w="3518" w:type="dxa"/>
            <w:tcBorders/>
            <w:shd w:fill="auto" w:val="clear"/>
          </w:tcPr>
          <w:p>
            <w:pPr>
              <w:pStyle w:val="TableContents"/>
              <w:spacing w:before="0" w:after="283"/>
              <w:ind w:left="0" w:right="0" w:hanging="0"/>
              <w:rPr>
                <w:sz w:val="4"/>
                <w:szCs w:val="4"/>
              </w:rPr>
            </w:pPr>
            <w:r>
              <w:rPr>
                <w:sz w:val="4"/>
                <w:szCs w:val="4"/>
              </w:rPr>
            </w:r>
          </w:p>
        </w:tc>
        <w:tc>
          <w:tcPr>
            <w:tcW w:w="610" w:type="dxa"/>
            <w:tcBorders/>
            <w:shd w:fill="auto" w:val="clear"/>
          </w:tcPr>
          <w:p>
            <w:pPr>
              <w:pStyle w:val="TableContents"/>
              <w:spacing w:before="0" w:after="0"/>
              <w:ind w:left="0" w:right="0" w:hanging="0"/>
              <w:rPr/>
            </w:pPr>
            <w:r>
              <w:rPr/>
              <w:t>  </w:t>
            </w:r>
          </w:p>
        </w:tc>
        <w:tc>
          <w:tcPr>
            <w:tcW w:w="5277" w:type="dxa"/>
            <w:tcBorders/>
            <w:shd w:fill="auto" w:val="clear"/>
          </w:tcPr>
          <w:p>
            <w:pPr>
              <w:pStyle w:val="TableContents"/>
              <w:spacing w:before="0" w:after="0"/>
              <w:ind w:left="0" w:right="0" w:hanging="0"/>
              <w:rPr/>
            </w:pPr>
            <w:r>
              <w:rPr/>
              <w:t>  </w:t>
            </w:r>
          </w:p>
        </w:tc>
        <w:tc>
          <w:tcPr>
            <w:tcW w:w="800" w:type="dxa"/>
            <w:tcBorders/>
            <w:shd w:fill="auto" w:val="clear"/>
          </w:tcPr>
          <w:p>
            <w:pPr>
              <w:pStyle w:val="TableContents"/>
              <w:spacing w:before="0" w:after="0"/>
              <w:ind w:left="0" w:right="0" w:hanging="0"/>
              <w:rPr/>
            </w:pPr>
            <w:r>
              <w:rPr/>
              <w:t>  </w:t>
            </w:r>
          </w:p>
        </w:tc>
      </w:tr>
      <w:tr>
        <w:trPr/>
        <w:tc>
          <w:tcPr>
            <w:tcW w:w="3518" w:type="dxa"/>
            <w:tcBorders/>
            <w:shd w:fill="auto" w:val="clear"/>
          </w:tcPr>
          <w:p>
            <w:pPr>
              <w:pStyle w:val="TableContents"/>
              <w:spacing w:before="0" w:after="0"/>
              <w:ind w:left="0" w:right="0" w:hanging="0"/>
              <w:rPr/>
            </w:pPr>
            <w:r>
              <w:rPr/>
              <w:t>Date: November 19, 2013</w:t>
            </w:r>
          </w:p>
        </w:tc>
        <w:tc>
          <w:tcPr>
            <w:tcW w:w="610" w:type="dxa"/>
            <w:tcBorders/>
            <w:shd w:fill="auto" w:val="clear"/>
          </w:tcPr>
          <w:p>
            <w:pPr>
              <w:pStyle w:val="TableContents"/>
              <w:spacing w:before="0" w:after="0"/>
              <w:ind w:left="0" w:right="0" w:hanging="0"/>
              <w:rPr/>
            </w:pPr>
            <w:r>
              <w:rPr/>
              <w:t>By: </w:t>
            </w:r>
          </w:p>
        </w:tc>
        <w:tc>
          <w:tcPr>
            <w:tcW w:w="5277" w:type="dxa"/>
            <w:tcBorders>
              <w:bottom w:val="single" w:sz="2" w:space="0" w:color="000000"/>
            </w:tcBorders>
            <w:shd w:fill="auto" w:val="clear"/>
            <w:tcMar>
              <w:bottom w:w="28" w:type="dxa"/>
            </w:tcMar>
          </w:tcPr>
          <w:p>
            <w:pPr>
              <w:pStyle w:val="TableContents"/>
              <w:spacing w:before="0" w:after="0"/>
              <w:ind w:left="0" w:right="0" w:hanging="0"/>
              <w:rPr/>
            </w:pPr>
            <w:r>
              <w:rPr/>
              <w:t xml:space="preserve">/s/ </w:t>
            </w:r>
            <w:r>
              <w:rPr>
                <w:rStyle w:val="Emphasis"/>
              </w:rPr>
              <w:t>Glynn Wilson</w:t>
            </w:r>
          </w:p>
        </w:tc>
        <w:tc>
          <w:tcPr>
            <w:tcW w:w="800" w:type="dxa"/>
            <w:tcBorders/>
            <w:shd w:fill="auto" w:val="clear"/>
          </w:tcPr>
          <w:p>
            <w:pPr>
              <w:pStyle w:val="TableContents"/>
              <w:spacing w:before="0" w:after="0"/>
              <w:ind w:left="0" w:right="0" w:hanging="0"/>
              <w:rPr/>
            </w:pPr>
            <w:r>
              <w:rPr/>
              <w:t>  </w:t>
            </w:r>
          </w:p>
        </w:tc>
      </w:tr>
      <w:tr>
        <w:trPr/>
        <w:tc>
          <w:tcPr>
            <w:tcW w:w="3518" w:type="dxa"/>
            <w:tcBorders/>
            <w:shd w:fill="auto" w:val="clear"/>
          </w:tcPr>
          <w:p>
            <w:pPr>
              <w:pStyle w:val="TableContents"/>
              <w:spacing w:before="0" w:after="0"/>
              <w:ind w:left="0" w:right="0" w:hanging="0"/>
              <w:rPr/>
            </w:pPr>
            <w:r>
              <w:rPr/>
              <w:t> </w:t>
            </w:r>
          </w:p>
        </w:tc>
        <w:tc>
          <w:tcPr>
            <w:tcW w:w="610" w:type="dxa"/>
            <w:tcBorders/>
            <w:shd w:fill="auto" w:val="clear"/>
          </w:tcPr>
          <w:p>
            <w:pPr>
              <w:pStyle w:val="TableContents"/>
              <w:spacing w:before="0" w:after="0"/>
              <w:ind w:left="0" w:right="0" w:hanging="0"/>
              <w:rPr/>
            </w:pPr>
            <w:r>
              <w:rPr/>
              <w:t> </w:t>
            </w:r>
          </w:p>
        </w:tc>
        <w:tc>
          <w:tcPr>
            <w:tcW w:w="5277" w:type="dxa"/>
            <w:tcBorders/>
            <w:shd w:fill="auto" w:val="clear"/>
          </w:tcPr>
          <w:p>
            <w:pPr>
              <w:pStyle w:val="TableContents"/>
              <w:spacing w:before="0" w:after="0"/>
              <w:ind w:left="0" w:right="0" w:hanging="0"/>
              <w:rPr/>
            </w:pPr>
            <w:r>
              <w:rPr/>
              <w:t>Name: Glynn Wilson</w:t>
            </w:r>
          </w:p>
          <w:p>
            <w:pPr>
              <w:pStyle w:val="TableContents"/>
              <w:spacing w:before="0" w:after="0"/>
              <w:ind w:left="0" w:right="0" w:hanging="0"/>
              <w:rPr/>
            </w:pPr>
            <w:r>
              <w:rPr/>
              <w:t>Chairman Chief Executive Officer,</w:t>
            </w:r>
          </w:p>
          <w:p>
            <w:pPr>
              <w:pStyle w:val="TableContents"/>
              <w:spacing w:before="0" w:after="0"/>
              <w:ind w:left="0" w:right="0" w:hanging="0"/>
              <w:rPr/>
            </w:pPr>
            <w:r>
              <w:rPr/>
              <w:t>Principal Executive Officer and Acting</w:t>
            </w:r>
          </w:p>
          <w:p>
            <w:pPr>
              <w:pStyle w:val="TableContents"/>
              <w:spacing w:before="0" w:after="0"/>
              <w:ind w:left="0" w:right="0" w:hanging="0"/>
              <w:rPr/>
            </w:pPr>
            <w:r>
              <w:rPr/>
              <w:t>Principal Accounting Officer </w:t>
            </w:r>
          </w:p>
        </w:tc>
        <w:tc>
          <w:tcPr>
            <w:tcW w:w="800"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jc w:val="both"/>
        <w:rPr/>
      </w:pPr>
      <w:r>
        <w:rPr/>
        <w:t> </w:t>
      </w:r>
    </w:p>
    <w:p>
      <w:pPr>
        <w:pStyle w:val="TextBody"/>
        <w:jc w:val="both"/>
        <w:rPr/>
      </w:pPr>
      <w:r>
        <w:rPr/>
        <w:t> </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8" w:space="0" w:color="000000"/>
            </w:tcBorders>
            <w:shd w:fill="auto" w:val="clear"/>
            <w:vAlign w:val="center"/>
          </w:tcPr>
          <w:p>
            <w:pPr>
              <w:pStyle w:val="TableContents"/>
              <w:spacing w:before="0" w:after="283"/>
              <w:jc w:val="center"/>
              <w:rPr/>
            </w:pPr>
            <w:r>
              <w:rPr/>
              <w:t>28</w:t>
            </w:r>
          </w:p>
        </w:tc>
      </w:tr>
      <w:tr>
        <w:trPr/>
        <w:tc>
          <w:tcPr>
            <w:tcW w:w="10205" w:type="dxa"/>
            <w:tcBorders>
              <w:top w:val="single" w:sz="18" w:space="0" w:color="000000"/>
            </w:tcBorders>
            <w:shd w:fill="auto" w:val="clear"/>
            <w:tcMar>
              <w:top w:w="28" w:type="dxa"/>
              <w:bottom w:w="0" w:type="dxa"/>
            </w:tcMar>
            <w:vAlign w:val="center"/>
          </w:tcPr>
          <w:p>
            <w:pPr>
              <w:pStyle w:val="TableContents"/>
              <w:spacing w:before="0" w:after="0"/>
              <w:ind w:left="0" w:right="0" w:hanging="0"/>
              <w:rPr/>
            </w:pPr>
            <w:r>
              <w:rPr/>
              <w:t xml:space="preserve">              </w:t>
            </w:r>
          </w:p>
        </w:tc>
      </w:tr>
    </w:tbl>
    <w:p>
      <w:pPr>
        <w:pStyle w:val="TextBody"/>
        <w:spacing w:before="0" w:after="0"/>
        <w:ind w:left="0" w:right="0" w:hanging="0"/>
        <w:jc w:val="both"/>
        <w:rPr/>
      </w:pPr>
      <w:r>
        <w:rPr/>
        <w:t> </w:t>
      </w:r>
      <w:r>
        <w:br w:type="page"/>
      </w:r>
    </w:p>
    <w:p>
      <w:pPr>
        <w:pStyle w:val="TextBody"/>
        <w:spacing w:before="0" w:after="0"/>
        <w:ind w:left="0" w:right="0" w:hanging="0"/>
        <w:jc w:val="right"/>
        <w:rPr>
          <w:b/>
          <w:sz w:val="20"/>
        </w:rPr>
      </w:pPr>
      <w:bookmarkStart w:id="4" w:name="exhibit311.htm"/>
      <w:bookmarkStart w:id="5" w:name="ksexhibit311"/>
      <w:bookmarkEnd w:id="4"/>
      <w:bookmarkEnd w:id="5"/>
      <w:r>
        <w:rPr>
          <w:b/>
          <w:sz w:val="20"/>
        </w:rPr>
        <w:t>Exhibit 31.1</w:t>
      </w:r>
    </w:p>
    <w:p>
      <w:pPr>
        <w:pStyle w:val="TextBody"/>
        <w:spacing w:before="210" w:after="0"/>
        <w:jc w:val="center"/>
        <w:rPr>
          <w:b/>
          <w:sz w:val="20"/>
        </w:rPr>
      </w:pPr>
      <w:r>
        <w:rPr>
          <w:b/>
          <w:sz w:val="20"/>
        </w:rPr>
        <w:t>CERTIFICATION</w:t>
      </w:r>
    </w:p>
    <w:p>
      <w:pPr>
        <w:pStyle w:val="TextBody"/>
        <w:spacing w:before="210" w:after="0"/>
        <w:jc w:val="center"/>
        <w:rPr/>
      </w:pPr>
      <w:r>
        <w:rPr/>
        <w:t> </w:t>
      </w:r>
    </w:p>
    <w:p>
      <w:pPr>
        <w:pStyle w:val="TextBody"/>
        <w:spacing w:before="90" w:after="0"/>
        <w:jc w:val="both"/>
        <w:rPr>
          <w:sz w:val="20"/>
        </w:rPr>
      </w:pPr>
      <w:r>
        <w:rPr>
          <w:sz w:val="20"/>
        </w:rPr>
        <w:t>I, Glynn Wilson, certify that:</w:t>
      </w:r>
    </w:p>
    <w:p>
      <w:pPr>
        <w:pStyle w:val="TextBody"/>
        <w:spacing w:before="90" w:after="0"/>
        <w:jc w:val="both"/>
        <w:rPr/>
      </w:pPr>
      <w:r>
        <w:rPr/>
        <w:t> </w:t>
      </w:r>
    </w:p>
    <w:p>
      <w:pPr>
        <w:pStyle w:val="TextBody"/>
        <w:pBdr/>
        <w:spacing w:before="0" w:after="0"/>
        <w:ind w:left="0" w:right="0" w:hanging="30"/>
        <w:jc w:val="both"/>
        <w:rPr>
          <w:sz w:val="20"/>
        </w:rPr>
      </w:pPr>
      <w:r>
        <w:rPr>
          <w:sz w:val="20"/>
        </w:rPr>
        <w:t>I have reviewed this Report on Form 10-Q for the quarterly period ended September 30, 2013 of TapImmune Inc.;</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46685"/>
                <wp:effectExtent l="0" t="0" r="0" b="0"/>
                <wp:wrapSquare wrapText="largest"/>
                <wp:docPr id="53" name="Frame53"/>
                <a:graphic xmlns:a="http://schemas.openxmlformats.org/drawingml/2006/main">
                  <a:graphicData uri="http://schemas.microsoft.com/office/word/2010/wordprocessingShape">
                    <wps:wsp>
                      <wps:cNvSpPr txBox="1"/>
                      <wps:spPr>
                        <a:xfrm>
                          <a:off x="0" y="0"/>
                          <a:ext cx="457200" cy="146685"/>
                        </a:xfrm>
                        <a:prstGeom prst="rect"/>
                      </wps:spPr>
                      <wps:txbx>
                        <w:txbxContent>
                          <w:p>
                            <w:pPr>
                              <w:pStyle w:val="TextBody"/>
                              <w:spacing w:before="0" w:after="283"/>
                              <w:rPr>
                                <w:sz w:val="20"/>
                              </w:rPr>
                            </w:pPr>
                            <w:r>
                              <w:rPr>
                                <w:sz w:val="20"/>
                              </w:rPr>
                              <w:t>(1)</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(1)</w:t>
                      </w:r>
                    </w:p>
                  </w:txbxContent>
                </v:textbox>
                <w10:wrap type="square" side="right"/>
              </v:rect>
            </w:pict>
          </mc:Fallback>
        </mc:AlternateContent>
      </w:r>
    </w:p>
    <w:p>
      <w:pPr>
        <w:pStyle w:val="TextBody"/>
        <w:pBdr/>
        <w:spacing w:before="0" w:after="0"/>
        <w:ind w:left="0" w:right="0" w:hanging="30"/>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46685"/>
                <wp:effectExtent l="0" t="0" r="0" b="0"/>
                <wp:wrapSquare wrapText="largest"/>
                <wp:docPr id="54" name="Frame54"/>
                <a:graphic xmlns:a="http://schemas.openxmlformats.org/drawingml/2006/main">
                  <a:graphicData uri="http://schemas.microsoft.com/office/word/2010/wordprocessingShape">
                    <wps:wsp>
                      <wps:cNvSpPr txBox="1"/>
                      <wps:spPr>
                        <a:xfrm>
                          <a:off x="0" y="0"/>
                          <a:ext cx="457200" cy="146685"/>
                        </a:xfrm>
                        <a:prstGeom prst="rect"/>
                      </wps:spPr>
                      <wps:txbx>
                        <w:txbxContent>
                          <w:p>
                            <w:pPr>
                              <w:pStyle w:val="TextBody"/>
                              <w:spacing w:before="0" w:after="283"/>
                              <w:rPr>
                                <w:sz w:val="20"/>
                              </w:rPr>
                            </w:pPr>
                            <w:r>
                              <w:rPr>
                                <w:sz w:val="20"/>
                              </w:rPr>
                              <w:t>(2)</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(2)</w:t>
                      </w:r>
                    </w:p>
                  </w:txbxContent>
                </v:textbox>
                <w10:wrap type="square" side="right"/>
              </v:rect>
            </w:pict>
          </mc:Fallback>
        </mc:AlternateContent>
      </w:r>
    </w:p>
    <w:p>
      <w:pPr>
        <w:pStyle w:val="TextBody"/>
        <w:pBdr/>
        <w:spacing w:before="0" w:after="0"/>
        <w:ind w:left="0" w:right="0" w:hanging="30"/>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46685"/>
                <wp:effectExtent l="0" t="0" r="0" b="0"/>
                <wp:wrapSquare wrapText="largest"/>
                <wp:docPr id="55" name="Frame55"/>
                <a:graphic xmlns:a="http://schemas.openxmlformats.org/drawingml/2006/main">
                  <a:graphicData uri="http://schemas.microsoft.com/office/word/2010/wordprocessingShape">
                    <wps:wsp>
                      <wps:cNvSpPr txBox="1"/>
                      <wps:spPr>
                        <a:xfrm>
                          <a:off x="0" y="0"/>
                          <a:ext cx="457200" cy="146685"/>
                        </a:xfrm>
                        <a:prstGeom prst="rect"/>
                      </wps:spPr>
                      <wps:txbx>
                        <w:txbxContent>
                          <w:p>
                            <w:pPr>
                              <w:pStyle w:val="TextBody"/>
                              <w:spacing w:before="0" w:after="283"/>
                              <w:rPr>
                                <w:sz w:val="20"/>
                              </w:rPr>
                            </w:pPr>
                            <w:r>
                              <w:rPr>
                                <w:sz w:val="20"/>
                              </w:rPr>
                              <w:t>(3)</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(3)</w:t>
                      </w:r>
                    </w:p>
                  </w:txbxContent>
                </v:textbox>
                <w10:wrap type="square" side="right"/>
              </v:rect>
            </w:pict>
          </mc:Fallback>
        </mc:AlternateContent>
      </w:r>
    </w:p>
    <w:p>
      <w:pPr>
        <w:pStyle w:val="TextBody"/>
        <w:pBdr/>
        <w:spacing w:before="0" w:after="0"/>
        <w:ind w:left="0" w:right="0" w:hanging="30"/>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46685"/>
                <wp:effectExtent l="0" t="0" r="0" b="0"/>
                <wp:wrapSquare wrapText="largest"/>
                <wp:docPr id="56" name="Frame56"/>
                <a:graphic xmlns:a="http://schemas.openxmlformats.org/drawingml/2006/main">
                  <a:graphicData uri="http://schemas.microsoft.com/office/word/2010/wordprocessingShape">
                    <wps:wsp>
                      <wps:cNvSpPr txBox="1"/>
                      <wps:spPr>
                        <a:xfrm>
                          <a:off x="0" y="0"/>
                          <a:ext cx="457200" cy="146685"/>
                        </a:xfrm>
                        <a:prstGeom prst="rect"/>
                      </wps:spPr>
                      <wps:txbx>
                        <w:txbxContent>
                          <w:p>
                            <w:pPr>
                              <w:pStyle w:val="TextBody"/>
                              <w:spacing w:before="0" w:after="283"/>
                              <w:rPr>
                                <w:sz w:val="20"/>
                              </w:rPr>
                            </w:pPr>
                            <w:r>
                              <w:rPr>
                                <w:sz w:val="20"/>
                              </w:rPr>
                              <w:t>(4)</w:t>
                            </w:r>
                          </w:p>
                        </w:txbxContent>
                      </wps:txbx>
                      <wps:bodyPr anchor="t" lIns="0" tIns="0" rIns="0" bIns="0">
                        <a:noAutofit/>
                      </wps:bodyPr>
                    </wps:wsp>
                  </a:graphicData>
                </a:graphic>
              </wp:anchor>
            </w:drawing>
          </mc:Choice>
          <mc:Fallback>
            <w:pict>
              <v:rect style="position:absolute;rotation:0;width:3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(4)</w:t>
                      </w:r>
                    </w:p>
                  </w:txbxContent>
                </v:textbox>
                <w10:wrap type="square" side="right"/>
              </v:rect>
            </w:pict>
          </mc:Fallback>
        </mc:AlternateContent>
      </w:r>
    </w:p>
    <w:p>
      <w:pPr>
        <w:pStyle w:val="TextBody"/>
        <w:pBdr/>
        <w:spacing w:before="0" w:after="0"/>
        <w:ind w:left="0" w:right="0" w:hanging="30"/>
        <w:jc w:val="both"/>
        <w:rPr>
          <w:sz w:val="20"/>
        </w:rPr>
      </w:pPr>
      <w:r>
        <w:rPr>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685800" cy="146685"/>
                <wp:effectExtent l="0" t="0" r="0" b="0"/>
                <wp:wrapSquare wrapText="largest"/>
                <wp:docPr id="57" name="Frame57"/>
                <a:graphic xmlns:a="http://schemas.openxmlformats.org/drawingml/2006/main">
                  <a:graphicData uri="http://schemas.microsoft.com/office/word/2010/wordprocessingShape">
                    <wps:wsp>
                      <wps:cNvSpPr txBox="1"/>
                      <wps:spPr>
                        <a:xfrm>
                          <a:off x="0" y="0"/>
                          <a:ext cx="685800" cy="146685"/>
                        </a:xfrm>
                        <a:prstGeom prst="rect"/>
                      </wps:spPr>
                      <wps:txbx>
                        <w:txbxContent>
                          <w:p>
                            <w:pPr>
                              <w:pStyle w:val="TextBody"/>
                              <w:spacing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(a)</w:t>
                      </w:r>
                    </w:p>
                  </w:txbxContent>
                </v:textbox>
                <w10:wrap type="square" side="right"/>
              </v:rect>
            </w:pict>
          </mc:Fallback>
        </mc:AlternateContent>
      </w:r>
    </w:p>
    <w:p>
      <w:pPr>
        <w:pStyle w:val="TextBody"/>
        <w:pBdr/>
        <w:spacing w:before="0" w:after="0"/>
        <w:ind w:left="0" w:right="0" w:hanging="30"/>
        <w:jc w:val="both"/>
        <w:rPr>
          <w:sz w:val="20"/>
        </w:rPr>
      </w:pPr>
      <w:r>
        <w:rPr>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685800" cy="146685"/>
                <wp:effectExtent l="0" t="0" r="0" b="0"/>
                <wp:wrapSquare wrapText="largest"/>
                <wp:docPr id="58" name="Frame58"/>
                <a:graphic xmlns:a="http://schemas.openxmlformats.org/drawingml/2006/main">
                  <a:graphicData uri="http://schemas.microsoft.com/office/word/2010/wordprocessingShape">
                    <wps:wsp>
                      <wps:cNvSpPr txBox="1"/>
                      <wps:spPr>
                        <a:xfrm>
                          <a:off x="0" y="0"/>
                          <a:ext cx="685800" cy="14668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pBdr/>
        <w:spacing w:before="0" w:after="0"/>
        <w:ind w:left="0" w:right="0" w:hanging="30"/>
        <w:jc w:val="both"/>
        <w:rPr>
          <w:sz w:val="20"/>
        </w:rPr>
      </w:pPr>
      <w:r>
        <w:rPr>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685800" cy="146685"/>
                <wp:effectExtent l="0" t="0" r="0" b="0"/>
                <wp:wrapSquare wrapText="largest"/>
                <wp:docPr id="59" name="Frame59"/>
                <a:graphic xmlns:a="http://schemas.openxmlformats.org/drawingml/2006/main">
                  <a:graphicData uri="http://schemas.microsoft.com/office/word/2010/wordprocessingShape">
                    <wps:wsp>
                      <wps:cNvSpPr txBox="1"/>
                      <wps:spPr>
                        <a:xfrm>
                          <a:off x="0" y="0"/>
                          <a:ext cx="685800" cy="146685"/>
                        </a:xfrm>
                        <a:prstGeom prst="rect"/>
                      </wps:spPr>
                      <wps:txbx>
                        <w:txbxContent>
                          <w:p>
                            <w:pPr>
                              <w:pStyle w:val="TextBody"/>
                              <w:spacing w:before="0" w:after="283"/>
                              <w:rPr>
                                <w:sz w:val="20"/>
                              </w:rPr>
                            </w:pPr>
                            <w:r>
                              <w:rPr>
                                <w:sz w:val="20"/>
                              </w:rPr>
                              <w:t>(c)</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(c)</w:t>
                      </w:r>
                    </w:p>
                  </w:txbxContent>
                </v:textbox>
                <w10:wrap type="square" side="right"/>
              </v:rect>
            </w:pict>
          </mc:Fallback>
        </mc:AlternateContent>
      </w:r>
    </w:p>
    <w:p>
      <w:pPr>
        <w:pStyle w:val="TextBody"/>
        <w:pBdr/>
        <w:spacing w:before="0" w:after="0"/>
        <w:ind w:left="0" w:right="0" w:hanging="30"/>
        <w:jc w:val="both"/>
        <w:rPr>
          <w:sz w:val="20"/>
        </w:rPr>
      </w:pPr>
      <w:r>
        <w:rPr>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685800" cy="146685"/>
                <wp:effectExtent l="0" t="0" r="0" b="0"/>
                <wp:wrapSquare wrapText="largest"/>
                <wp:docPr id="60" name="Frame60"/>
                <a:graphic xmlns:a="http://schemas.openxmlformats.org/drawingml/2006/main">
                  <a:graphicData uri="http://schemas.microsoft.com/office/word/2010/wordprocessingShape">
                    <wps:wsp>
                      <wps:cNvSpPr txBox="1"/>
                      <wps:spPr>
                        <a:xfrm>
                          <a:off x="0" y="0"/>
                          <a:ext cx="685800" cy="146685"/>
                        </a:xfrm>
                        <a:prstGeom prst="rect"/>
                      </wps:spPr>
                      <wps:txbx>
                        <w:txbxContent>
                          <w:p>
                            <w:pPr>
                              <w:pStyle w:val="TextBody"/>
                              <w:spacing w:before="0" w:after="283"/>
                              <w:rPr>
                                <w:sz w:val="20"/>
                              </w:rPr>
                            </w:pPr>
                            <w:r>
                              <w:rPr>
                                <w:sz w:val="20"/>
                              </w:rPr>
                              <w:t>(d)</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(d)</w:t>
                      </w:r>
                    </w:p>
                  </w:txbxContent>
                </v:textbox>
                <w10:wrap type="square" side="right"/>
              </v:rect>
            </w:pict>
          </mc:Fallback>
        </mc:AlternateContent>
      </w:r>
    </w:p>
    <w:p>
      <w:pPr>
        <w:pStyle w:val="TextBody"/>
        <w:pBdr/>
        <w:spacing w:lineRule="atLeast" w:line="240" w:before="0" w:after="0"/>
        <w:ind w:left="0" w:right="0" w:hanging="30"/>
        <w:jc w:val="both"/>
        <w:rPr>
          <w:sz w:val="20"/>
        </w:rPr>
      </w:pPr>
      <w:r>
        <w:rPr>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52400"/>
                <wp:effectExtent l="0" t="0" r="0" b="0"/>
                <wp:wrapSquare wrapText="largest"/>
                <wp:docPr id="61" name="Frame61"/>
                <a:graphic xmlns:a="http://schemas.openxmlformats.org/drawingml/2006/main">
                  <a:graphicData uri="http://schemas.microsoft.com/office/word/2010/wordprocessingShape">
                    <wps:wsp>
                      <wps:cNvSpPr txBox="1"/>
                      <wps:spPr>
                        <a:xfrm>
                          <a:off x="0" y="0"/>
                          <a:ext cx="457200" cy="152400"/>
                        </a:xfrm>
                        <a:prstGeom prst="rect"/>
                      </wps:spPr>
                      <wps:txbx>
                        <w:txbxContent>
                          <w:p>
                            <w:pPr>
                              <w:pStyle w:val="TextBody"/>
                              <w:spacing w:lineRule="atLeast" w:line="240" w:before="0" w:after="283"/>
                              <w:rPr>
                                <w:sz w:val="20"/>
                              </w:rPr>
                            </w:pPr>
                            <w:r>
                              <w:rPr>
                                <w:sz w:val="20"/>
                              </w:rPr>
                              <w:t>(5)</w:t>
                            </w:r>
                          </w:p>
                        </w:txbxContent>
                      </wps:txbx>
                      <wps:bodyPr anchor="t" lIns="0" tIns="0" rIns="0" bIns="0">
                        <a:noAutofit/>
                      </wps:bodyPr>
                    </wps:wsp>
                  </a:graphicData>
                </a:graphic>
              </wp:anchor>
            </w:drawing>
          </mc:Choice>
          <mc:Fallback>
            <w:pict>
              <v:rect style="position:absolute;rotation:0;width:36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rPr>
                          <w:sz w:val="20"/>
                        </w:rPr>
                      </w:pPr>
                      <w:r>
                        <w:rPr>
                          <w:sz w:val="20"/>
                        </w:rPr>
                        <w:t>(5)</w:t>
                      </w:r>
                    </w:p>
                  </w:txbxContent>
                </v:textbox>
                <w10:wrap type="square" side="right"/>
              </v:rect>
            </w:pict>
          </mc:Fallback>
        </mc:AlternateContent>
      </w:r>
    </w:p>
    <w:p>
      <w:pPr>
        <w:pStyle w:val="TextBody"/>
        <w:pBdr/>
        <w:spacing w:lineRule="atLeast" w:line="240" w:before="0" w:after="0"/>
        <w:ind w:left="0" w:right="0" w:hanging="30"/>
        <w:jc w:val="both"/>
        <w:rPr>
          <w:sz w:val="20"/>
        </w:rPr>
      </w:pPr>
      <w:r>
        <w:rPr>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685800" cy="152400"/>
                <wp:effectExtent l="0" t="0" r="0" b="0"/>
                <wp:wrapSquare wrapText="largest"/>
                <wp:docPr id="62" name="Frame62"/>
                <a:graphic xmlns:a="http://schemas.openxmlformats.org/drawingml/2006/main">
                  <a:graphicData uri="http://schemas.microsoft.com/office/word/2010/wordprocessingShape">
                    <wps:wsp>
                      <wps:cNvSpPr txBox="1"/>
                      <wps:spPr>
                        <a:xfrm>
                          <a:off x="0" y="0"/>
                          <a:ext cx="685800" cy="152400"/>
                        </a:xfrm>
                        <a:prstGeom prst="rect"/>
                      </wps:spPr>
                      <wps:txbx>
                        <w:txbxContent>
                          <w:p>
                            <w:pPr>
                              <w:pStyle w:val="TextBody"/>
                              <w:spacing w:lineRule="atLeast" w:line="240" w:before="0" w:after="283"/>
                              <w:rPr>
                                <w:sz w:val="20"/>
                              </w:rPr>
                            </w:pPr>
                            <w:r>
                              <w:rPr>
                                <w:sz w:val="20"/>
                              </w:rPr>
                              <w:t>(a)</w:t>
                            </w:r>
                          </w:p>
                        </w:txbxContent>
                      </wps:txbx>
                      <wps:bodyPr anchor="t" lIns="0" tIns="0" rIns="0" bIns="0">
                        <a:noAutofit/>
                      </wps:bodyPr>
                    </wps:wsp>
                  </a:graphicData>
                </a:graphic>
              </wp:anchor>
            </w:drawing>
          </mc:Choice>
          <mc:Fallback>
            <w:pict>
              <v:rect style="position:absolute;rotation:0;width:54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rPr>
                          <w:sz w:val="20"/>
                        </w:rPr>
                      </w:pPr>
                      <w:r>
                        <w:rPr>
                          <w:sz w:val="20"/>
                        </w:rPr>
                        <w:t>(a)</w:t>
                      </w:r>
                    </w:p>
                  </w:txbxContent>
                </v:textbox>
                <w10:wrap type="square" side="right"/>
              </v:rect>
            </w:pict>
          </mc:Fallback>
        </mc:AlternateContent>
      </w:r>
    </w:p>
    <w:p>
      <w:pPr>
        <w:pStyle w:val="TextBody"/>
        <w:pBdr/>
        <w:spacing w:before="0" w:after="0"/>
        <w:ind w:left="0" w:right="0" w:hanging="30"/>
        <w:jc w:val="both"/>
        <w:rPr>
          <w:sz w:val="20"/>
        </w:rPr>
      </w:pPr>
      <w:r>
        <w:rPr>
          <w:sz w:val="20"/>
        </w:rPr>
        <w:t>Any fraud, whether or not material, that involves management or other employees who have a significant role in the registrants internal control over financial reporting.</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685800" cy="146685"/>
                <wp:effectExtent l="0" t="0" r="0" b="0"/>
                <wp:wrapSquare wrapText="largest"/>
                <wp:docPr id="63" name="Frame63"/>
                <a:graphic xmlns:a="http://schemas.openxmlformats.org/drawingml/2006/main">
                  <a:graphicData uri="http://schemas.microsoft.com/office/word/2010/wordprocessingShape">
                    <wps:wsp>
                      <wps:cNvSpPr txBox="1"/>
                      <wps:spPr>
                        <a:xfrm>
                          <a:off x="0" y="0"/>
                          <a:ext cx="685800" cy="146685"/>
                        </a:xfrm>
                        <a:prstGeom prst="rect"/>
                      </wps:spPr>
                      <wps:txbx>
                        <w:txbxContent>
                          <w:p>
                            <w:pPr>
                              <w:pStyle w:val="TextBody"/>
                              <w:spacing w:before="0" w:after="283"/>
                              <w:rPr>
                                <w:sz w:val="20"/>
                              </w:rPr>
                            </w:pPr>
                            <w:r>
                              <w:rPr>
                                <w:sz w:val="20"/>
                              </w:rPr>
                              <w:t>(b)</w:t>
                            </w:r>
                          </w:p>
                        </w:txbxContent>
                      </wps:txbx>
                      <wps:bodyPr anchor="t" lIns="0" tIns="0" rIns="0" bIns="0">
                        <a:noAutofit/>
                      </wps:bodyPr>
                    </wps:wsp>
                  </a:graphicData>
                </a:graphic>
              </wp:anchor>
            </w:drawing>
          </mc:Choice>
          <mc:Fallback>
            <w:pict>
              <v:rect style="position:absolute;rotation:0;width:54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20"/>
                        </w:rPr>
                      </w:pPr>
                      <w:r>
                        <w:rPr>
                          <w:sz w:val="20"/>
                        </w:rPr>
                        <w:t>(b)</w:t>
                      </w:r>
                    </w:p>
                  </w:txbxContent>
                </v:textbox>
                <w10:wrap type="square" side="right"/>
              </v:rect>
            </w:pict>
          </mc:Fallback>
        </mc:AlternateContent>
      </w:r>
    </w:p>
    <w:p>
      <w:pPr>
        <w:pStyle w:val="TextBody"/>
        <w:spacing w:before="0" w:after="0"/>
        <w:jc w:val="both"/>
        <w:rPr/>
      </w:pPr>
      <w:r>
        <w:rPr/>
        <w:t> </w:t>
      </w:r>
    </w:p>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3140"/>
        <w:gridCol w:w="644"/>
        <w:gridCol w:w="5576"/>
        <w:gridCol w:w="845"/>
      </w:tblGrid>
      <w:tr>
        <w:trPr/>
        <w:tc>
          <w:tcPr>
            <w:tcW w:w="3140" w:type="dxa"/>
            <w:tcBorders/>
            <w:shd w:fill="auto" w:val="clear"/>
          </w:tcPr>
          <w:p>
            <w:pPr>
              <w:pStyle w:val="TableContents"/>
              <w:spacing w:before="0" w:after="283"/>
              <w:ind w:left="0" w:right="0" w:hanging="0"/>
              <w:rPr>
                <w:sz w:val="4"/>
                <w:szCs w:val="4"/>
              </w:rPr>
            </w:pPr>
            <w:r>
              <w:rPr>
                <w:sz w:val="4"/>
                <w:szCs w:val="4"/>
              </w:rPr>
            </w:r>
          </w:p>
        </w:tc>
        <w:tc>
          <w:tcPr>
            <w:tcW w:w="644" w:type="dxa"/>
            <w:tcBorders/>
            <w:shd w:fill="auto" w:val="clear"/>
          </w:tcPr>
          <w:p>
            <w:pPr>
              <w:pStyle w:val="TableContents"/>
              <w:spacing w:before="0" w:after="0"/>
              <w:ind w:left="0" w:right="0" w:hanging="0"/>
              <w:rPr/>
            </w:pPr>
            <w:r>
              <w:rPr/>
              <w:t>  </w:t>
            </w:r>
          </w:p>
        </w:tc>
        <w:tc>
          <w:tcPr>
            <w:tcW w:w="5576" w:type="dxa"/>
            <w:tcBorders/>
            <w:shd w:fill="auto" w:val="clear"/>
          </w:tcPr>
          <w:p>
            <w:pPr>
              <w:pStyle w:val="TableContents"/>
              <w:spacing w:before="0" w:after="0"/>
              <w:ind w:left="0" w:right="0" w:hanging="0"/>
              <w:rPr/>
            </w:pPr>
            <w:r>
              <w:rPr/>
              <w:t>  </w:t>
            </w:r>
          </w:p>
        </w:tc>
        <w:tc>
          <w:tcPr>
            <w:tcW w:w="845" w:type="dxa"/>
            <w:tcBorders/>
            <w:shd w:fill="auto" w:val="clear"/>
          </w:tcPr>
          <w:p>
            <w:pPr>
              <w:pStyle w:val="TableContents"/>
              <w:spacing w:before="0" w:after="0"/>
              <w:ind w:left="0" w:right="0" w:hanging="0"/>
              <w:rPr/>
            </w:pPr>
            <w:r>
              <w:rPr/>
              <w:t>  </w:t>
            </w:r>
          </w:p>
        </w:tc>
      </w:tr>
      <w:tr>
        <w:trPr/>
        <w:tc>
          <w:tcPr>
            <w:tcW w:w="3140" w:type="dxa"/>
            <w:tcBorders/>
            <w:shd w:fill="auto" w:val="clear"/>
          </w:tcPr>
          <w:p>
            <w:pPr>
              <w:pStyle w:val="TableContents"/>
              <w:spacing w:before="0" w:after="0"/>
              <w:ind w:left="0" w:right="0" w:hanging="0"/>
              <w:rPr>
                <w:sz w:val="20"/>
              </w:rPr>
            </w:pPr>
            <w:r>
              <w:rPr>
                <w:sz w:val="20"/>
              </w:rPr>
              <w:t>Date: November 19, 2013</w:t>
            </w:r>
          </w:p>
        </w:tc>
        <w:tc>
          <w:tcPr>
            <w:tcW w:w="644" w:type="dxa"/>
            <w:tcBorders/>
            <w:shd w:fill="auto" w:val="clear"/>
          </w:tcPr>
          <w:p>
            <w:pPr>
              <w:pStyle w:val="TableContents"/>
              <w:spacing w:before="0" w:after="0"/>
              <w:ind w:left="0" w:right="0" w:hanging="0"/>
              <w:rPr>
                <w:sz w:val="20"/>
              </w:rPr>
            </w:pPr>
            <w:r>
              <w:rPr>
                <w:sz w:val="20"/>
              </w:rPr>
              <w:t>By: </w:t>
            </w:r>
          </w:p>
        </w:tc>
        <w:tc>
          <w:tcPr>
            <w:tcW w:w="5576" w:type="dxa"/>
            <w:tcBorders>
              <w:bottom w:val="single" w:sz="2" w:space="0" w:color="000000"/>
            </w:tcBorders>
            <w:shd w:fill="auto" w:val="clear"/>
            <w:tcMar>
              <w:bottom w:w="28" w:type="dxa"/>
            </w:tcMar>
          </w:tcPr>
          <w:p>
            <w:pPr>
              <w:pStyle w:val="TableContents"/>
              <w:spacing w:before="0" w:after="0"/>
              <w:ind w:left="0" w:right="0" w:hanging="0"/>
              <w:rPr/>
            </w:pPr>
            <w:r>
              <w:rPr>
                <w:sz w:val="20"/>
              </w:rPr>
              <w:t xml:space="preserve">/s/ </w:t>
            </w:r>
            <w:r>
              <w:rPr>
                <w:rStyle w:val="Emphasis"/>
                <w:sz w:val="20"/>
              </w:rPr>
              <w:t>Glynn Wilson</w:t>
            </w:r>
          </w:p>
        </w:tc>
        <w:tc>
          <w:tcPr>
            <w:tcW w:w="845" w:type="dxa"/>
            <w:tcBorders/>
            <w:shd w:fill="auto" w:val="clear"/>
          </w:tcPr>
          <w:p>
            <w:pPr>
              <w:pStyle w:val="TableContents"/>
              <w:spacing w:before="0" w:after="0"/>
              <w:ind w:left="0" w:right="0" w:hanging="0"/>
              <w:rPr/>
            </w:pPr>
            <w:r>
              <w:rPr/>
              <w:t>  </w:t>
            </w:r>
          </w:p>
        </w:tc>
      </w:tr>
      <w:tr>
        <w:trPr/>
        <w:tc>
          <w:tcPr>
            <w:tcW w:w="3140" w:type="dxa"/>
            <w:tcBorders/>
            <w:shd w:fill="auto" w:val="clear"/>
          </w:tcPr>
          <w:p>
            <w:pPr>
              <w:pStyle w:val="TableContents"/>
              <w:spacing w:before="0" w:after="0"/>
              <w:ind w:left="0" w:right="0" w:hanging="0"/>
              <w:rPr/>
            </w:pPr>
            <w:r>
              <w:rPr/>
              <w:t> </w:t>
            </w:r>
          </w:p>
        </w:tc>
        <w:tc>
          <w:tcPr>
            <w:tcW w:w="644" w:type="dxa"/>
            <w:tcBorders/>
            <w:shd w:fill="auto" w:val="clear"/>
          </w:tcPr>
          <w:p>
            <w:pPr>
              <w:pStyle w:val="TableContents"/>
              <w:spacing w:before="0" w:after="0"/>
              <w:ind w:left="0" w:right="0" w:hanging="0"/>
              <w:rPr/>
            </w:pPr>
            <w:r>
              <w:rPr/>
              <w:t> </w:t>
            </w:r>
          </w:p>
        </w:tc>
        <w:tc>
          <w:tcPr>
            <w:tcW w:w="5576" w:type="dxa"/>
            <w:tcBorders/>
            <w:shd w:fill="auto" w:val="clear"/>
          </w:tcPr>
          <w:p>
            <w:pPr>
              <w:pStyle w:val="TableContents"/>
              <w:spacing w:before="0" w:after="0"/>
              <w:ind w:left="0" w:right="0" w:hanging="0"/>
              <w:rPr>
                <w:sz w:val="20"/>
              </w:rPr>
            </w:pPr>
            <w:r>
              <w:rPr>
                <w:sz w:val="20"/>
              </w:rPr>
              <w:t>Name: Glynn Wilson</w:t>
            </w:r>
          </w:p>
          <w:p>
            <w:pPr>
              <w:pStyle w:val="TableContents"/>
              <w:spacing w:before="0" w:after="0"/>
              <w:ind w:left="0" w:right="0" w:hanging="0"/>
              <w:rPr>
                <w:sz w:val="20"/>
              </w:rPr>
            </w:pPr>
            <w:r>
              <w:rPr>
                <w:sz w:val="20"/>
              </w:rPr>
              <w:t>Chairman Chief Executive Officer,</w:t>
            </w:r>
          </w:p>
          <w:p>
            <w:pPr>
              <w:pStyle w:val="TableContents"/>
              <w:spacing w:before="0" w:after="0"/>
              <w:ind w:left="0" w:right="0" w:hanging="0"/>
              <w:rPr>
                <w:sz w:val="20"/>
              </w:rPr>
            </w:pPr>
            <w:r>
              <w:rPr>
                <w:sz w:val="20"/>
              </w:rPr>
              <w:t>Principal Executive Officer and Acting</w:t>
            </w:r>
          </w:p>
          <w:p>
            <w:pPr>
              <w:pStyle w:val="TableContents"/>
              <w:spacing w:before="0" w:after="0"/>
              <w:ind w:left="0" w:right="0" w:hanging="0"/>
              <w:rPr>
                <w:sz w:val="20"/>
              </w:rPr>
            </w:pPr>
            <w:r>
              <w:rPr>
                <w:sz w:val="20"/>
              </w:rPr>
              <w:t>Principal Accounting Officer </w:t>
            </w:r>
          </w:p>
        </w:tc>
        <w:tc>
          <w:tcPr>
            <w:tcW w:w="845"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jc w:val="right"/>
        <w:rPr>
          <w:b/>
          <w:sz w:val="22"/>
        </w:rPr>
      </w:pPr>
      <w:r>
        <w:br w:type="page"/>
      </w:r>
      <w:bookmarkStart w:id="6" w:name="exhibit321.htm"/>
      <w:bookmarkStart w:id="7" w:name="ksexhibit321"/>
      <w:bookmarkEnd w:id="6"/>
      <w:bookmarkEnd w:id="7"/>
      <w:r>
        <w:rPr>
          <w:b/>
          <w:sz w:val="22"/>
        </w:rPr>
        <w:t>Exhibit 32.1</w:t>
      </w:r>
    </w:p>
    <w:p>
      <w:pPr>
        <w:pStyle w:val="TextBody"/>
        <w:spacing w:before="210" w:after="0"/>
        <w:jc w:val="center"/>
        <w:rPr>
          <w:b/>
          <w:sz w:val="22"/>
        </w:rPr>
      </w:pPr>
      <w:r>
        <w:rPr>
          <w:b/>
          <w:sz w:val="22"/>
        </w:rPr>
        <w:t>CERTIFICATION OF PRINCIPAL EXECUTIVE OFFICER</w:t>
      </w:r>
    </w:p>
    <w:p>
      <w:pPr>
        <w:pStyle w:val="TextBody"/>
        <w:spacing w:before="210" w:after="0"/>
        <w:jc w:val="center"/>
        <w:rPr/>
      </w:pPr>
      <w:r>
        <w:rPr/>
        <w:t> </w:t>
      </w:r>
    </w:p>
    <w:p>
      <w:pPr>
        <w:pStyle w:val="TextBody"/>
        <w:spacing w:before="210" w:after="0"/>
        <w:jc w:val="center"/>
        <w:rPr>
          <w:b/>
          <w:sz w:val="22"/>
        </w:rPr>
      </w:pPr>
      <w:r>
        <w:rPr>
          <w:b/>
          <w:sz w:val="22"/>
        </w:rPr>
        <w:t>PURSUANT TO</w:t>
      </w:r>
    </w:p>
    <w:p>
      <w:pPr>
        <w:pStyle w:val="TextBody"/>
        <w:spacing w:before="0" w:after="0"/>
        <w:ind w:left="0" w:right="0" w:hanging="0"/>
        <w:jc w:val="center"/>
        <w:rPr>
          <w:b/>
        </w:rPr>
      </w:pPr>
      <w:r>
        <w:rPr>
          <w:b/>
        </w:rPr>
        <w:t>18 U.S.C. SECTION 1350,</w:t>
      </w:r>
    </w:p>
    <w:p>
      <w:pPr>
        <w:pStyle w:val="TextBody"/>
        <w:spacing w:before="0" w:after="0"/>
        <w:ind w:left="0" w:right="0" w:hanging="0"/>
        <w:jc w:val="center"/>
        <w:rPr>
          <w:b/>
        </w:rPr>
      </w:pPr>
      <w:r>
        <w:rPr>
          <w:b/>
        </w:rPr>
        <w:t>AS ADOPTED PURSUANT TO</w:t>
      </w:r>
    </w:p>
    <w:p>
      <w:pPr>
        <w:pStyle w:val="TextBody"/>
        <w:spacing w:before="0" w:after="0"/>
        <w:ind w:left="0" w:right="0" w:hanging="0"/>
        <w:jc w:val="center"/>
        <w:rPr>
          <w:b/>
        </w:rPr>
      </w:pPr>
      <w:r>
        <w:rPr>
          <w:b/>
        </w:rPr>
        <w:t>SECTION 906 OF THE SARBANES-OXLEY ACT OF 2002</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both"/>
        <w:rPr/>
      </w:pPr>
      <w:r>
        <w:rPr/>
      </w:r>
    </w:p>
    <w:p>
      <w:pPr>
        <w:pStyle w:val="TextBody"/>
        <w:spacing w:before="0" w:after="0"/>
        <w:ind w:left="0" w:right="0" w:hanging="0"/>
        <w:jc w:val="both"/>
        <w:rPr/>
      </w:pPr>
      <w:r>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September 30, 2013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18"/>
        <w:gridCol w:w="610"/>
        <w:gridCol w:w="5277"/>
        <w:gridCol w:w="800"/>
      </w:tblGrid>
      <w:tr>
        <w:trPr/>
        <w:tc>
          <w:tcPr>
            <w:tcW w:w="3518" w:type="dxa"/>
            <w:tcBorders/>
            <w:shd w:fill="auto" w:val="clear"/>
          </w:tcPr>
          <w:p>
            <w:pPr>
              <w:pStyle w:val="TableContents"/>
              <w:spacing w:before="0" w:after="283"/>
              <w:ind w:left="0" w:right="0" w:hanging="0"/>
              <w:rPr>
                <w:sz w:val="4"/>
                <w:szCs w:val="4"/>
              </w:rPr>
            </w:pPr>
            <w:r>
              <w:rPr>
                <w:sz w:val="4"/>
                <w:szCs w:val="4"/>
              </w:rPr>
            </w:r>
          </w:p>
        </w:tc>
        <w:tc>
          <w:tcPr>
            <w:tcW w:w="610" w:type="dxa"/>
            <w:tcBorders/>
            <w:shd w:fill="auto" w:val="clear"/>
          </w:tcPr>
          <w:p>
            <w:pPr>
              <w:pStyle w:val="TableContents"/>
              <w:spacing w:before="0" w:after="0"/>
              <w:ind w:left="0" w:right="0" w:hanging="0"/>
              <w:rPr/>
            </w:pPr>
            <w:r>
              <w:rPr/>
              <w:t>  </w:t>
            </w:r>
          </w:p>
        </w:tc>
        <w:tc>
          <w:tcPr>
            <w:tcW w:w="5277" w:type="dxa"/>
            <w:tcBorders/>
            <w:shd w:fill="auto" w:val="clear"/>
          </w:tcPr>
          <w:p>
            <w:pPr>
              <w:pStyle w:val="TableContents"/>
              <w:spacing w:before="0" w:after="0"/>
              <w:ind w:left="0" w:right="0" w:hanging="0"/>
              <w:rPr/>
            </w:pPr>
            <w:r>
              <w:rPr/>
              <w:t>  </w:t>
            </w:r>
          </w:p>
        </w:tc>
        <w:tc>
          <w:tcPr>
            <w:tcW w:w="800" w:type="dxa"/>
            <w:tcBorders/>
            <w:shd w:fill="auto" w:val="clear"/>
          </w:tcPr>
          <w:p>
            <w:pPr>
              <w:pStyle w:val="TableContents"/>
              <w:spacing w:before="0" w:after="0"/>
              <w:ind w:left="0" w:right="0" w:hanging="0"/>
              <w:rPr/>
            </w:pPr>
            <w:r>
              <w:rPr/>
              <w:t>  </w:t>
            </w:r>
          </w:p>
        </w:tc>
      </w:tr>
      <w:tr>
        <w:trPr/>
        <w:tc>
          <w:tcPr>
            <w:tcW w:w="3518" w:type="dxa"/>
            <w:tcBorders/>
            <w:shd w:fill="auto" w:val="clear"/>
          </w:tcPr>
          <w:p>
            <w:pPr>
              <w:pStyle w:val="TableContents"/>
              <w:spacing w:before="0" w:after="0"/>
              <w:ind w:left="0" w:right="0" w:hanging="0"/>
              <w:rPr/>
            </w:pPr>
            <w:r>
              <w:rPr/>
              <w:t>Date: November 19, 2013</w:t>
            </w:r>
          </w:p>
        </w:tc>
        <w:tc>
          <w:tcPr>
            <w:tcW w:w="610" w:type="dxa"/>
            <w:tcBorders/>
            <w:shd w:fill="auto" w:val="clear"/>
          </w:tcPr>
          <w:p>
            <w:pPr>
              <w:pStyle w:val="TableContents"/>
              <w:spacing w:before="0" w:after="0"/>
              <w:ind w:left="0" w:right="0" w:hanging="0"/>
              <w:rPr/>
            </w:pPr>
            <w:r>
              <w:rPr/>
              <w:t>By: </w:t>
            </w:r>
          </w:p>
        </w:tc>
        <w:tc>
          <w:tcPr>
            <w:tcW w:w="5277" w:type="dxa"/>
            <w:tcBorders>
              <w:bottom w:val="single" w:sz="2" w:space="0" w:color="000000"/>
            </w:tcBorders>
            <w:shd w:fill="auto" w:val="clear"/>
            <w:tcMar>
              <w:bottom w:w="28" w:type="dxa"/>
            </w:tcMar>
          </w:tcPr>
          <w:p>
            <w:pPr>
              <w:pStyle w:val="TableContents"/>
              <w:spacing w:before="0" w:after="0"/>
              <w:ind w:left="0" w:right="0" w:hanging="0"/>
              <w:rPr/>
            </w:pPr>
            <w:r>
              <w:rPr/>
              <w:t xml:space="preserve">/s/ </w:t>
            </w:r>
            <w:r>
              <w:rPr>
                <w:rStyle w:val="Emphasis"/>
              </w:rPr>
              <w:t>Glynn Wilson</w:t>
            </w:r>
          </w:p>
        </w:tc>
        <w:tc>
          <w:tcPr>
            <w:tcW w:w="800" w:type="dxa"/>
            <w:tcBorders/>
            <w:shd w:fill="auto" w:val="clear"/>
          </w:tcPr>
          <w:p>
            <w:pPr>
              <w:pStyle w:val="TableContents"/>
              <w:spacing w:before="0" w:after="0"/>
              <w:ind w:left="0" w:right="0" w:hanging="0"/>
              <w:rPr/>
            </w:pPr>
            <w:r>
              <w:rPr/>
              <w:t>  </w:t>
            </w:r>
          </w:p>
        </w:tc>
      </w:tr>
      <w:tr>
        <w:trPr/>
        <w:tc>
          <w:tcPr>
            <w:tcW w:w="3518" w:type="dxa"/>
            <w:tcBorders/>
            <w:shd w:fill="auto" w:val="clear"/>
          </w:tcPr>
          <w:p>
            <w:pPr>
              <w:pStyle w:val="TableContents"/>
              <w:spacing w:before="0" w:after="0"/>
              <w:ind w:left="0" w:right="0" w:hanging="0"/>
              <w:rPr/>
            </w:pPr>
            <w:r>
              <w:rPr/>
              <w:t> </w:t>
            </w:r>
          </w:p>
        </w:tc>
        <w:tc>
          <w:tcPr>
            <w:tcW w:w="610" w:type="dxa"/>
            <w:tcBorders/>
            <w:shd w:fill="auto" w:val="clear"/>
          </w:tcPr>
          <w:p>
            <w:pPr>
              <w:pStyle w:val="TableContents"/>
              <w:spacing w:before="0" w:after="0"/>
              <w:ind w:left="0" w:right="0" w:hanging="0"/>
              <w:rPr/>
            </w:pPr>
            <w:r>
              <w:rPr/>
              <w:t> </w:t>
            </w:r>
          </w:p>
        </w:tc>
        <w:tc>
          <w:tcPr>
            <w:tcW w:w="5277" w:type="dxa"/>
            <w:tcBorders/>
            <w:shd w:fill="auto" w:val="clear"/>
          </w:tcPr>
          <w:p>
            <w:pPr>
              <w:pStyle w:val="TableContents"/>
              <w:spacing w:before="0" w:after="0"/>
              <w:ind w:left="0" w:right="0" w:hanging="0"/>
              <w:rPr/>
            </w:pPr>
            <w:r>
              <w:rPr/>
              <w:t>Name: Glynn Wilson</w:t>
            </w:r>
          </w:p>
          <w:p>
            <w:pPr>
              <w:pStyle w:val="TableContents"/>
              <w:spacing w:before="0" w:after="0"/>
              <w:ind w:left="0" w:right="0" w:hanging="0"/>
              <w:rPr/>
            </w:pPr>
            <w:r>
              <w:rPr/>
              <w:t>Chairman Chief Executive Officer,</w:t>
            </w:r>
          </w:p>
          <w:p>
            <w:pPr>
              <w:pStyle w:val="TableContents"/>
              <w:spacing w:before="0" w:after="0"/>
              <w:ind w:left="0" w:right="0" w:hanging="0"/>
              <w:rPr/>
            </w:pPr>
            <w:r>
              <w:rPr/>
              <w:t>Principal Executive Officer and Acting</w:t>
            </w:r>
          </w:p>
          <w:p>
            <w:pPr>
              <w:pStyle w:val="TableContents"/>
              <w:spacing w:before="0" w:after="0"/>
              <w:ind w:left="0" w:right="0" w:hanging="0"/>
              <w:rPr/>
            </w:pPr>
            <w:r>
              <w:rPr/>
              <w:t>Principal Accounting Officer </w:t>
            </w:r>
          </w:p>
        </w:tc>
        <w:tc>
          <w:tcPr>
            <w:tcW w:w="800" w:type="dxa"/>
            <w:tcBorders/>
            <w:shd w:fill="auto" w:val="clear"/>
          </w:tcPr>
          <w:p>
            <w:pPr>
              <w:pStyle w:val="TableContents"/>
              <w:spacing w:before="0" w:after="283"/>
              <w:rPr>
                <w:sz w:val="4"/>
                <w:szCs w:val="4"/>
              </w:rPr>
            </w:pPr>
            <w:r>
              <w:rPr>
                <w:sz w:val="4"/>
                <w:szCs w:val="4"/>
              </w:rPr>
            </w:r>
          </w:p>
        </w:tc>
      </w:tr>
    </w:tbl>
    <w:p>
      <w:pPr>
        <w:pStyle w:val="TextBody"/>
        <w:spacing w:before="0" w:after="0"/>
        <w:ind w:left="0" w:right="0" w:hanging="0"/>
        <w:jc w:val="both"/>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Wingdings">
    <w:charset w:val="00"/>
    <w:family w:val="auto"/>
    <w:pitch w:val="default"/>
  </w:font>
  <w:font w:name="Times New Roman">
    <w:charset w:val="00"/>
    <w:family w:val="auto"/>
    <w:pitch w:val="default"/>
  </w:font>
  <w:font w:name="Times New Roman Bold">
    <w:altName w:val="Times New Roman"/>
    <w:charset w:val="00"/>
    <w:family w:val="auto"/>
    <w:pitch w:val="default"/>
  </w:font>
  <w:font w:name="times new roman">
    <w:charset w:val="00"/>
    <w:family w:val="auto"/>
    <w:pitch w:val="default"/>
  </w:font>
  <w:font w:name="Arial Unicode MS">
    <w:altName w:val="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27872</Words>
  <CharactersWithSpaces>174706</CharactersWithSpaces>
  <Paragraphs>2586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