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Prospectus Supplement No. 1 File Pursuant to Rule 424(b)(3)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7, 2015) Registration Statement No. 333-205757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2084070" cy="1063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24,640,000 Shares of Common Stock</w:t>
      </w:r>
    </w:p>
    <w:p>
      <w:pPr>
        <w:spacing w:after="0" w:line="229"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supplement no. 1 supplements the prospectus dated August 7, 2015, which forms a part of our registration statement Form S-1 (Registration Statement No. 333-205757) relating to the resale of up to 24,640,000 shares of our common stock by the selling stockholders named in the “Selling Stockholders” section of the prospectus. We will not receive any proceeds from the sale of our shares by the selling stockholders.</w:t>
      </w:r>
    </w:p>
    <w:p>
      <w:pPr>
        <w:spacing w:after="0" w:line="166"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supplement is being filed to update and supplement the information included or incorporated by reference in the prospectus with the information contained in our Quarterly Report on Form 10-Q, filed with the Securities and Exchange Commission on November 16, 2015 (the “Report”). Accordingly, we have attached the Report to this prospectus supplement.</w:t>
      </w:r>
    </w:p>
    <w:p>
      <w:pPr>
        <w:spacing w:after="0" w:line="181" w:lineRule="exact"/>
        <w:rPr>
          <w:sz w:val="24"/>
          <w:szCs w:val="24"/>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attached information amends and supplements certain information contained in the prospectus. This prospectus supplement is not complete without, and should not be delivered or utilized, except in conjunction with the prospectus, including any supplements and amendments thereto. You should read this prospectus supplement in conjunction with the prospectus, including any supplements and amendments thereto.</w:t>
      </w:r>
    </w:p>
    <w:p>
      <w:pPr>
        <w:spacing w:after="0" w:line="16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traded on the OTCQB marketplace under the symbol “TPIV.” On November 16, 2015, the last reported closing price of our common stock was $0.64 per share.</w:t>
      </w:r>
    </w:p>
    <w:p>
      <w:pPr>
        <w:spacing w:after="0" w:line="180"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auto"/>
        </w:rPr>
        <w:t>Investing in our common stock involves risks. You should carefully consider the risk factors for our business, our industry and our securities, which begin on page 1 of the prospectus, as well as any updates to such risk factors included in any supplements and amendments thereto.</w:t>
      </w:r>
    </w:p>
    <w:p>
      <w:pPr>
        <w:spacing w:after="0" w:line="11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 FINANCIAL INFORMATION</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Interim Financial Statements</w:t>
            </w:r>
          </w:p>
        </w:tc>
        <w:tc>
          <w:tcPr>
            <w:tcW w:w="1540" w:type="dxa"/>
            <w:vAlign w:val="bottom"/>
          </w:tcPr>
          <w:p>
            <w:pPr>
              <w:spacing w:after="0"/>
              <w:rPr>
                <w:sz w:val="24"/>
                <w:szCs w:val="24"/>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Consolidated Balance Sheets as of September 30, 2015 and December 31,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r>
      <w:tr>
        <w:trPr>
          <w:trHeight w:val="418"/>
        </w:trPr>
        <w:tc>
          <w:tcPr>
            <w:tcW w:w="9880" w:type="dxa"/>
            <w:vAlign w:val="bottom"/>
          </w:tcPr>
          <w:p>
            <w:pPr>
              <w:spacing w:after="0"/>
              <w:rPr>
                <w:sz w:val="20"/>
                <w:szCs w:val="20"/>
                <w:color w:val="auto"/>
              </w:rPr>
            </w:pPr>
            <w:r>
              <w:rPr>
                <w:rFonts w:ascii="Arial" w:cs="Arial" w:eastAsia="Arial" w:hAnsi="Arial"/>
                <w:sz w:val="18"/>
                <w:szCs w:val="18"/>
                <w:color w:val="auto"/>
                <w:w w:val="98"/>
              </w:rPr>
              <w:t>Condensed Consolidated Statements of Operations and Comprehensive Income (Loss) for the Three and Nine Months Ended</w:t>
            </w:r>
          </w:p>
        </w:tc>
        <w:tc>
          <w:tcPr>
            <w:tcW w:w="1540" w:type="dxa"/>
            <w:vAlign w:val="bottom"/>
          </w:tcPr>
          <w:p>
            <w:pPr>
              <w:spacing w:after="0"/>
              <w:rPr>
                <w:sz w:val="24"/>
                <w:szCs w:val="24"/>
                <w:color w:val="auto"/>
              </w:rPr>
            </w:pP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September 30, 2015 and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w w:val="95"/>
              </w:rPr>
              <w:t>Condensed Consolidated Statement of Stockholders' Equity (Deficit) for the Nine Months Ended September 30, 2015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5</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Consolidated Statements of Cash Flows for the Nine Months Ended September 30, 2015 and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Unaudited Notes to Condensed Consolidated Financial Statements</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8</w:t>
            </w:r>
          </w:p>
        </w:tc>
      </w:tr>
      <w:tr>
        <w:trPr>
          <w:trHeight w:val="223"/>
        </w:trPr>
        <w:tc>
          <w:tcPr>
            <w:tcW w:w="9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145"/>
        </w:trPr>
        <w:tc>
          <w:tcPr>
            <w:tcW w:w="98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6"/>
              </w:rPr>
              <w:t>September 30,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December 31,</w:t>
            </w:r>
          </w:p>
        </w:tc>
      </w:tr>
      <w:tr>
        <w:trPr>
          <w:trHeight w:val="237"/>
        </w:trPr>
        <w:tc>
          <w:tcPr>
            <w:tcW w:w="5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r>
      <w:tr>
        <w:trPr>
          <w:trHeight w:val="414"/>
        </w:trPr>
        <w:tc>
          <w:tcPr>
            <w:tcW w:w="8700" w:type="dxa"/>
            <w:vAlign w:val="bottom"/>
            <w:tcBorders>
              <w:top w:val="single" w:sz="8" w:color="auto"/>
            </w:tcBorders>
            <w:gridSpan w:val="2"/>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Cash</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6,087,016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141,944</w:t>
            </w:r>
          </w:p>
        </w:tc>
      </w:tr>
      <w:tr>
        <w:trPr>
          <w:trHeight w:val="230"/>
        </w:trPr>
        <w:tc>
          <w:tcPr>
            <w:tcW w:w="552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138,286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82,504</w:t>
            </w:r>
          </w:p>
        </w:tc>
      </w:tr>
      <w:tr>
        <w:trPr>
          <w:trHeight w:val="27"/>
        </w:trPr>
        <w:tc>
          <w:tcPr>
            <w:tcW w:w="552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5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6,225,302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r>
      <w:tr>
        <w:trPr>
          <w:trHeight w:val="21"/>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8920" w:type="dxa"/>
            <w:vAlign w:val="bottom"/>
            <w:gridSpan w:val="4"/>
          </w:tcPr>
          <w:p>
            <w:pPr>
              <w:ind w:left="324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874,628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693,362</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Research agreement obligations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Derivative liability – warrants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7,426,684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9,415</w:t>
            </w:r>
          </w:p>
        </w:tc>
      </w:tr>
      <w:tr>
        <w:trPr>
          <w:trHeight w:val="237"/>
        </w:trPr>
        <w:tc>
          <w:tcPr>
            <w:tcW w:w="5520" w:type="dxa"/>
            <w:vAlign w:val="bottom"/>
          </w:tcPr>
          <w:p>
            <w:pPr>
              <w:ind w:left="100"/>
              <w:spacing w:after="0"/>
              <w:rPr>
                <w:sz w:val="20"/>
                <w:szCs w:val="20"/>
                <w:color w:val="auto"/>
              </w:rPr>
            </w:pPr>
            <w:r>
              <w:rPr>
                <w:rFonts w:ascii="Arial" w:cs="Arial" w:eastAsia="Arial" w:hAnsi="Arial"/>
                <w:sz w:val="18"/>
                <w:szCs w:val="18"/>
                <w:color w:val="auto"/>
              </w:rPr>
              <w:t>Promissory notes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52,942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52,942</w:t>
            </w: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gridSpan w:val="4"/>
          </w:tcPr>
          <w:p>
            <w:pPr>
              <w:ind w:left="180"/>
              <w:spacing w:after="0"/>
              <w:rPr>
                <w:sz w:val="20"/>
                <w:szCs w:val="20"/>
                <w:color w:val="auto"/>
              </w:rPr>
            </w:pPr>
            <w:r>
              <w:rPr>
                <w:rFonts w:ascii="Arial" w:cs="Arial" w:eastAsia="Arial" w:hAnsi="Arial"/>
                <w:sz w:val="18"/>
                <w:szCs w:val="18"/>
                <w:color w:val="auto"/>
                <w:w w:val="92"/>
              </w:rPr>
              <w:t>Series A, $0.001 par value, 1,250,000 shares designated, -0- shares issued and outstanding as of September 30, 2015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88"/>
              </w:rPr>
              <w:t>Series B, $0.001 par value, 1,500,000 shares designated, -0- shares issued</w:t>
            </w:r>
          </w:p>
        </w:tc>
        <w:tc>
          <w:tcPr>
            <w:tcW w:w="340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and outstanding as of September 30, 2015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62,890,763 shares issued and outstanding (2014 – 20,318,815)</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62,891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20,319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100,568,900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85,265,776</w:t>
            </w: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Accumulated deficit</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(103,253,108)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(86,309,731)</w:t>
            </w: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(2,621,317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2"/>
        </w:trPr>
        <w:tc>
          <w:tcPr>
            <w:tcW w:w="5520" w:type="dxa"/>
            <w:vAlign w:val="bottom"/>
          </w:tcPr>
          <w:p>
            <w:pPr>
              <w:spacing w:after="0"/>
              <w:rPr>
                <w:sz w:val="24"/>
                <w:szCs w:val="24"/>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6,225,302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r>
      <w:tr>
        <w:trPr>
          <w:trHeight w:val="21"/>
        </w:trPr>
        <w:tc>
          <w:tcPr>
            <w:tcW w:w="55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968,759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1,351,209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2,324,432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2,899,181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769,219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32,500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1,579,754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1,383,709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(1,737,978)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(1,383,709)</w:t>
            </w: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(3,904,186)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(2,976,681)</w:t>
            </w: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Foreign exchange gain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4,246,663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(74,062)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(4,759,269)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(8,256,000)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and finance charges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(15,425)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Shares issued in settlement agreement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(94,640)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(26,837,837)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for the Period</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2,483,988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(1,567,836)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(16,943,377)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(30,146,586)</w:t>
            </w:r>
          </w:p>
        </w:tc>
        <w:tc>
          <w:tcPr>
            <w:tcW w:w="0" w:type="dxa"/>
            <w:vAlign w:val="bottom"/>
          </w:tcPr>
          <w:p>
            <w:pPr>
              <w:spacing w:after="0"/>
              <w:rPr>
                <w:sz w:val="1"/>
                <w:szCs w:val="1"/>
                <w:color w:val="auto"/>
              </w:rPr>
            </w:pPr>
          </w:p>
        </w:tc>
      </w:tr>
      <w:tr>
        <w:trPr>
          <w:trHeight w:val="634"/>
        </w:trPr>
        <w:tc>
          <w:tcPr>
            <w:tcW w:w="5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2,483,988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(1,564,864)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(16,943,377)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(30,143,821)</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40" w:type="dxa"/>
            <w:vAlign w:val="bottom"/>
          </w:tcPr>
          <w:p>
            <w:pPr>
              <w:spacing w:after="0" w:line="191" w:lineRule="exact"/>
              <w:rPr>
                <w:sz w:val="20"/>
                <w:szCs w:val="20"/>
                <w:color w:val="auto"/>
              </w:rPr>
            </w:pPr>
            <w:r>
              <w:rPr>
                <w:rFonts w:ascii="Arial" w:cs="Arial" w:eastAsia="Arial" w:hAnsi="Arial"/>
                <w:sz w:val="18"/>
                <w:szCs w:val="18"/>
                <w:b w:val="1"/>
                <w:bCs w:val="1"/>
                <w:color w:val="auto"/>
              </w:rPr>
              <w:t>Basic Net Income (Loss) per Share</w:t>
            </w:r>
          </w:p>
        </w:tc>
        <w:tc>
          <w:tcPr>
            <w:tcW w:w="120" w:type="dxa"/>
            <w:vAlign w:val="bottom"/>
            <w:vMerge w:val="continue"/>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color w:val="auto"/>
              </w:rPr>
              <w:t>0.05</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color w:val="auto"/>
              </w:rPr>
              <w:t>(0.09)</w:t>
            </w:r>
          </w:p>
        </w:tc>
        <w:tc>
          <w:tcPr>
            <w:tcW w:w="20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(0.46)</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(2.27)</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Basic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48,585,003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17,310,708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36,651,565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13,292,886</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Diluted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80,944,993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17,310,708</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36,651,565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13,292,886</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Paid 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0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January 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20,318,816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85,265,776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(86,309,731)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(1,023,636)</w:t>
            </w: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Accounts payable settled in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118,450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21,795</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21,913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Private placement (net of finders’ fee of $454,000)</w:t>
            </w:r>
          </w:p>
        </w:tc>
        <w:tc>
          <w:tcPr>
            <w:tcW w:w="1160" w:type="dxa"/>
            <w:vAlign w:val="bottom"/>
          </w:tcPr>
          <w:p>
            <w:pPr>
              <w:jc w:val="right"/>
              <w:spacing w:after="0"/>
              <w:rPr>
                <w:sz w:val="20"/>
                <w:szCs w:val="20"/>
                <w:color w:val="auto"/>
              </w:rPr>
            </w:pPr>
            <w:r>
              <w:rPr>
                <w:rFonts w:ascii="Arial" w:cs="Arial" w:eastAsia="Arial" w:hAnsi="Arial"/>
                <w:sz w:val="18"/>
                <w:szCs w:val="18"/>
                <w:color w:val="auto"/>
              </w:rPr>
              <w:t>12,363,447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1,997,144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2,009,506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Fair value of warrants recognized as derivative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(2,090,000)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(2,090,000)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29,639,990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7,398,358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7,427,998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Inducement expense on incremental value associated with</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modified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7,688,000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in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49,950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26,424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400,110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261,404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261,806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(16,943,3770)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160" w:type="dxa"/>
            <w:vAlign w:val="bottom"/>
          </w:tcPr>
          <w:p>
            <w:pPr>
              <w:jc w:val="right"/>
              <w:spacing w:after="0"/>
              <w:rPr>
                <w:sz w:val="20"/>
                <w:szCs w:val="20"/>
                <w:color w:val="auto"/>
              </w:rPr>
            </w:pPr>
            <w:r>
              <w:rPr>
                <w:rFonts w:ascii="Arial" w:cs="Arial" w:eastAsia="Arial" w:hAnsi="Arial"/>
                <w:sz w:val="18"/>
                <w:szCs w:val="18"/>
                <w:color w:val="auto"/>
              </w:rPr>
              <w:t>62,890,763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62,891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100,568,901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(103,253,108)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(2,621,316)</w:t>
            </w: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Nine Months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Nine Months</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(30,146,586)</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4,759,269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(243,475)</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26,837,837</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agreement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492,296</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261,805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1,265,625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(55,782)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37"/>
        </w:trPr>
        <w:tc>
          <w:tcPr>
            <w:tcW w:w="2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204,956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291,359</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USED IN</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(3,492,432)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(1,517,944)</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20" w:type="dxa"/>
            <w:vAlign w:val="bottom"/>
          </w:tcPr>
          <w:p>
            <w:pPr>
              <w:spacing w:after="0"/>
              <w:rPr>
                <w:sz w:val="24"/>
                <w:szCs w:val="24"/>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Private placement, net of finders’ fee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2,009,506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2,097,500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exercise of warrants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7,427,998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37"/>
        </w:trPr>
        <w:tc>
          <w:tcPr>
            <w:tcW w:w="20" w:type="dxa"/>
            <w:vAlign w:val="bottom"/>
          </w:tcPr>
          <w:p>
            <w:pPr>
              <w:spacing w:after="0"/>
              <w:rPr>
                <w:sz w:val="20"/>
                <w:szCs w:val="20"/>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Repayment of promissory notes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PROVIDED BY</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9,437,504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2,083,000</w:t>
            </w:r>
          </w:p>
        </w:tc>
      </w:tr>
      <w:tr>
        <w:trPr>
          <w:trHeight w:val="27"/>
        </w:trPr>
        <w:tc>
          <w:tcPr>
            <w:tcW w:w="87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5,945,072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565,056</w:t>
            </w: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141,944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48,589</w:t>
            </w:r>
          </w:p>
        </w:tc>
      </w:tr>
      <w:tr>
        <w:trPr>
          <w:trHeight w:val="216"/>
        </w:trPr>
        <w:tc>
          <w:tcPr>
            <w:tcW w:w="8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613,645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683,000</w:t>
            </w: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476,000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3,797,000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Loans payable, related party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September 30,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220" w:lineRule="exact"/>
        <w:rPr>
          <w:sz w:val="20"/>
          <w:szCs w:val="20"/>
          <w:color w:val="auto"/>
        </w:rPr>
      </w:pPr>
    </w:p>
    <w:p>
      <w:pPr>
        <w:jc w:val="both"/>
        <w:ind w:firstLine="53"/>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2015, the Company had cash and cash equivalents of approximately $6,087,000.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categories of the comparable prior period have been reclassified for comparability with the September 30, 2015 presentation. These reclassifications had no effect on previously reported net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SHARE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income (loss) per share: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8"/>
                <w:szCs w:val="18"/>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2,483,988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(1,567,836)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(30,146,586)</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48,583,003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17,310,708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36,651,565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13,292,886</w:t>
            </w:r>
          </w:p>
        </w:tc>
        <w:tc>
          <w:tcPr>
            <w:tcW w:w="6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Common stock warrants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31,959,990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Common stock options</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80,944,993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17,310,708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36,651,565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13,292,886</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Net loss per share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Options, warrants, and convertible debt outstanding were all considered anti-dilutive for the nine months ended September 30, 2015 and 2014, due to net losses.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27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866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465,000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65,000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47,032,000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Common stock warrants - liability treatment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12,514,000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49,000</w:t>
            </w: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60,011,000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306,000</w:t>
            </w:r>
          </w:p>
        </w:tc>
        <w:tc>
          <w:tcPr>
            <w:tcW w:w="100" w:type="dxa"/>
            <w:vAlign w:val="bottom"/>
          </w:tcPr>
          <w:p>
            <w:pPr>
              <w:spacing w:after="0"/>
              <w:rPr>
                <w:sz w:val="18"/>
                <w:szCs w:val="18"/>
                <w:color w:val="auto"/>
              </w:rPr>
            </w:pPr>
          </w:p>
        </w:tc>
      </w:tr>
      <w:tr>
        <w:trPr>
          <w:trHeight w:val="21"/>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DERIVATIVE LIABILITY - WARRANTS AND DERIVATIVE LIABILITY – CONVERSION OPTION</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2015 and 2014 is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Stock Purchase Warrants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For the Nine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For the Nine</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Ending</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0.13</w:t>
            </w:r>
          </w:p>
        </w:tc>
        <w:tc>
          <w:tcPr>
            <w:tcW w:w="26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5.84</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Volatility (annual)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158.00%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156.00%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Risk-free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8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As of September 30, 2015</w:t>
            </w: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300"/>
              <w:spacing w:after="0" w:line="201" w:lineRule="exact"/>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w w:val="91"/>
              </w:rPr>
              <w:t>Level 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line="201" w:lineRule="exact"/>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7,427,000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7,427,000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7,427,000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7,427,000</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As of December 31, 2014</w:t>
            </w: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Fair Value Measurements</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520"/>
              <w:spacing w:after="0" w:line="201" w:lineRule="exact"/>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210"/>
              <w:spacing w:after="0" w:line="201" w:lineRule="exact"/>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8"/>
              </w:rPr>
              <w:t>Level 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w w:val="99"/>
              </w:rPr>
              <w:t>The following table presents changes in Level 3 liabilities measured at fair value for the nine months ended September 30,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02"/>
        </w:trPr>
        <w:tc>
          <w:tcPr>
            <w:tcW w:w="10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liability –</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warrants</w:t>
            </w:r>
          </w:p>
        </w:tc>
        <w:tc>
          <w:tcPr>
            <w:tcW w:w="0" w:type="dxa"/>
            <w:vAlign w:val="bottom"/>
          </w:tcPr>
          <w:p>
            <w:pPr>
              <w:spacing w:after="0"/>
              <w:rPr>
                <w:sz w:val="1"/>
                <w:szCs w:val="1"/>
                <w:color w:val="auto"/>
              </w:rPr>
            </w:pP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Balance – December 31, 2014</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2,659,000</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4,760,000</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Balance – September 30, 2015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7,428,000</w:t>
            </w:r>
          </w:p>
        </w:tc>
        <w:tc>
          <w:tcPr>
            <w:tcW w:w="0" w:type="dxa"/>
            <w:vAlign w:val="bottom"/>
          </w:tcPr>
          <w:p>
            <w:pPr>
              <w:spacing w:after="0"/>
              <w:rPr>
                <w:sz w:val="1"/>
                <w:szCs w:val="1"/>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the Company entered into numerous extinguishment agreements with various convertible note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Conversion Option</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6"/>
              </w:rPr>
              <w:t>Period</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8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90"/>
              <w:spacing w:after="0" w:line="198" w:lineRule="exact"/>
              <w:rPr>
                <w:sz w:val="20"/>
                <w:szCs w:val="20"/>
                <w:color w:val="auto"/>
              </w:rPr>
            </w:pPr>
            <w:r>
              <w:rPr>
                <w:rFonts w:ascii="Arial" w:cs="Arial" w:eastAsia="Arial" w:hAnsi="Arial"/>
                <w:sz w:val="18"/>
                <w:szCs w:val="18"/>
                <w:b w:val="1"/>
                <w:bCs w:val="1"/>
                <w:color w:val="auto"/>
                <w:w w:val="91"/>
              </w:rPr>
              <w:t>For the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Date of valuation</w:t>
            </w: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r>
      <w:tr>
        <w:trPr>
          <w:trHeight w:val="202"/>
        </w:trPr>
        <w:tc>
          <w:tcPr>
            <w:tcW w:w="8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Volatility (annual)</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199.00%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Dividend yield (per share)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Conversion Option at extinguishment</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PROMISSORY NOTES, RELATED PARTY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outstanding promissory notes in the amount of $52,942 (December 31, 2014 - $52,942), of which $23,000 of promissory notes relate to amounts owed to an officer and a director of the Company. The promissory notes bear no interest charges and have no fixed repayment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jc w:val="both"/>
        <w:ind w:firstLine="8"/>
        <w:spacing w:after="0" w:line="252" w:lineRule="auto"/>
        <w:tabs>
          <w:tab w:leader="none" w:pos="22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$1,346,000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$4,635,000 and was included within equity.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$744,000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$2,588,000 and was included within equity.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264"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incremental fair value of Series A warrants due to repricing was determined to be $568,000 and recognized as a derivative liability with a corresponding inducement expense in the Statement of Operations.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incremental fair value of Series B and Series C warrants due to repricing and increasing the number of warrants was determined to be $7,688,000. The fair value of these warrants was recognized as additional paid-in capital with a corresponding inducement expense in the Statement of Operations.</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fair value was estimated immediately prior to the date of the restructuring agreement using the Black-Scholes option pricing model with the following weighted average assumptions:</w:t>
      </w:r>
    </w:p>
    <w:tbl>
      <w:tblPr>
        <w:tblLayout w:type="fixed"/>
        <w:tblInd w:w="0" w:type="dxa"/>
        <w:tblCellMar>
          <w:top w:w="0" w:type="dxa"/>
          <w:left w:w="0" w:type="dxa"/>
          <w:bottom w:w="0" w:type="dxa"/>
          <w:right w:w="0" w:type="dxa"/>
        </w:tblCellMar>
      </w:tblPr>
      <w:tr>
        <w:trPr>
          <w:trHeight w:val="199"/>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60"/>
              <w:spacing w:after="0" w:line="200" w:lineRule="exact"/>
              <w:rPr>
                <w:sz w:val="20"/>
                <w:szCs w:val="20"/>
                <w:color w:val="auto"/>
              </w:rPr>
            </w:pPr>
            <w:r>
              <w:rPr>
                <w:rFonts w:ascii="Arial" w:cs="Arial" w:eastAsia="Arial" w:hAnsi="Arial"/>
                <w:sz w:val="18"/>
                <w:szCs w:val="18"/>
                <w:b w:val="1"/>
                <w:bCs w:val="1"/>
                <w:color w:val="auto"/>
              </w:rPr>
              <w:t>Weighted</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Average Inputs</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May 28, 2015</w:t>
            </w:r>
          </w:p>
        </w:tc>
      </w:tr>
      <w:tr>
        <w:trPr>
          <w:trHeight w:val="202"/>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0.40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7"/>
                <w:szCs w:val="17"/>
                <w:color w:val="auto"/>
              </w:rPr>
            </w:pPr>
          </w:p>
        </w:tc>
      </w:tr>
      <w:tr>
        <w:trPr>
          <w:trHeight w:val="176"/>
        </w:trPr>
        <w:tc>
          <w:tcPr>
            <w:tcW w:w="10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127.00 –</w:t>
            </w:r>
          </w:p>
        </w:tc>
      </w:tr>
      <w:tr>
        <w:trPr>
          <w:trHeight w:val="256"/>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38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jc w:val="both"/>
        <w:ind w:right="20"/>
        <w:spacing w:after="0" w:line="258" w:lineRule="auto"/>
        <w:rPr>
          <w:sz w:val="20"/>
          <w:szCs w:val="20"/>
          <w:color w:val="auto"/>
        </w:rPr>
      </w:pPr>
      <w:r>
        <w:rPr>
          <w:rFonts w:ascii="Arial" w:cs="Arial" w:eastAsia="Arial" w:hAnsi="Arial"/>
          <w:sz w:val="18"/>
          <w:szCs w:val="18"/>
          <w:color w:val="auto"/>
        </w:rPr>
        <w:t>The fair value was estimated immediately after, on the date of the restructuring agreement, using the Black-Scholes option pricing model with the following weighted average assumptions:</w:t>
      </w:r>
    </w:p>
    <w:tbl>
      <w:tblPr>
        <w:tblLayout w:type="fixed"/>
        <w:tblInd w:w="0" w:type="dxa"/>
        <w:tblCellMar>
          <w:top w:w="0" w:type="dxa"/>
          <w:left w:w="0" w:type="dxa"/>
          <w:bottom w:w="0" w:type="dxa"/>
          <w:right w:w="0" w:type="dxa"/>
        </w:tblCellMar>
      </w:tblPr>
      <w:tr>
        <w:trPr>
          <w:trHeight w:val="199"/>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60"/>
              <w:spacing w:after="0" w:line="200" w:lineRule="exact"/>
              <w:rPr>
                <w:sz w:val="20"/>
                <w:szCs w:val="20"/>
                <w:color w:val="auto"/>
              </w:rPr>
            </w:pPr>
            <w:r>
              <w:rPr>
                <w:rFonts w:ascii="Arial" w:cs="Arial" w:eastAsia="Arial" w:hAnsi="Arial"/>
                <w:sz w:val="18"/>
                <w:szCs w:val="18"/>
                <w:b w:val="1"/>
                <w:bCs w:val="1"/>
                <w:color w:val="auto"/>
              </w:rPr>
              <w:t>Weighted</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Average Inputs</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May 28, 2015</w:t>
            </w:r>
          </w:p>
        </w:tc>
      </w:tr>
      <w:tr>
        <w:trPr>
          <w:trHeight w:val="202"/>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0.50</w:t>
            </w:r>
          </w:p>
        </w:tc>
        <w:tc>
          <w:tcPr>
            <w:tcW w:w="140" w:type="dxa"/>
            <w:vAlign w:val="bottom"/>
          </w:tcPr>
          <w:p>
            <w:pPr>
              <w:spacing w:after="0"/>
              <w:rPr>
                <w:sz w:val="17"/>
                <w:szCs w:val="17"/>
                <w:color w:val="auto"/>
              </w:rPr>
            </w:pPr>
          </w:p>
        </w:tc>
      </w:tr>
      <w:tr>
        <w:trPr>
          <w:trHeight w:val="176"/>
        </w:trPr>
        <w:tc>
          <w:tcPr>
            <w:tcW w:w="10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127.00 –</w:t>
            </w:r>
          </w:p>
        </w:tc>
      </w:tr>
      <w:tr>
        <w:trPr>
          <w:trHeight w:val="256"/>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38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a warrant holder exercised 5,000,000 of Series C warrants at $0.50 per warrant for a total of $2,500,000.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warrant holders exercised 24,639,995 of Series B warrants at $0.20 per warrant for a total of $4,928,000.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2,659,417</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86,730,975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(29,639,995)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(203,900)</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59,546,497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2015 the Company granted 400,000 stock options with a weighted average exercise price of $0.17. The fair value of the options was estimated to be $62,000 or $0.16. The weighted average inputs used to value the options were an expected life of 5 years, volatility of 155%, risk-free interest rate of 1.54% and dividend yield of 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$21,000 are expected to be recognized over the next 1.4 years.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July, 2015, the Company issued 118,450 shares of common stock with a fair value of $21,913 to its counsel for legal services rendered through January 21, 2015.</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August, 2015, the Company issued 50,000 shares of common stock with fair value of $26,474 as full settlement to a marketing consultant for services provided to the Company in 2014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Share purchase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September 30,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Intrinsic Value</w:t>
            </w:r>
          </w:p>
        </w:tc>
        <w:tc>
          <w:tcPr>
            <w:tcW w:w="100" w:type="dxa"/>
            <w:vAlign w:val="bottom"/>
          </w:tcPr>
          <w:p>
            <w:pPr>
              <w:spacing w:after="0"/>
              <w:rPr>
                <w:sz w:val="20"/>
                <w:szCs w:val="20"/>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Issued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Cancelled/Forfeited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Issued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182,000</w:t>
            </w:r>
          </w:p>
        </w:tc>
      </w:tr>
      <w:tr>
        <w:trPr>
          <w:trHeight w:val="216"/>
        </w:trPr>
        <w:tc>
          <w:tcPr>
            <w:tcW w:w="20" w:type="dxa"/>
            <w:vAlign w:val="bottom"/>
            <w:tcBorders>
              <w:bottom w:val="single" w:sz="8" w:color="auto"/>
            </w:tcBorders>
          </w:tcPr>
          <w:p>
            <w:pPr>
              <w:spacing w:after="0"/>
              <w:rPr>
                <w:sz w:val="18"/>
                <w:szCs w:val="18"/>
                <w:color w:val="auto"/>
              </w:rPr>
            </w:pPr>
          </w:p>
        </w:tc>
        <w:tc>
          <w:tcPr>
            <w:tcW w:w="5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Outstanding at September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Exercisable at September 30, 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238,810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unvested options as of September 30, 2015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Weighted</w:t>
            </w:r>
          </w:p>
        </w:tc>
        <w:tc>
          <w:tcPr>
            <w:tcW w:w="100" w:type="dxa"/>
            <w:vAlign w:val="bottom"/>
            <w:tcBorders>
              <w:top w:val="single" w:sz="8" w:color="auto"/>
            </w:tcBorders>
          </w:tcPr>
          <w:p>
            <w:pPr>
              <w:spacing w:after="0"/>
              <w:rPr>
                <w:sz w:val="19"/>
                <w:szCs w:val="19"/>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Grant-Date</w:t>
            </w:r>
          </w:p>
        </w:tc>
        <w:tc>
          <w:tcPr>
            <w:tcW w:w="100" w:type="dxa"/>
            <w:vAlign w:val="bottom"/>
          </w:tcPr>
          <w:p>
            <w:pPr>
              <w:spacing w:after="0"/>
              <w:rPr>
                <w:sz w:val="18"/>
                <w:szCs w:val="18"/>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420"/>
          </w:cols>
          <w:pgMar w:left="240" w:top="756" w:right="239" w:bottom="1440" w:gutter="0" w:footer="0" w:header="0"/>
        </w:sectPr>
      </w:pPr>
    </w:p>
    <w:p>
      <w:pPr>
        <w:spacing w:after="0"/>
        <w:rPr>
          <w:sz w:val="20"/>
          <w:szCs w:val="20"/>
          <w:color w:val="auto"/>
        </w:rPr>
      </w:pPr>
      <w:r>
        <w:rPr>
          <w:rFonts w:ascii="Arial" w:cs="Arial" w:eastAsia="Arial" w:hAnsi="Arial"/>
          <w:sz w:val="16"/>
          <w:szCs w:val="16"/>
          <w:b w:val="1"/>
          <w:bCs w:val="1"/>
          <w:color w:val="auto"/>
        </w:rPr>
        <w:t>Unvested, December 31, 2014</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5143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3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Unvested,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514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5514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(173,658)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7"/>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40" w:type="dxa"/>
            <w:vAlign w:val="bottom"/>
          </w:tcPr>
          <w:p>
            <w:pPr>
              <w:jc w:val="right"/>
              <w:spacing w:after="0"/>
              <w:rPr>
                <w:sz w:val="20"/>
                <w:szCs w:val="20"/>
                <w:color w:val="auto"/>
              </w:rPr>
            </w:pPr>
            <w:r>
              <w:rPr>
                <w:rFonts w:ascii="Arial" w:cs="Arial" w:eastAsia="Arial" w:hAnsi="Arial"/>
                <w:sz w:val="18"/>
                <w:szCs w:val="18"/>
                <w:color w:val="auto"/>
              </w:rPr>
              <w:t>226,620</w:t>
            </w:r>
          </w:p>
        </w:tc>
        <w:tc>
          <w:tcPr>
            <w:tcW w:w="140" w:type="dxa"/>
            <w:vAlign w:val="bottom"/>
          </w:tcPr>
          <w:p>
            <w:pPr>
              <w:spacing w:after="0"/>
              <w:rPr>
                <w:sz w:val="24"/>
                <w:szCs w:val="2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75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right="340" w:firstLine="8"/>
        <w:spacing w:after="0" w:line="277"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97" w:lineRule="exact"/>
        <w:rPr>
          <w:rFonts w:ascii="Arial" w:cs="Arial" w:eastAsia="Arial" w:hAnsi="Arial"/>
          <w:sz w:val="18"/>
          <w:szCs w:val="18"/>
          <w:color w:val="auto"/>
        </w:rPr>
      </w:pPr>
    </w:p>
    <w:p>
      <w:pPr>
        <w:ind w:right="40" w:firstLine="8"/>
        <w:spacing w:after="0" w:line="272"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November 12, 2015, the Company entered into a new employment agreement with Dr. Glynn Wilson, the Company’s Chief Executive Officer, President and Chairman.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2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entering into the new agreement, Dr. Wilson will receive equity awards under the Company’s 2014 Omnibus Stock Ownership Plan consisting of (i) an award of 315,000 shares of unregistered common stock, which immediately vest, and (ii) an award of stock options to purchase 2 million shares of Company common stock, prior to November 12, 2025, for $0.605 per share (the closing price of the common stock on November 12, 2015). One-half of the stock options will be immediately vested, and the remaining 1 million shares will vest ratably over the following 24 months.</w:t>
      </w:r>
    </w:p>
    <w:p>
      <w:pPr>
        <w:spacing w:after="0" w:line="198" w:lineRule="exact"/>
        <w:rPr>
          <w:sz w:val="20"/>
          <w:szCs w:val="20"/>
          <w:color w:val="auto"/>
        </w:rPr>
      </w:pPr>
    </w:p>
    <w:p>
      <w:pPr>
        <w:ind w:right="20" w:firstLine="8"/>
        <w:spacing w:after="0" w:line="25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12, 2015, the Board of Directors approved awards of stock options to acquire 150,000 shares of common stock to each of Sherry Grisewood and Mark Reddish. All of such options are fully vested. In addition, the Board approved awards of stock options to four individuals (two employees and two consultants) to purchase an aggregate of 690,000 shares of common stock. Of the options granted to the employees and consultants, 290,000 are immediately vested, and the remainder vest over periods of between one and three years. All of the stock options have a 10-year term, and the exercise price is $0.605 per share, the closing price of the common stock on the date of grant.</w:t>
      </w:r>
    </w:p>
    <w:p>
      <w:pPr>
        <w:spacing w:after="0" w:line="215" w:lineRule="exact"/>
        <w:rPr>
          <w:rFonts w:ascii="Arial" w:cs="Arial" w:eastAsia="Arial" w:hAnsi="Arial"/>
          <w:sz w:val="18"/>
          <w:szCs w:val="18"/>
          <w:color w:val="auto"/>
        </w:rPr>
      </w:pPr>
    </w:p>
    <w:p>
      <w:pPr>
        <w:ind w:right="400"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Between October 1, 2015 and November 12, 2015, holders of Series C Warrants exercised 1,728,000 of Series C Warrants registered under our recent registration statements on Form S-1, resulting in proceeds of $864,000 to the Company.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4" w:name="page15"/>
    <w:bookmarkEnd w:id="14"/>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and nine months ended September 30, 2015 included in this quarterly report, as well as our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is an immune-oncology company specializing in the development of innovative peptide and gene-based immunotherapeutics and vaccines for the treatment of cancer. The Company combines a set of proprietary technologies to improve the ability of the cellular immune system to destroy diseased cells. These are peptide antigen technologies and DNA expression technologies, Polystart™ and TAP.</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Folate Receptor Alpha program for breast and ovarian and our HER2/neu peptide antigen program into Phase II clinical trials. In parallel, we plan to complete the preclinical development of our Polystart™ technology and to continue to develop the TAP-based franchise as an integral component of our prime-and-boost vaccine methodology.</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from for the folate receptor alpha Phase I trial was transferred from Mayo to TapImmune for amendment for the Company’s Phase II Clinical Trials on our lead product.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plans to conduct multiple Phase II clinical trials on its vaccines. The largest of these studies in triple-negative breast cancer will be totally funded by a $13.3 million grant from the US Department of Defense to our collaborators at the Mayo Clinic in Jacksonville, FL. We believe that our development pipeline is strong and provides us the opportunity to continue to expand on collaborations with leading institutions and corporations.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2015, we strengthened our balance sheet by raising additional $2.5 million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will continue to work to strengthen our balance sheet in an effort to meet the required benchmarks for an uplisting to the NASDAQ. To that end, we are also anticipating the result of grant applications submitted early this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 resulting in exploding valuations in the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starting at the end of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 validation of our technologies, it is important to note that the majority of our technologies have been published in leading peer-reviewed journals and we believe that the recent grant award from the US Department of Defense to the Mayo Clinic is a strong validation of our approach.</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8"/>
          <w:szCs w:val="18"/>
          <w:u w:val="single" w:color="auto"/>
          <w:color w:val="0000FF"/>
        </w:rPr>
        <w:t>www.tapimmune.com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corporate development and advancement of clinical trials we are starting to make a number of key management and advisory appointments. Patrick Yeramian M.D. our Consultant Medical Director has been appointed Vice President and Chief Medical Officer. Dr. Stacy Suber, our Consultant Regulatory Director, is our contact with the FDA for our IND filings. In addition, Dr. John Bonfiglio, a Corporate Strategic Advisor has been appointed to our Board of Directors.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to Three Months Ended September 30, 2014</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income of $2,484,000 or $0.05 basic and $0.03 diluted income per share during the three months ended September 30, 2015 compared to a net loss of $1,568,000 or ($0.09) per share for the three months ended September 30, 2014. The net income recognized in the three months ended September 30, 2015 was exclusively due to the changes in the fair value of derivative liabilities as described below.</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increased to $1,738,000 during the three months ended September 30, 2015 compared to $1,384,000 in the prior period. Significant changes in operating expenses are outlined as follows:</w:t>
      </w:r>
    </w:p>
    <w:p>
      <w:pPr>
        <w:spacing w:after="0" w:line="197" w:lineRule="exact"/>
        <w:rPr>
          <w:sz w:val="20"/>
          <w:szCs w:val="20"/>
          <w:color w:val="auto"/>
        </w:rPr>
      </w:pPr>
    </w:p>
    <w:p>
      <w:pPr>
        <w:jc w:val="both"/>
        <w:ind w:left="340" w:hanging="143"/>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decreased to $969,000 during the three months ended September 30, 2015 from $1,351,000 during the prior period. The decrease was primarily due to lower non-cash consulting fees offset by higher investor relations and salaries expense during the three months ended September 30, 2015 compared to the prior period. The decrease in non-cash consulting fees from the prior year was due to the Company curtailing its business development activities in the current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7" w:name="page18"/>
    <w:bookmarkEnd w:id="17"/>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September 30, 2015 were $769,000 compared to $33,000 during the prior period. This was due to the Company exercising its option to acquire a license from Mayo Foundation for Medical Education and Research for $350,000 and increased in in-house research and consulting activity in the current period.</w:t>
      </w:r>
    </w:p>
    <w:p>
      <w:pPr>
        <w:spacing w:after="0" w:line="208" w:lineRule="exact"/>
        <w:rPr>
          <w:rFonts w:ascii="Arial" w:cs="Arial" w:eastAsia="Arial" w:hAnsi="Arial"/>
          <w:sz w:val="18"/>
          <w:szCs w:val="18"/>
          <w:color w:val="auto"/>
        </w:rPr>
      </w:pPr>
    </w:p>
    <w:p>
      <w:pPr>
        <w:jc w:val="both"/>
        <w:ind w:left="340" w:hanging="143"/>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three months ended September 30, 2015 was $4,247,000 as compared to $(74,000) for the three months ended September 30, 2014. The variance is due to the revaluation of the Series A warrants issued by us in January and March 2015. We revalue the derivative liabilities at each balance sheet date to fair value. The fair value is determined using Black-Scholes valuation model using various assumptions. The most significant change in the assumptions was the difference in the strike price used at September 30, 2015 of $0.62 compared to $0.96 at June 30, 2015. Due to the significant change in the strike price, the fair value of the derivative liabilities decreased by $4,247,000 with a corresponding gain in the consolidated statement of operations. None of the warrants recognized as derivative liabilities were exercised during the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to Nine Months Ended September 30, 2014</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recorded a net loss of $16,943,000 or ($0.46) per share during the nine months ended September 30, 2015 compared to $30,147,000 or ($2.27) per share for the nine months ended September 30, 2014.</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increased to $3,904,000 during the nine months ended September 30, 2015 compared to $2,977,000 in the prior period. Significant changes in operating expenses are outlined as follows:</w:t>
      </w:r>
    </w:p>
    <w:p>
      <w:pPr>
        <w:spacing w:after="0" w:line="197" w:lineRule="exact"/>
        <w:rPr>
          <w:sz w:val="20"/>
          <w:szCs w:val="20"/>
          <w:color w:val="auto"/>
        </w:rPr>
      </w:pPr>
    </w:p>
    <w:p>
      <w:pPr>
        <w:jc w:val="both"/>
        <w:ind w:left="660" w:hanging="13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to $2,324,000 during the nine months ended September 30, 2015 from $2,899,000 during the prior period. The decrease was primarily due to decrease in non-cash consulting fees paid as stock-based compensation during the nine months ended September 30, 2015 compared to the prior period. The decrease in non-cash consulting fees from the prior year was due to the Company curtailing its business development activities in the current year.</w:t>
      </w:r>
    </w:p>
    <w:p>
      <w:pPr>
        <w:spacing w:after="0" w:line="213" w:lineRule="exact"/>
        <w:rPr>
          <w:rFonts w:ascii="Arial" w:cs="Arial" w:eastAsia="Arial" w:hAnsi="Arial"/>
          <w:sz w:val="18"/>
          <w:szCs w:val="18"/>
          <w:color w:val="auto"/>
        </w:rPr>
      </w:pPr>
    </w:p>
    <w:p>
      <w:pPr>
        <w:jc w:val="both"/>
        <w:ind w:left="660" w:hanging="139"/>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Research and development costs during the nine months ended September 30, 2015 were $1,580,000 compared to $78,000 during the prior period. This was due to the Company exercising its option to acquire a license from Mayo Foundation for Medical Education and Research for $350,000 as part of an agreement entered into in March 2014 and increased in in-house research and consulting activity in the current period.</w:t>
      </w:r>
    </w:p>
    <w:p>
      <w:pPr>
        <w:spacing w:after="0" w:line="192" w:lineRule="exact"/>
        <w:rPr>
          <w:rFonts w:ascii="Arial" w:cs="Arial" w:eastAsia="Arial" w:hAnsi="Arial"/>
          <w:sz w:val="17"/>
          <w:szCs w:val="17"/>
          <w:color w:val="auto"/>
        </w:rPr>
      </w:pPr>
    </w:p>
    <w:p>
      <w:pPr>
        <w:jc w:val="both"/>
        <w:ind w:left="660" w:hanging="13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nine months ended September 30, 2015 was $(4,759,000) as compared to $243,000 for the nine months ended September 30, 2014. The variance in the current period is due to the revaluation of the Series A warrants issued by us in January and March 2015. We revalue the derivative liabilities at each balance sheet date to fair value. None of the warrants recognized as derivative liabilities were exercised during the nine months ended September 30,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September 30, 2015 and December 31,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418"/>
        </w:trPr>
        <w:tc>
          <w:tcPr>
            <w:tcW w:w="870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6,087,000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142,000</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(2,621,000)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(1,024,000)</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September 30, 2015, we had $6,087,000 of cash on hand and a working capital deficit of $2,621,000. During the nine months ended September 2015, we raised approximately $2 million in private and brokered placements and another $7.43 million in cash proceeds from the exercise of warrants.</w:t>
      </w:r>
    </w:p>
    <w:p>
      <w:pPr>
        <w:spacing w:after="0" w:line="17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2015 was $3,492,000 compared to $1,518,000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2015 was $9,438,000 compared to $2,083,000 during the prior period. Current period financing consisted of proceeds from private placements and warrant exercises while prior period financing relates to proceeds from convertible notes.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we anticipate that we will need significant financing to enable us to meet our anticipated expenditures for the next twelve months, which are expected to be in the range of $7,500,000 for the funding of multiple small Phase 2 clinical trials. We believe that this will be achieved through the exercise of warrants from our January and March Financings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2015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fourth quarter of 2015.</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Consulting Agreement with Dr. John Bonfiglio</w:t>
      </w:r>
    </w:p>
    <w:p>
      <w:pPr>
        <w:spacing w:after="0" w:line="225" w:lineRule="exact"/>
        <w:rPr>
          <w:sz w:val="20"/>
          <w:szCs w:val="20"/>
          <w:color w:val="auto"/>
        </w:rPr>
      </w:pPr>
    </w:p>
    <w:p>
      <w:pPr>
        <w:jc w:val="both"/>
        <w:ind w:firstLine="758"/>
        <w:spacing w:after="0" w:line="264" w:lineRule="auto"/>
        <w:rPr>
          <w:sz w:val="20"/>
          <w:szCs w:val="20"/>
          <w:color w:val="auto"/>
        </w:rPr>
      </w:pPr>
      <w:r>
        <w:rPr>
          <w:rFonts w:ascii="Arial" w:cs="Arial" w:eastAsia="Arial" w:hAnsi="Arial"/>
          <w:sz w:val="18"/>
          <w:szCs w:val="18"/>
          <w:color w:val="auto"/>
        </w:rPr>
        <w:t>Due to increasing requirements for Dr. John Bonfiglio’s consulting services by the Company, in June, 2015, the Consulting Agreement, dated February 10, 2015, between the Company and Dr. Bonfiglio was amended to provide for consulting fees of $15,000 per month and services up to 120 hours per month. Dr. Bonfiglio also serves as member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Amendment of the 2014 Omnibus Stock Ownership Plan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November 6, 2015, the Board of Directors approved an amendment to the Company’s 2014 Omnibus Stock Ownership Plan which provided:</w:t>
      </w:r>
    </w:p>
    <w:p>
      <w:pPr>
        <w:spacing w:after="0" w:line="264"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 increase the number of shares reserved for issuance under the Plan by 5 million shares to 7 million shares;</w:t>
      </w:r>
    </w:p>
    <w:p>
      <w:pPr>
        <w:spacing w:after="0" w:line="252"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and Committee administering the Plan with full discretion under Section 6(f) on the vesting period for Service-Vesting Awards under the Plan, including the grant of Awards with less than the Minimum Vesting Requirement (as such terms are defined in the Plan), and</w:t>
      </w:r>
    </w:p>
    <w:p>
      <w:pPr>
        <w:spacing w:after="0" w:line="173" w:lineRule="exact"/>
        <w:rPr>
          <w:rFonts w:ascii="Arial" w:cs="Arial" w:eastAsia="Arial" w:hAnsi="Arial"/>
          <w:sz w:val="17"/>
          <w:szCs w:val="17"/>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and Committee administering the Plan with the ability to grant stock bonuses to executive officers under Section 6(c).</w:t>
      </w:r>
    </w:p>
    <w:p>
      <w:pPr>
        <w:spacing w:after="0" w:line="225" w:lineRule="exact"/>
        <w:rPr>
          <w:sz w:val="20"/>
          <w:szCs w:val="20"/>
          <w:color w:val="auto"/>
        </w:rPr>
      </w:pPr>
    </w:p>
    <w:p>
      <w:pPr>
        <w:jc w:val="both"/>
        <w:ind w:firstLine="677"/>
        <w:spacing w:after="0" w:line="226" w:lineRule="auto"/>
        <w:rPr>
          <w:sz w:val="20"/>
          <w:szCs w:val="20"/>
          <w:color w:val="auto"/>
        </w:rPr>
      </w:pPr>
      <w:r>
        <w:rPr>
          <w:rFonts w:ascii="Arial" w:cs="Arial" w:eastAsia="Arial" w:hAnsi="Arial"/>
          <w:sz w:val="18"/>
          <w:szCs w:val="18"/>
          <w:color w:val="auto"/>
        </w:rPr>
        <w:t>A copy of the 2014 Plan, the first amendment to the Plan (adopted in February 2015), and the November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amendment to the Plan, as well as the forms of stock option award agreements and a restricted share award agreement to be used under the Plan, are included as exhibits to this Report on Form 10-Q.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with Dr. Glynn Wilson</w:t>
      </w:r>
    </w:p>
    <w:p>
      <w:pPr>
        <w:spacing w:after="0" w:line="225" w:lineRule="exact"/>
        <w:rPr>
          <w:sz w:val="20"/>
          <w:szCs w:val="20"/>
          <w:color w:val="auto"/>
        </w:rPr>
      </w:pPr>
    </w:p>
    <w:p>
      <w:pPr>
        <w:jc w:val="both"/>
        <w:ind w:right="140" w:firstLine="666"/>
        <w:spacing w:after="0" w:line="264"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 A copy of the agreement is included as an exhibit to this Report on Form 10-Q.</w:t>
      </w:r>
    </w:p>
    <w:p>
      <w:pPr>
        <w:spacing w:after="0" w:line="181" w:lineRule="exact"/>
        <w:rPr>
          <w:sz w:val="20"/>
          <w:szCs w:val="20"/>
          <w:color w:val="auto"/>
        </w:rPr>
      </w:pPr>
    </w:p>
    <w:p>
      <w:pPr>
        <w:ind w:right="40" w:firstLine="663"/>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jc w:val="both"/>
        <w:ind w:right="120" w:firstLine="666"/>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ind w:right="240" w:firstLine="666"/>
        <w:spacing w:after="0" w:line="302" w:lineRule="auto"/>
        <w:rPr>
          <w:sz w:val="20"/>
          <w:szCs w:val="20"/>
          <w:color w:val="auto"/>
        </w:rPr>
      </w:pPr>
      <w:r>
        <w:rPr>
          <w:rFonts w:ascii="Arial" w:cs="Arial" w:eastAsia="Arial" w:hAnsi="Arial"/>
          <w:sz w:val="16"/>
          <w:szCs w:val="16"/>
          <w:color w:val="auto"/>
        </w:rPr>
        <w:t>In connection with entering into the new agreement, Dr. Wilson will receive equity awards under the Company’s 2014 Omnibus Stock Ownership Plan consisting of (i) an award of 315,000 shares of unregistered common stock, which immediately vest, and (ii) an award of stock options to purchase 2 million shares of Company common stock, prior to November 12, 2025, for $0.605 per share (the closing price of the common stock on November 12, 2015). One-half of the stock options will be immediately vested, and the remaining 1 million shares will vest ratably over the following 24 months.</w:t>
      </w:r>
    </w:p>
    <w:p>
      <w:pPr>
        <w:spacing w:after="0" w:line="181"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66" w:lineRule="exact"/>
        <w:rPr>
          <w:sz w:val="20"/>
          <w:szCs w:val="20"/>
          <w:color w:val="auto"/>
        </w:rPr>
      </w:pPr>
    </w:p>
    <w:p>
      <w:pPr>
        <w:jc w:val="both"/>
        <w:ind w:firstLine="76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40" w:firstLine="663"/>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Non-employee Directors, employees and consultants</w:t>
      </w:r>
    </w:p>
    <w:p>
      <w:pPr>
        <w:spacing w:after="0" w:line="225" w:lineRule="exact"/>
        <w:rPr>
          <w:sz w:val="20"/>
          <w:szCs w:val="20"/>
          <w:color w:val="auto"/>
        </w:rPr>
      </w:pPr>
    </w:p>
    <w:p>
      <w:pPr>
        <w:ind w:firstLine="666"/>
        <w:spacing w:after="0" w:line="255" w:lineRule="auto"/>
        <w:rPr>
          <w:sz w:val="20"/>
          <w:szCs w:val="20"/>
          <w:color w:val="auto"/>
        </w:rPr>
      </w:pPr>
      <w:r>
        <w:rPr>
          <w:rFonts w:ascii="Arial" w:cs="Arial" w:eastAsia="Arial" w:hAnsi="Arial"/>
          <w:sz w:val="18"/>
          <w:szCs w:val="18"/>
          <w:color w:val="auto"/>
        </w:rPr>
        <w:t>On November 12, 2015, the Board of Directors approved awards of stock options to acquire 150,000 shares of common stock to each of Sherry Grisewood and Mark Reddish, who serve as members of the Board of Directors, for their long service and contributions to the Company and the Board. All of such options are fully vested. In addition, the Board approved awards of stock options to four individuals (two employees and two consultants) to purchase an aggregate of 690,000 shares of common stock. Of the options granted to the employees and consultants, 290,000 are immediately vested, and the remainder vest over periods of between one and three years. All of the stock options have a 10-year term, and the exercise price is $0.605 per share, the closing price of the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599" w:gutter="0" w:footer="0" w:header="0"/>
        </w:sectPr>
      </w:pPr>
    </w:p>
    <w:bookmarkStart w:id="21" w:name="page22"/>
    <w:bookmarkEnd w:id="21"/>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5"/>
              </w:rPr>
              <w:t>10.1*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rPr>
              <w:t>2014 Omnibus Stock Ownership Plan</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10.2*</w:t>
            </w:r>
          </w:p>
        </w:tc>
        <w:tc>
          <w:tcPr>
            <w:tcW w:w="9180" w:type="dxa"/>
            <w:vAlign w:val="bottom"/>
          </w:tcPr>
          <w:p>
            <w:pPr>
              <w:ind w:left="200"/>
              <w:spacing w:after="0"/>
              <w:rPr>
                <w:sz w:val="20"/>
                <w:szCs w:val="20"/>
                <w:color w:val="auto"/>
              </w:rPr>
            </w:pPr>
            <w:r>
              <w:rPr>
                <w:rFonts w:ascii="Arial" w:cs="Arial" w:eastAsia="Arial" w:hAnsi="Arial"/>
                <w:sz w:val="18"/>
                <w:szCs w:val="18"/>
                <w:color w:val="auto"/>
              </w:rPr>
              <w:t>Amendment to 2014 Omnibus Stock Ownership Plan (February 10, 2015)</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10.3*</w:t>
            </w:r>
          </w:p>
        </w:tc>
        <w:tc>
          <w:tcPr>
            <w:tcW w:w="9180" w:type="dxa"/>
            <w:vAlign w:val="bottom"/>
          </w:tcPr>
          <w:p>
            <w:pPr>
              <w:ind w:left="200"/>
              <w:spacing w:after="0"/>
              <w:rPr>
                <w:sz w:val="20"/>
                <w:szCs w:val="20"/>
                <w:color w:val="auto"/>
              </w:rPr>
            </w:pPr>
            <w:r>
              <w:rPr>
                <w:rFonts w:ascii="Arial" w:cs="Arial" w:eastAsia="Arial" w:hAnsi="Arial"/>
                <w:sz w:val="18"/>
                <w:szCs w:val="18"/>
                <w:color w:val="auto"/>
              </w:rPr>
              <w:t>Amendment to 2014 Omnibus Stock Ownership Plan (November 6, 2015)</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10.4*</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Key Employee</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10.5*</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Non-employee Director</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10.6*</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Consultant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10.7*</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Restricted Stock Award Agreement – Consultant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10.8*</w:t>
            </w:r>
          </w:p>
        </w:tc>
        <w:tc>
          <w:tcPr>
            <w:tcW w:w="9180" w:type="dxa"/>
            <w:vAlign w:val="bottom"/>
          </w:tcPr>
          <w:p>
            <w:pPr>
              <w:ind w:left="200"/>
              <w:spacing w:after="0"/>
              <w:rPr>
                <w:sz w:val="20"/>
                <w:szCs w:val="20"/>
                <w:color w:val="auto"/>
              </w:rPr>
            </w:pPr>
            <w:r>
              <w:rPr>
                <w:rFonts w:ascii="Arial" w:cs="Arial" w:eastAsia="Arial" w:hAnsi="Arial"/>
                <w:sz w:val="18"/>
                <w:szCs w:val="18"/>
                <w:color w:val="auto"/>
              </w:rPr>
              <w:t>Employment Agreement between TapImmune, Inc. and Dr. Glynn Wilson, dated November 12, 2015</w:t>
            </w:r>
          </w:p>
        </w:tc>
      </w:tr>
      <w:tr>
        <w:trPr>
          <w:trHeight w:val="216"/>
        </w:trPr>
        <w:tc>
          <w:tcPr>
            <w:tcW w:w="2240" w:type="dxa"/>
            <w:vAlign w:val="bottom"/>
          </w:tcPr>
          <w:p>
            <w:pPr>
              <w:jc w:val="center"/>
              <w:ind w:left="530"/>
              <w:spacing w:after="0"/>
              <w:rPr>
                <w:sz w:val="20"/>
                <w:szCs w:val="20"/>
                <w:color w:val="auto"/>
              </w:rPr>
            </w:pPr>
            <w:r>
              <w:rPr>
                <w:rFonts w:ascii="Arial" w:cs="Arial" w:eastAsia="Arial" w:hAnsi="Arial"/>
                <w:sz w:val="18"/>
                <w:szCs w:val="18"/>
                <w:color w:val="auto"/>
                <w:w w:val="89"/>
              </w:rPr>
              <w:t>14</w:t>
            </w:r>
          </w:p>
        </w:tc>
        <w:tc>
          <w:tcPr>
            <w:tcW w:w="9180" w:type="dxa"/>
            <w:vAlign w:val="bottom"/>
          </w:tcPr>
          <w:p>
            <w:pPr>
              <w:ind w:left="200"/>
              <w:spacing w:after="0"/>
              <w:rPr>
                <w:sz w:val="20"/>
                <w:szCs w:val="20"/>
                <w:color w:val="auto"/>
              </w:rPr>
            </w:pPr>
            <w:r>
              <w:rPr>
                <w:rFonts w:ascii="Arial" w:cs="Arial" w:eastAsia="Arial" w:hAnsi="Arial"/>
                <w:sz w:val="18"/>
                <w:szCs w:val="18"/>
                <w:color w:val="auto"/>
              </w:rPr>
              <w:t>Code of Ethics and Business Conduct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rPr>
                <w:sz w:val="20"/>
                <w:szCs w:val="20"/>
                <w:color w:val="auto"/>
              </w:rPr>
            </w:pPr>
            <w:r>
              <w:rPr>
                <w:rFonts w:ascii="Arial" w:cs="Arial" w:eastAsia="Arial" w:hAnsi="Arial"/>
                <w:sz w:val="18"/>
                <w:szCs w:val="18"/>
                <w:color w:val="auto"/>
                <w:w w:val="96"/>
              </w:rPr>
              <w:t>Certification of Principal Executive Officer and Acting Principal Accounting Officer Pursuant to Rule 13a-14(a) or 15d-</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14(a) of the Securities Exchange 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PLAN</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TapImmune Inc., a Nevada corporation (the “Company”), established the Corporation’s 2014 Omnibus Stock Ownership Plan. The Plan was adopted by the Company’s Board of Directors on March 19, 2014 and became effective as of that date, and it permits the grant of stock options, stock bonuses, dividend equivalents, restricted stock units and other stock-based awards. The Plan replaces the Company’s 2009 Stock Incentive Plan, and applies to all Awards (as hereinafter defined) granted on or after March 19, 2014, subject to variations as required to comply with local laws and regulations applicable outside the United States.</w:t>
      </w:r>
    </w:p>
    <w:p>
      <w:pPr>
        <w:spacing w:after="0" w:line="211"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purpose of this Plan is to advance the interest of the Company by encouraging and enabling the acquisition of a larger personal financial interest in the Company by those Employees and non-Employee directors upon whose judgment and efforts the Company is largely dependent for the successful conduct of its operations. It is anticipated that the acquisition of such financial interest and Stock ownership will stimulate the efforts of such Employees and directors on behalf of the Company, strengthen their desire to continue in the service of the Company, and encourage shareholder and entrepreneurial perspectives through Stock ownership. It is also anticipated that the opportunity to obtain such financial interest and Stock ownership will prove attractive to promising new Employees and will assist the Company in attracting such Employees.</w:t>
      </w:r>
    </w:p>
    <w:p>
      <w:pPr>
        <w:spacing w:after="0" w:line="20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used in this Plan, the terms set forth below shall have the following meanings (such meanings to be equally applicable to both the singular and plural forms of the terms defined):</w:t>
      </w:r>
    </w:p>
    <w:p>
      <w:pPr>
        <w:spacing w:after="0" w:line="197" w:lineRule="exact"/>
        <w:rPr>
          <w:sz w:val="20"/>
          <w:szCs w:val="20"/>
          <w:color w:val="auto"/>
        </w:rPr>
      </w:pPr>
    </w:p>
    <w:p>
      <w:pPr>
        <w:ind w:right="680" w:firstLine="324"/>
        <w:spacing w:after="0" w:line="258"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options, restricted stock units, stock bonuses, dividend equivalents and other stock-based awards granted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addition, for purposes of Section 3(d) only, “Award” means any award granted under any Prior Plan.</w:t>
      </w:r>
    </w:p>
    <w:p>
      <w:pPr>
        <w:spacing w:after="0" w:line="1" w:lineRule="exact"/>
        <w:rPr>
          <w:sz w:val="20"/>
          <w:szCs w:val="20"/>
          <w:color w:val="auto"/>
        </w:rPr>
      </w:pPr>
    </w:p>
    <w:p>
      <w:pPr>
        <w:ind w:left="340" w:right="3820"/>
        <w:spacing w:after="0" w:line="261" w:lineRule="auto"/>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4(c)(iv).</w:t>
      </w:r>
      <w:r>
        <w:rPr>
          <w:rFonts w:ascii="Arial" w:cs="Arial" w:eastAsia="Arial" w:hAnsi="Arial"/>
          <w:sz w:val="18"/>
          <w:szCs w:val="18"/>
          <w:i w:val="1"/>
          <w:iCs w:val="1"/>
          <w:color w:val="auto"/>
        </w:rPr>
        <w:t xml:space="preserve"> (c)</w:t>
      </w: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Company.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specified in Section 2(g)(iii).</w:t>
      </w:r>
    </w:p>
    <w:p>
      <w:pPr>
        <w:spacing w:after="0" w:line="25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the principal securities exchange on which the shares of the Company's common stock are then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or admitted to trading is open.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the Grantee's commission of any act or acts involving dishonesty, fraud, illegality or moral turpitude.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 events:</w:t>
      </w:r>
    </w:p>
    <w:p>
      <w:pPr>
        <w:spacing w:after="0" w:line="252" w:lineRule="exact"/>
        <w:rPr>
          <w:sz w:val="20"/>
          <w:szCs w:val="20"/>
          <w:color w:val="auto"/>
        </w:rPr>
      </w:pPr>
    </w:p>
    <w:p>
      <w:pPr>
        <w:ind w:right="80" w:firstLine="972"/>
        <w:spacing w:after="0" w:line="286" w:lineRule="auto"/>
        <w:rPr>
          <w:sz w:val="20"/>
          <w:szCs w:val="20"/>
          <w:color w:val="auto"/>
        </w:rPr>
      </w:pPr>
      <w:r>
        <w:rPr>
          <w:rFonts w:ascii="Arial" w:cs="Arial" w:eastAsia="Arial" w:hAnsi="Arial"/>
          <w:sz w:val="16"/>
          <w:szCs w:val="16"/>
          <w:color w:val="auto"/>
        </w:rPr>
        <w:t>(i)the acquisition by any Person of “beneficial ownership” (within the meaning of Rule 13d-3 promulgated under the 1934 Act) of 20% or more of either (A) the then-outstanding shares of Stock (“Outstanding Company Common Stock”) or (B) the combined voting power of the then-outstanding voting securities of the Company entitled to vote generally in the election of directors (the “Outstanding Company Voting Securities”); provided, however, that, for purposes of this Section 2(g)(i), the following acquisitions shall not constitute a Change in Control: (1) any acquisition directly from the Company,</w:t>
      </w:r>
    </w:p>
    <w:p>
      <w:pPr>
        <w:spacing w:after="0" w:line="2" w:lineRule="exact"/>
        <w:rPr>
          <w:sz w:val="20"/>
          <w:szCs w:val="20"/>
          <w:color w:val="auto"/>
        </w:rPr>
      </w:pPr>
    </w:p>
    <w:p>
      <w:pPr>
        <w:ind w:right="440" w:firstLine="8"/>
        <w:spacing w:after="0" w:line="323"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acquisition by the Company, (3) any acquisition by any Employee benefit plan (or related trust) sponsored or maintained by the Company or any entity controlled by the Company or (4) any acquisition by any entity pursuant to a transaction that complies with Sections 2(g)(iii)(A), (B) and (C);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ind w:right="240" w:firstLine="972"/>
        <w:spacing w:after="0" w:line="255" w:lineRule="auto"/>
        <w:rPr>
          <w:sz w:val="20"/>
          <w:szCs w:val="20"/>
          <w:color w:val="auto"/>
        </w:rPr>
      </w:pPr>
      <w:r>
        <w:rPr>
          <w:rFonts w:ascii="Arial" w:cs="Arial" w:eastAsia="Arial" w:hAnsi="Arial"/>
          <w:sz w:val="18"/>
          <w:szCs w:val="18"/>
          <w:color w:val="auto"/>
        </w:rPr>
        <w:t>(ii)individuals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20" w:lineRule="exact"/>
        <w:rPr>
          <w:sz w:val="20"/>
          <w:szCs w:val="20"/>
          <w:color w:val="auto"/>
        </w:rPr>
      </w:pPr>
    </w:p>
    <w:p>
      <w:pPr>
        <w:ind w:firstLine="972"/>
        <w:spacing w:after="0" w:line="286" w:lineRule="auto"/>
        <w:rPr>
          <w:sz w:val="20"/>
          <w:szCs w:val="20"/>
          <w:color w:val="auto"/>
        </w:rPr>
      </w:pPr>
      <w:r>
        <w:rPr>
          <w:rFonts w:ascii="Arial" w:cs="Arial" w:eastAsia="Arial" w:hAnsi="Arial"/>
          <w:sz w:val="16"/>
          <w:szCs w:val="16"/>
          <w:color w:val="auto"/>
        </w:rPr>
        <w:t>(iii)consummation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and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(iv)approval by the shareholders of the Company of a complete liquidation or dissolution of the Company.</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and regulations and rulings thereunder. References to a particular section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rule under, the Code shall include references to successor provisions.</w:t>
      </w:r>
    </w:p>
    <w:p>
      <w:pPr>
        <w:spacing w:after="0" w:line="197" w:lineRule="exact"/>
        <w:rPr>
          <w:sz w:val="20"/>
          <w:szCs w:val="20"/>
          <w:color w:val="auto"/>
        </w:rPr>
      </w:pPr>
    </w:p>
    <w:p>
      <w:pPr>
        <w:ind w:left="340" w:right="3740"/>
        <w:spacing w:after="0" w:line="277"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4(a).</w:t>
      </w:r>
      <w:r>
        <w:rPr>
          <w:rFonts w:ascii="Arial" w:cs="Arial" w:eastAsia="Arial" w:hAnsi="Arial"/>
          <w:sz w:val="18"/>
          <w:szCs w:val="18"/>
          <w:i w:val="1"/>
          <w:iCs w:val="1"/>
          <w:color w:val="auto"/>
        </w:rPr>
        <w:t xml:space="preserve"> (j)</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paragraph.</w:t>
      </w:r>
    </w:p>
    <w:p>
      <w:pPr>
        <w:spacing w:after="0" w:line="197" w:lineRule="exact"/>
        <w:rPr>
          <w:sz w:val="20"/>
          <w:szCs w:val="20"/>
          <w:color w:val="auto"/>
        </w:rPr>
      </w:pPr>
    </w:p>
    <w:p>
      <w:pPr>
        <w:ind w:right="560" w:firstLine="324"/>
        <w:spacing w:after="0" w:line="259" w:lineRule="auto"/>
        <w:rPr>
          <w:sz w:val="20"/>
          <w:szCs w:val="20"/>
          <w:color w:val="auto"/>
        </w:rPr>
      </w:pPr>
      <w:r>
        <w:rPr>
          <w:rFonts w:ascii="Arial" w:cs="Arial" w:eastAsia="Arial" w:hAnsi="Arial"/>
          <w:sz w:val="18"/>
          <w:szCs w:val="18"/>
          <w:i w:val="1"/>
          <w:iCs w:val="1"/>
          <w:color w:val="auto"/>
        </w:rPr>
        <w:t>(k)</w:t>
      </w: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Employees, shall mean a mental or physical condition which, with or without reasonable accommodations, renders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permanently unable or incompetent to carry out the job responsibilities he held or tasks to which he was assigned at the time the condition was incurred, with such determination to be made by the Committee on the basis of such medical and other competent evidence as the Committee in its sole discretion shall deem relevant.</w:t>
      </w:r>
    </w:p>
    <w:p>
      <w:pPr>
        <w:spacing w:after="0" w:line="2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non-Employee directors and senior directors means a physical or mental condition that prevents the director from performing his or her duties as a member of the Board or a senior director, as applicable, and that is expected to be permanent or for an indefinite duration exceeding one year.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an Award made pursuant to Section 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5" w:name="page26"/>
    <w:bookmarkEnd w:id="25"/>
    <w:p>
      <w:pPr>
        <w:ind w:firstLine="324"/>
        <w:spacing w:after="0" w:line="272" w:lineRule="auto"/>
        <w:rPr>
          <w:sz w:val="20"/>
          <w:szCs w:val="20"/>
          <w:color w:val="auto"/>
        </w:rPr>
      </w:pPr>
      <w:r>
        <w:rPr>
          <w:rFonts w:ascii="Arial" w:cs="Arial" w:eastAsia="Arial" w:hAnsi="Arial"/>
          <w:sz w:val="17"/>
          <w:szCs w:val="17"/>
          <w:i w:val="1"/>
          <w:iCs w:val="1"/>
          <w:color w:val="auto"/>
        </w:rPr>
        <w:t>(m)</w:t>
      </w:r>
      <w:r>
        <w:rPr>
          <w:rFonts w:ascii="Arial" w:cs="Arial" w:eastAsia="Arial" w:hAnsi="Arial"/>
          <w:sz w:val="17"/>
          <w:szCs w:val="17"/>
          <w:color w:val="auto"/>
        </w:rPr>
        <w:t>“</w:t>
      </w:r>
      <w:r>
        <w:rPr>
          <w:rFonts w:ascii="Arial" w:cs="Arial" w:eastAsia="Arial" w:hAnsi="Arial"/>
          <w:sz w:val="17"/>
          <w:szCs w:val="17"/>
          <w:i w:val="1"/>
          <w:iCs w:val="1"/>
          <w:color w:val="auto"/>
        </w:rPr>
        <w:t>Employee</w:t>
      </w:r>
      <w:r>
        <w:rPr>
          <w:rFonts w:ascii="Arial" w:cs="Arial" w:eastAsia="Arial" w:hAnsi="Arial"/>
          <w:sz w:val="17"/>
          <w:szCs w:val="17"/>
          <w:color w:val="auto"/>
        </w:rPr>
        <w:t>” means any individual designated as an employee of the Company, its Affiliate, and/or its Subsidiaries who is on the current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 </w:t>
      </w:r>
      <w:r>
        <w:rPr>
          <w:rFonts w:ascii="Arial" w:cs="Arial" w:eastAsia="Arial" w:hAnsi="Arial"/>
          <w:sz w:val="17"/>
          <w:szCs w:val="17"/>
          <w:i w:val="1"/>
          <w:iCs w:val="1"/>
          <w:color w:val="auto"/>
        </w:rPr>
        <w:t>“Employment”</w:t>
      </w:r>
      <w:r>
        <w:rPr>
          <w:rFonts w:ascii="Arial" w:cs="Arial" w:eastAsia="Arial" w:hAnsi="Arial"/>
          <w:sz w:val="17"/>
          <w:szCs w:val="17"/>
          <w:color w:val="auto"/>
        </w:rPr>
        <w:t>shall have the correlative meaning. The Committee in its discretion may, in the applicable Award Agreement, adopt a different definition of “Employee” and “Employment” for Awards granted to Grantees working outside the United States.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March 19, 2014.</w:t>
      </w:r>
    </w:p>
    <w:p>
      <w:pPr>
        <w:spacing w:after="0" w:line="2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(o)</w:t>
      </w: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of any security of the Company means, as of any applicable date, the closing price of the security at the close of normal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hours on the New York Stock Exchange, or, if no such sale of the security shall have occurred on such date, on the next preceding date on which there was such a sale.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18"/>
          <w:szCs w:val="18"/>
          <w:color w:val="auto"/>
        </w:rPr>
        <w:t>“</w:t>
      </w:r>
      <w:r>
        <w:rPr>
          <w:rFonts w:ascii="Arial" w:cs="Arial" w:eastAsia="Arial" w:hAnsi="Arial"/>
          <w:sz w:val="18"/>
          <w:szCs w:val="18"/>
          <w:i w:val="1"/>
          <w:iCs w:val="1"/>
          <w:color w:val="auto"/>
        </w:rPr>
        <w:t>Foreign Equity Incentive Plan</w:t>
      </w:r>
      <w:r>
        <w:rPr>
          <w:rFonts w:ascii="Arial" w:cs="Arial" w:eastAsia="Arial" w:hAnsi="Arial"/>
          <w:sz w:val="18"/>
          <w:szCs w:val="18"/>
          <w:color w:val="auto"/>
        </w:rPr>
        <w:t>” has the meaning specified in Section 14.</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w:t>
      </w: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has the meaning specified in Section 6(a)(i).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rFonts w:ascii="Arial" w:cs="Arial" w:eastAsia="Arial" w:hAnsi="Arial"/>
          <w:sz w:val="18"/>
          <w:szCs w:val="18"/>
          <w:i w:val="1"/>
          <w:iCs w:val="1"/>
          <w:color w:val="auto"/>
        </w:rPr>
        <w:t>Grantee</w:t>
      </w:r>
      <w:r>
        <w:rPr>
          <w:rFonts w:ascii="Arial" w:cs="Arial" w:eastAsia="Arial" w:hAnsi="Arial"/>
          <w:sz w:val="18"/>
          <w:szCs w:val="18"/>
          <w:color w:val="auto"/>
        </w:rPr>
        <w:t>” means an individual who has been granted an Award.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w:t>
      </w:r>
      <w:r>
        <w:rPr>
          <w:rFonts w:ascii="Arial" w:cs="Arial" w:eastAsia="Arial" w:hAnsi="Arial"/>
          <w:sz w:val="18"/>
          <w:szCs w:val="18"/>
          <w:i w:val="1"/>
          <w:iCs w:val="1"/>
          <w:color w:val="auto"/>
        </w:rPr>
        <w:t>including</w:t>
      </w:r>
      <w:r>
        <w:rPr>
          <w:rFonts w:ascii="Arial" w:cs="Arial" w:eastAsia="Arial" w:hAnsi="Arial"/>
          <w:sz w:val="18"/>
          <w:szCs w:val="18"/>
          <w:color w:val="auto"/>
        </w:rPr>
        <w:t>” or “</w:t>
      </w:r>
      <w:r>
        <w:rPr>
          <w:rFonts w:ascii="Arial" w:cs="Arial" w:eastAsia="Arial" w:hAnsi="Arial"/>
          <w:sz w:val="18"/>
          <w:szCs w:val="18"/>
          <w:i w:val="1"/>
          <w:iCs w:val="1"/>
          <w:color w:val="auto"/>
        </w:rPr>
        <w:t>includes</w:t>
      </w:r>
      <w:r>
        <w:rPr>
          <w:rFonts w:ascii="Arial" w:cs="Arial" w:eastAsia="Arial" w:hAnsi="Arial"/>
          <w:sz w:val="18"/>
          <w:szCs w:val="18"/>
          <w:color w:val="auto"/>
        </w:rPr>
        <w:t>” means “including, without limitation,” or “includes, without limitation.”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specified in Section 2(g)(ii).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w:t>
      </w:r>
      <w:r>
        <w:rPr>
          <w:rFonts w:ascii="Arial" w:cs="Arial" w:eastAsia="Arial" w:hAnsi="Arial"/>
          <w:sz w:val="18"/>
          <w:szCs w:val="18"/>
          <w:color w:val="auto"/>
        </w:rPr>
        <w:t>“</w:t>
      </w:r>
      <w:r>
        <w:rPr>
          <w:rFonts w:ascii="Arial" w:cs="Arial" w:eastAsia="Arial" w:hAnsi="Arial"/>
          <w:sz w:val="18"/>
          <w:szCs w:val="18"/>
          <w:i w:val="1"/>
          <w:iCs w:val="1"/>
          <w:color w:val="auto"/>
        </w:rPr>
        <w:t>Minimum Consideration</w:t>
      </w:r>
      <w:r>
        <w:rPr>
          <w:rFonts w:ascii="Arial" w:cs="Arial" w:eastAsia="Arial" w:hAnsi="Arial"/>
          <w:sz w:val="18"/>
          <w:szCs w:val="18"/>
          <w:color w:val="auto"/>
        </w:rPr>
        <w:t>” means $.01 per share or such larger amount determined pursuant to resolution of the Board to be “capital”.</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Awards subject to the Minimum Vesting Requirement shall not become nonforfeitable prior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subject to Sections 12, 13 and 21.</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rFonts w:ascii="Arial" w:cs="Arial" w:eastAsia="Arial" w:hAnsi="Arial"/>
          <w:sz w:val="18"/>
          <w:szCs w:val="18"/>
          <w:i w:val="1"/>
          <w:iCs w:val="1"/>
          <w:color w:val="auto"/>
        </w:rPr>
        <w:t>1934 Act</w:t>
      </w:r>
      <w:r>
        <w:rPr>
          <w:rFonts w:ascii="Arial" w:cs="Arial" w:eastAsia="Arial" w:hAnsi="Arial"/>
          <w:sz w:val="18"/>
          <w:szCs w:val="18"/>
          <w:color w:val="auto"/>
        </w:rPr>
        <w:t>” means the Securities Exchange Act of 1934, as amended, and regulations and rulings thereunder. References to a particular section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rule under, the 1934 Act shall include references to successor provisions.</w:t>
      </w:r>
    </w:p>
    <w:p>
      <w:pPr>
        <w:spacing w:after="0" w:line="197" w:lineRule="exact"/>
        <w:rPr>
          <w:sz w:val="20"/>
          <w:szCs w:val="20"/>
          <w:color w:val="auto"/>
        </w:rPr>
      </w:pPr>
    </w:p>
    <w:p>
      <w:pPr>
        <w:ind w:left="340" w:right="900"/>
        <w:spacing w:after="0" w:line="259" w:lineRule="auto"/>
        <w:rPr>
          <w:sz w:val="20"/>
          <w:szCs w:val="20"/>
          <w:color w:val="auto"/>
        </w:rPr>
      </w:pPr>
      <w:r>
        <w:rPr>
          <w:rFonts w:ascii="Arial" w:cs="Arial" w:eastAsia="Arial" w:hAnsi="Arial"/>
          <w:sz w:val="18"/>
          <w:szCs w:val="18"/>
          <w:i w:val="1"/>
          <w:iCs w:val="1"/>
          <w:color w:val="auto"/>
        </w:rPr>
        <w:t>(x)</w:t>
      </w: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w:t>
      </w:r>
      <w:r>
        <w:rPr>
          <w:rFonts w:ascii="Arial" w:cs="Arial" w:eastAsia="Arial" w:hAnsi="Arial"/>
          <w:sz w:val="18"/>
          <w:szCs w:val="18"/>
          <w:i w:val="1"/>
          <w:iCs w:val="1"/>
          <w:color w:val="auto"/>
        </w:rPr>
        <w:t xml:space="preserve"> (y)</w:t>
      </w: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the per-share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price of Stock subject to a stock option. </w:t>
      </w:r>
      <w:r>
        <w:rPr>
          <w:rFonts w:ascii="Arial" w:cs="Arial" w:eastAsia="Arial" w:hAnsi="Arial"/>
          <w:sz w:val="18"/>
          <w:szCs w:val="18"/>
          <w:i w:val="1"/>
          <w:iCs w:val="1"/>
          <w:color w:val="auto"/>
        </w:rPr>
        <w:t>(z)</w:t>
      </w: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xml:space="preserve">” means an Award made pursuant to Section 6(f). </w:t>
      </w:r>
      <w:r>
        <w:rPr>
          <w:rFonts w:ascii="Arial" w:cs="Arial" w:eastAsia="Arial" w:hAnsi="Arial"/>
          <w:sz w:val="18"/>
          <w:szCs w:val="18"/>
          <w:i w:val="1"/>
          <w:iCs w:val="1"/>
          <w:color w:val="auto"/>
        </w:rPr>
        <w:t>(aa)</w:t>
      </w:r>
      <w:r>
        <w:rPr>
          <w:rFonts w:ascii="Arial" w:cs="Arial" w:eastAsia="Arial" w:hAnsi="Arial"/>
          <w:sz w:val="18"/>
          <w:szCs w:val="18"/>
          <w:color w:val="auto"/>
        </w:rPr>
        <w:t>“</w:t>
      </w:r>
      <w:r>
        <w:rPr>
          <w:rFonts w:ascii="Arial" w:cs="Arial" w:eastAsia="Arial" w:hAnsi="Arial"/>
          <w:sz w:val="18"/>
          <w:szCs w:val="18"/>
          <w:i w:val="1"/>
          <w:iCs w:val="1"/>
          <w:color w:val="auto"/>
        </w:rPr>
        <w:t>Outstanding Company Common Stock</w:t>
      </w:r>
      <w:r>
        <w:rPr>
          <w:rFonts w:ascii="Arial" w:cs="Arial" w:eastAsia="Arial" w:hAnsi="Arial"/>
          <w:sz w:val="18"/>
          <w:szCs w:val="18"/>
          <w:color w:val="auto"/>
        </w:rPr>
        <w:t>” has the meaning specified in Section 2(g)(i).</w:t>
      </w:r>
      <w:r>
        <w:rPr>
          <w:rFonts w:ascii="Arial" w:cs="Arial" w:eastAsia="Arial" w:hAnsi="Arial"/>
          <w:sz w:val="18"/>
          <w:szCs w:val="18"/>
          <w:i w:val="1"/>
          <w:iCs w:val="1"/>
          <w:color w:val="auto"/>
        </w:rPr>
        <w:t xml:space="preserve"> (bb)</w:t>
      </w: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specified in Section 2(g)(i).</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(cc)</w:t>
      </w: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w:t>
      </w:r>
      <w:r>
        <w:rPr>
          <w:rFonts w:ascii="Arial" w:cs="Arial" w:eastAsia="Arial" w:hAnsi="Arial"/>
          <w:sz w:val="18"/>
          <w:szCs w:val="18"/>
          <w:i w:val="1"/>
          <w:iCs w:val="1"/>
          <w:color w:val="auto"/>
        </w:rPr>
        <w:t>individual</w:t>
      </w:r>
      <w:r>
        <w:rPr>
          <w:rFonts w:ascii="Arial" w:cs="Arial" w:eastAsia="Arial" w:hAnsi="Arial"/>
          <w:sz w:val="18"/>
          <w:szCs w:val="18"/>
          <w:color w:val="auto"/>
        </w:rPr>
        <w:t>,” “</w:t>
      </w:r>
      <w:r>
        <w:rPr>
          <w:rFonts w:ascii="Arial" w:cs="Arial" w:eastAsia="Arial" w:hAnsi="Arial"/>
          <w:sz w:val="18"/>
          <w:szCs w:val="18"/>
          <w:i w:val="1"/>
          <w:iCs w:val="1"/>
          <w:color w:val="auto"/>
        </w:rPr>
        <w:t>entity</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within the meaning of Section 13(d)(3) or 14(d)(2) of the 1934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(dd)</w:t>
      </w: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Company’s 2009 Stock Incentive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(ee)</w:t>
      </w: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any Award that is intended to qualify for the Section 162(m) Exemption, as provided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6" w:name="page27"/>
    <w:bookmarkEnd w:id="26"/>
    <w:p>
      <w:pPr>
        <w:ind w:left="340" w:right="20"/>
        <w:spacing w:after="0" w:line="255" w:lineRule="auto"/>
        <w:rPr>
          <w:sz w:val="20"/>
          <w:szCs w:val="20"/>
          <w:color w:val="auto"/>
        </w:rPr>
      </w:pPr>
      <w:r>
        <w:rPr>
          <w:rFonts w:ascii="Arial" w:cs="Arial" w:eastAsia="Arial" w:hAnsi="Arial"/>
          <w:sz w:val="18"/>
          <w:szCs w:val="18"/>
          <w:i w:val="1"/>
          <w:iCs w:val="1"/>
          <w:color w:val="auto"/>
        </w:rPr>
        <w:t>(ff)</w:t>
      </w:r>
      <w:r>
        <w:rPr>
          <w:rFonts w:ascii="Arial" w:cs="Arial" w:eastAsia="Arial" w:hAnsi="Arial"/>
          <w:sz w:val="18"/>
          <w:szCs w:val="18"/>
          <w:color w:val="auto"/>
        </w:rPr>
        <w:t>“</w:t>
      </w:r>
      <w:r>
        <w:rPr>
          <w:rFonts w:ascii="Arial" w:cs="Arial" w:eastAsia="Arial" w:hAnsi="Arial"/>
          <w:sz w:val="18"/>
          <w:szCs w:val="18"/>
          <w:i w:val="1"/>
          <w:iCs w:val="1"/>
          <w:color w:val="auto"/>
        </w:rPr>
        <w:t>Qualified Performance Goal</w:t>
      </w:r>
      <w:r>
        <w:rPr>
          <w:rFonts w:ascii="Arial" w:cs="Arial" w:eastAsia="Arial" w:hAnsi="Arial"/>
          <w:sz w:val="18"/>
          <w:szCs w:val="18"/>
          <w:color w:val="auto"/>
        </w:rPr>
        <w:t>” means a performance goal established by the Committee in connection with the grant of a Qualified Performance-Based Award, which (i) is based on the attainment of specified levels of one ormore Specified Performance Goals, and (ii) is set by the Committee within the time period prescribed by Section 162(m) of the Code; provided, that in the case of a stock option or stock appreciation right, the Qualified Performance Goal shall be considered to have been established without special action by the Committee, by virtue of the fact that the Stock subject to such Award must increase in value over its Fair Market Value on the Grant Date (or over a higher value) in order for the Grantee to realize any compensation from exercising the stock option or stock appreciation right.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(gg)</w:t>
      </w: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RSU</w:t>
      </w:r>
      <w:r>
        <w:rPr>
          <w:rFonts w:ascii="Arial" w:cs="Arial" w:eastAsia="Arial" w:hAnsi="Arial"/>
          <w:sz w:val="18"/>
          <w:szCs w:val="18"/>
          <w:color w:val="auto"/>
        </w:rPr>
        <w:t>” means an Award made pursuant to Section 6(e).</w:t>
      </w:r>
    </w:p>
    <w:p>
      <w:pPr>
        <w:spacing w:after="0" w:line="25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(hh)</w:t>
      </w:r>
      <w:r>
        <w:rPr>
          <w:rFonts w:ascii="Arial" w:cs="Arial" w:eastAsia="Arial" w:hAnsi="Arial"/>
          <w:sz w:val="18"/>
          <w:szCs w:val="18"/>
          <w:color w:val="auto"/>
        </w:rPr>
        <w:t>“</w:t>
      </w:r>
      <w:r>
        <w:rPr>
          <w:rFonts w:ascii="Arial" w:cs="Arial" w:eastAsia="Arial" w:hAnsi="Arial"/>
          <w:sz w:val="18"/>
          <w:szCs w:val="18"/>
          <w:i w:val="1"/>
          <w:iCs w:val="1"/>
          <w:color w:val="auto"/>
        </w:rPr>
        <w:t>Section 16 Grantee</w:t>
      </w:r>
      <w:r>
        <w:rPr>
          <w:rFonts w:ascii="Arial" w:cs="Arial" w:eastAsia="Arial" w:hAnsi="Arial"/>
          <w:sz w:val="18"/>
          <w:szCs w:val="18"/>
          <w:color w:val="auto"/>
        </w:rPr>
        <w:t>” means an individual subject to potential liability under Section 16(b) of the 1934 Act with respect to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of the Company.</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162(m)(4)(C) of the Code.</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(jj)</w:t>
      </w:r>
      <w:r>
        <w:rPr>
          <w:rFonts w:ascii="Arial" w:cs="Arial" w:eastAsia="Arial" w:hAnsi="Arial"/>
          <w:sz w:val="18"/>
          <w:szCs w:val="18"/>
          <w:color w:val="auto"/>
        </w:rPr>
        <w:t>“</w:t>
      </w:r>
      <w:r>
        <w:rPr>
          <w:rFonts w:ascii="Arial" w:cs="Arial" w:eastAsia="Arial" w:hAnsi="Arial"/>
          <w:sz w:val="18"/>
          <w:szCs w:val="18"/>
          <w:i w:val="1"/>
          <w:iCs w:val="1"/>
          <w:color w:val="auto"/>
        </w:rPr>
        <w:t>Service-Vesting Award</w:t>
      </w:r>
      <w:r>
        <w:rPr>
          <w:rFonts w:ascii="Arial" w:cs="Arial" w:eastAsia="Arial" w:hAnsi="Arial"/>
          <w:sz w:val="18"/>
          <w:szCs w:val="18"/>
          <w:color w:val="auto"/>
        </w:rPr>
        <w:t>” means an Award, the vesting of which is contingent solely on the continued service of the Grantee as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or as a non-Employee director of the Company.</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(kk)</w:t>
      </w:r>
      <w:r>
        <w:rPr>
          <w:rFonts w:ascii="Arial" w:cs="Arial" w:eastAsia="Arial" w:hAnsi="Arial"/>
          <w:sz w:val="18"/>
          <w:szCs w:val="18"/>
          <w:color w:val="auto"/>
        </w:rPr>
        <w:t>“</w:t>
      </w:r>
      <w:r>
        <w:rPr>
          <w:rFonts w:ascii="Arial" w:cs="Arial" w:eastAsia="Arial" w:hAnsi="Arial"/>
          <w:sz w:val="18"/>
          <w:szCs w:val="18"/>
          <w:i w:val="1"/>
          <w:iCs w:val="1"/>
          <w:color w:val="auto"/>
        </w:rPr>
        <w:t>Specified Performance Goal</w:t>
      </w:r>
      <w:r>
        <w:rPr>
          <w:rFonts w:ascii="Arial" w:cs="Arial" w:eastAsia="Arial" w:hAnsi="Arial"/>
          <w:sz w:val="18"/>
          <w:szCs w:val="18"/>
          <w:color w:val="auto"/>
        </w:rPr>
        <w:t>” means any of the following measures as applied to the Company as a whole or to any Subsidiary, division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unit of the Company: revenue; operating income; net income; basic or diluted earnings per share; return on revenue; return on assets; return on equity; return on total capital; total shareholder return; or any other measure of financial performance that can be determined pursuant to U.S. generally accepted accounting principles.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(ll)</w:t>
      </w: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 par value $.01 per share.</w:t>
      </w:r>
    </w:p>
    <w:p>
      <w:pPr>
        <w:spacing w:after="0" w:line="252"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i w:val="1"/>
          <w:iCs w:val="1"/>
          <w:color w:val="auto"/>
        </w:rPr>
        <w:t>(mm)</w:t>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any entity in which the Company directly or through intervening subsidiaries owns 50% or more of the total combined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or value of all classes of stock, or, in the case of an unincorporated entity, a 50% or more interest in the capital and profits.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(nn)</w:t>
      </w: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the first date upon which a non-Employee director is not a member of the Board.</w:t>
      </w:r>
    </w:p>
    <w:p>
      <w:pPr>
        <w:spacing w:after="0" w:line="252" w:lineRule="exact"/>
        <w:rPr>
          <w:sz w:val="20"/>
          <w:szCs w:val="20"/>
          <w:color w:val="auto"/>
        </w:rPr>
      </w:pPr>
    </w:p>
    <w:p>
      <w:pPr>
        <w:ind w:right="720" w:firstLine="332"/>
        <w:spacing w:after="0" w:line="277" w:lineRule="auto"/>
        <w:tabs>
          <w:tab w:leader="none" w:pos="669"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of a Grantee means the termination of the Grantee's Employment with the Company and the Subsidiaries, as determined by the Company.</w:t>
      </w:r>
    </w:p>
    <w:p>
      <w:pPr>
        <w:spacing w:after="0" w:line="193" w:lineRule="exact"/>
        <w:rPr>
          <w:rFonts w:ascii="Arial" w:cs="Arial" w:eastAsia="Arial" w:hAnsi="Arial"/>
          <w:sz w:val="18"/>
          <w:szCs w:val="18"/>
          <w:i w:val="1"/>
          <w:iCs w:val="1"/>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this Plan</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As of March 18, 2014, no shares were available for future grant under Prior Plans. If this Plan is approved, those shares, an additional 2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shares returned to the Prior Plans as described in (d) below, will become available for future grants under this Plan, up to a total number of shares of Stock delivered to Grantees pursuant to this Plan of Two million, subject to the other provisions of this Section 3 and to adjustment as provided in Section 22. Such shares may be treasury shares or newly-issued shares or both, as may be determined from time to time by the Board or by the Committee appointed pursuant to Section 4.</w:t>
      </w:r>
    </w:p>
    <w:p>
      <w:pPr>
        <w:spacing w:after="0" w:line="215"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6"/>
          <w:szCs w:val="16"/>
          <w:i w:val="1"/>
          <w:iCs w:val="1"/>
          <w:color w:val="auto"/>
        </w:rPr>
        <w:t>(b)</w:t>
      </w:r>
      <w:r>
        <w:rPr>
          <w:rFonts w:ascii="Arial" w:cs="Arial" w:eastAsia="Arial" w:hAnsi="Arial"/>
          <w:sz w:val="16"/>
          <w:szCs w:val="16"/>
          <w:color w:val="auto"/>
        </w:rPr>
        <w:t>Subject to adjustment as provided in Section 22, the maximum number of shares of Stock for which stock options and stock appreciation rights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to any Grantee in any one-year period shall be at the discretion of the Board of Directors, and the maximum number of shares of Stock that may be granted to any Grantee in any one-year period in the form of restricted stock, and other stock-based awards, in each case that are Qualified Performance-based Awards, shall be at the discretion of the Board of Directors. Subject to the other provisions of this Section 3 and subject to adjustment as provided in Section 22, not more than 15% of the total outstanding shares of the Company may be granted as Bonus Shares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7" w:name="page28"/>
    <w:bookmarkEnd w:id="27"/>
    <w:p>
      <w:pPr>
        <w:ind w:right="140" w:firstLine="324"/>
        <w:spacing w:after="0" w:line="257"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If and to the extent an Award granted under this Plan shall, after the Effective Date, expire or terminate for any reason without having been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full, or shall be forfeited or settled for cash, the shares of Stock (including restricted stock) associated with the expired, terminated or forfeited portion of such Award shall become available for other Awards. In no event shall the number of shares of Stock considered to be delivered pursuant to the exercise of a stock appreciation right include the shares that represent the grant or exercise price thereof, which shares are not delivered to the Grantee upon exercise.</w:t>
      </w:r>
    </w:p>
    <w:p>
      <w:pPr>
        <w:spacing w:after="0" w:line="21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(d)If and to the extent an Award granted under a Prior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Awards under this Plan. If, after the Effective Date, a Grantee uses shares of Stock owned by the Grantee (by either actual delivery or by attestation) to pay the Option Price of any stock option granted under this Plan or a Prior Plan or to satisfy any tax-withholding obligation with respect to an Award granted under this Plan or a Prior Plan, the number of shares of Stock delivered or attested to shall be added to the number of shares of Stock available for delivery under this Plan. To the extent any shares of Stock subject to a stock option granted under this Plan are withheld, after the Effective Date, to satisfy the Option Price of that stock option, or any shares of Stock subject to an Award granted under this Plan are withheld to satisfy any tax-withholding obligation, such shares shall not be deemed to have been delivered for purposes of determining the maximum number of shares of Stock available for delivery under this Plan. To the extent any shares of Stock subject to an Award granted under a Prior Plan are withheld, after the Effective Date, to satisfy any tax-withholding obligation, such shares shall be added to the maximum number of shares of Stock available for delivery under this Plan. Notwithstanding the foregoing, no shares of Stock that become available for Awards granted under this Plan pursuant to the foregoing provisions of this Section 3(d) shall be available for grants of incentive stock options pursuant to Section 6(f).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Administration</w:t>
      </w:r>
    </w:p>
    <w:p>
      <w:pPr>
        <w:spacing w:after="0" w:line="25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(a)Subject to Section 4(b), this Plan shall be administered by a committee appointed by the Board (the “Committee”). All members of the Committee shall be “outside directors” (as defined or interpreted for purposes of the Section 162(m) Exemption). The composition of the Committee also shall be subject to such limitations as the Board deems appropriate to permit transactions in Stock pursuant to this Plan to be exempt from liability under Rule 16b-3 under the 1934 Act and to satisfy the “independence” requirements of any national securities exchange on which the Stock is listed.</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(b)The Board may, in its discretion, reserve to itself any or all of the authority and responsibility of the Committee. To the extent that the Board has reserved to itself the authority and responsibility of the Committee or that the Board has not appointed a Commitee, all references to the Committee in this Plan shall be deemed to refer to the Board.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(c)The Committee shall have full and final authority, in its discretion, but subject to the express provisions of this Plan (including without limitation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23(e)), as follows: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(i)to grant Awards,</w:t>
      </w:r>
    </w:p>
    <w:p>
      <w:pPr>
        <w:spacing w:after="0" w:line="252" w:lineRule="exact"/>
        <w:rPr>
          <w:sz w:val="20"/>
          <w:szCs w:val="20"/>
          <w:color w:val="auto"/>
        </w:rPr>
      </w:pPr>
    </w:p>
    <w:p>
      <w:pPr>
        <w:ind w:right="100" w:firstLine="972"/>
        <w:spacing w:after="0" w:line="277" w:lineRule="auto"/>
        <w:rPr>
          <w:sz w:val="20"/>
          <w:szCs w:val="20"/>
          <w:color w:val="auto"/>
        </w:rPr>
      </w:pPr>
      <w:r>
        <w:rPr>
          <w:rFonts w:ascii="Arial" w:cs="Arial" w:eastAsia="Arial" w:hAnsi="Arial"/>
          <w:sz w:val="18"/>
          <w:szCs w:val="18"/>
          <w:color w:val="auto"/>
        </w:rPr>
        <w:t>(ii)to determine (A) when Awards may be granted, and (B) whether or not specific Awards shall be identified with other specific Awards, and, if so, whether they shall be exercisable cumulatively with or alternatively to such other specific Awards,</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(iii)to interpret this Plan,</w:t>
      </w:r>
    </w:p>
    <w:p>
      <w:pPr>
        <w:spacing w:after="0" w:line="252" w:lineRule="exact"/>
        <w:rPr>
          <w:sz w:val="20"/>
          <w:szCs w:val="20"/>
          <w:color w:val="auto"/>
        </w:rPr>
      </w:pPr>
    </w:p>
    <w:p>
      <w:pPr>
        <w:ind w:right="180" w:firstLine="972"/>
        <w:spacing w:after="0" w:line="257" w:lineRule="auto"/>
        <w:rPr>
          <w:sz w:val="20"/>
          <w:szCs w:val="20"/>
          <w:color w:val="auto"/>
        </w:rPr>
      </w:pPr>
      <w:r>
        <w:rPr>
          <w:rFonts w:ascii="Arial" w:cs="Arial" w:eastAsia="Arial" w:hAnsi="Arial"/>
          <w:sz w:val="18"/>
          <w:szCs w:val="18"/>
          <w:color w:val="auto"/>
        </w:rPr>
        <w:t>(iv)to determine all terms and provisions of all Awards, including without limitation any restrictions or conditions (including specifying such performance criteria as the Committee deems appropriate, and imposing restrictions with respect to Stock acquired upon exercise of a stock option, which restrictions may continue beyond the Grantee's Termination of Employment or Termination of Directorship, as applicable), which shall be set forth in a written (including in an electronic form) agreement for each Award (the “Award Agreements”), which need not be identical, and, with the consent of the Grantee, to modify any such Award Agreement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28" w:name="page29"/>
    <w:bookmarkEnd w:id="28"/>
    <w:p>
      <w:pPr>
        <w:ind w:left="980"/>
        <w:spacing w:after="0"/>
        <w:rPr>
          <w:sz w:val="20"/>
          <w:szCs w:val="20"/>
          <w:color w:val="auto"/>
        </w:rPr>
      </w:pPr>
      <w:r>
        <w:rPr>
          <w:rFonts w:ascii="Arial" w:cs="Arial" w:eastAsia="Arial" w:hAnsi="Arial"/>
          <w:sz w:val="18"/>
          <w:szCs w:val="18"/>
          <w:color w:val="auto"/>
        </w:rPr>
        <w:t>(v)to adopt or to authorize foreign Subsidiaries to adopt Foreign Equity Incentive Plans as provided 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252" w:lineRule="exact"/>
        <w:rPr>
          <w:sz w:val="20"/>
          <w:szCs w:val="20"/>
          <w:color w:val="auto"/>
        </w:rPr>
      </w:pPr>
    </w:p>
    <w:p>
      <w:pPr>
        <w:ind w:right="140" w:firstLine="972"/>
        <w:spacing w:after="0" w:line="259" w:lineRule="auto"/>
        <w:rPr>
          <w:sz w:val="20"/>
          <w:szCs w:val="20"/>
          <w:color w:val="auto"/>
        </w:rPr>
      </w:pPr>
      <w:r>
        <w:rPr>
          <w:rFonts w:ascii="Arial" w:cs="Arial" w:eastAsia="Arial" w:hAnsi="Arial"/>
          <w:sz w:val="18"/>
          <w:szCs w:val="18"/>
          <w:color w:val="auto"/>
        </w:rPr>
        <w:t>(vi)to delegate any or all of its duties and responsibilities under this Plan to any individual or group of individuals it deems appropriate, except its duties and responsibilities with respect to Section 16 Grantees and with respect to Qualified Performance-Based Awards, and (A) the acts of such delegates shall be treated hereunder as acts of the Committee and (B) such delegates shall report to the Committee regarding the delegated duties and responsibilities,</w:t>
      </w:r>
    </w:p>
    <w:p>
      <w:pPr>
        <w:spacing w:after="0" w:line="214" w:lineRule="exact"/>
        <w:rPr>
          <w:sz w:val="20"/>
          <w:szCs w:val="20"/>
          <w:color w:val="auto"/>
        </w:rPr>
      </w:pPr>
    </w:p>
    <w:p>
      <w:pPr>
        <w:ind w:firstLine="972"/>
        <w:spacing w:after="0" w:line="264" w:lineRule="auto"/>
        <w:rPr>
          <w:sz w:val="20"/>
          <w:szCs w:val="20"/>
          <w:color w:val="auto"/>
        </w:rPr>
      </w:pPr>
      <w:r>
        <w:rPr>
          <w:rFonts w:ascii="Arial" w:cs="Arial" w:eastAsia="Arial" w:hAnsi="Arial"/>
          <w:sz w:val="18"/>
          <w:szCs w:val="18"/>
          <w:color w:val="auto"/>
        </w:rPr>
        <w:t>(vii)to accelerate the exercisability of, and to accelerate or waive any or all of the restrictions and conditions applicable to, any Award or any group of Awards, other than the Minimum Vesting Requirement, for any reason, solely to the extent that any such acceleration or waiver would not cause any tax to become due under Section 409A of the Code,</w:t>
      </w:r>
    </w:p>
    <w:p>
      <w:pPr>
        <w:spacing w:after="0" w:line="208" w:lineRule="exact"/>
        <w:rPr>
          <w:sz w:val="20"/>
          <w:szCs w:val="20"/>
          <w:color w:val="auto"/>
        </w:rPr>
      </w:pPr>
    </w:p>
    <w:p>
      <w:pPr>
        <w:ind w:right="40" w:firstLine="972"/>
        <w:spacing w:after="0" w:line="277" w:lineRule="auto"/>
        <w:rPr>
          <w:sz w:val="20"/>
          <w:szCs w:val="20"/>
          <w:color w:val="auto"/>
        </w:rPr>
      </w:pPr>
      <w:r>
        <w:rPr>
          <w:rFonts w:ascii="Arial" w:cs="Arial" w:eastAsia="Arial" w:hAnsi="Arial"/>
          <w:sz w:val="18"/>
          <w:szCs w:val="18"/>
          <w:color w:val="auto"/>
        </w:rPr>
        <w:t>(viii)subject to Section 6(a)(ii), to extend the time during which any Award or group of Awards may be exercised or earned, solely to the extent that any such extension would not cause any tax to become due under Section 409A of the Code,</w:t>
      </w:r>
    </w:p>
    <w:p>
      <w:pPr>
        <w:spacing w:after="0" w:line="197" w:lineRule="exact"/>
        <w:rPr>
          <w:sz w:val="20"/>
          <w:szCs w:val="20"/>
          <w:color w:val="auto"/>
        </w:rPr>
      </w:pPr>
    </w:p>
    <w:p>
      <w:pPr>
        <w:ind w:right="320" w:firstLine="972"/>
        <w:spacing w:after="0" w:line="308" w:lineRule="auto"/>
        <w:rPr>
          <w:sz w:val="20"/>
          <w:szCs w:val="20"/>
          <w:color w:val="auto"/>
        </w:rPr>
      </w:pPr>
      <w:r>
        <w:rPr>
          <w:rFonts w:ascii="Arial" w:cs="Arial" w:eastAsia="Arial" w:hAnsi="Arial"/>
          <w:sz w:val="17"/>
          <w:szCs w:val="17"/>
          <w:color w:val="auto"/>
        </w:rPr>
        <w:t>(ix)to make such adjustments or modifications to Awards granted to or held by Grantees working outside the United States as are necessary and advisable to fulfill the purposes of this Plan or to accommodate the specific requirements of local laws, procedures or practices,</w:t>
      </w:r>
    </w:p>
    <w:p>
      <w:pPr>
        <w:spacing w:after="0" w:line="174" w:lineRule="exact"/>
        <w:rPr>
          <w:sz w:val="20"/>
          <w:szCs w:val="20"/>
          <w:color w:val="auto"/>
        </w:rPr>
      </w:pPr>
    </w:p>
    <w:p>
      <w:pPr>
        <w:jc w:val="both"/>
        <w:ind w:right="380" w:firstLine="972"/>
        <w:spacing w:after="0" w:line="264" w:lineRule="auto"/>
        <w:rPr>
          <w:sz w:val="20"/>
          <w:szCs w:val="20"/>
          <w:color w:val="auto"/>
        </w:rPr>
      </w:pPr>
      <w:r>
        <w:rPr>
          <w:rFonts w:ascii="Arial" w:cs="Arial" w:eastAsia="Arial" w:hAnsi="Arial"/>
          <w:sz w:val="18"/>
          <w:szCs w:val="18"/>
          <w:color w:val="auto"/>
        </w:rPr>
        <w:t>(x)to impose such additional conditions, restrictions and limitations upon the grant, exercise or retention of Awards as the Committee may, before or concurrently with the grant thereof, deem appropriate, including requiring simultaneous exercise of related identified Awards and limiting the percentage of Awards that may from time to time be exercised by a Grantee,</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(xi)notwithstanding Section 8, to prescribe rules and regulations concerning the transferability of 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Awards, and</w:t>
      </w:r>
    </w:p>
    <w:p>
      <w:pPr>
        <w:spacing w:after="0" w:line="252" w:lineRule="exact"/>
        <w:rPr>
          <w:sz w:val="20"/>
          <w:szCs w:val="20"/>
          <w:color w:val="auto"/>
        </w:rPr>
      </w:pPr>
    </w:p>
    <w:p>
      <w:pPr>
        <w:ind w:right="740" w:firstLine="972"/>
        <w:spacing w:after="0" w:line="277" w:lineRule="auto"/>
        <w:rPr>
          <w:sz w:val="20"/>
          <w:szCs w:val="20"/>
          <w:color w:val="auto"/>
        </w:rPr>
      </w:pPr>
      <w:r>
        <w:rPr>
          <w:rFonts w:ascii="Arial" w:cs="Arial" w:eastAsia="Arial" w:hAnsi="Arial"/>
          <w:sz w:val="18"/>
          <w:szCs w:val="18"/>
          <w:color w:val="auto"/>
        </w:rPr>
        <w:t>(xii)to make all other decisions and determinations that may be required pursuant to the Plan or as the Committee deems necessary or advisable to administer the Plan.</w:t>
      </w:r>
    </w:p>
    <w:p>
      <w:pPr>
        <w:spacing w:after="0" w:line="19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The determination of the Committee on all matters relating to this Plan or any Award Agreement shall be made in its sole discretion,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conclusive and final. No member of the Committee shall be liable for any action or determination made in good faith with respect to this Plan or any Award.</w:t>
      </w:r>
    </w:p>
    <w:p>
      <w:pPr>
        <w:spacing w:after="0" w:line="204"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Awards may be granted to any Employee (including any officer) of the Company or any of its domestic Subsidiaries, any Employee, officer or director of any of the Company's foreign Subsidiaries and to any non-Employee director of the Company.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this Plan.</w:t>
      </w:r>
    </w:p>
    <w:p>
      <w:pPr>
        <w:spacing w:after="0" w:line="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Grants </w:t>
      </w:r>
      <w:r>
        <w:rPr>
          <w:rFonts w:ascii="Arial" w:cs="Arial" w:eastAsia="Arial" w:hAnsi="Arial"/>
          <w:sz w:val="18"/>
          <w:szCs w:val="18"/>
          <w:i w:val="1"/>
          <w:iCs w:val="1"/>
          <w:color w:val="auto"/>
        </w:rPr>
        <w:t>(a)General conditions.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(i)The “Grant Date” of an Award shall be the date on which the Committee grants the Award or such later date as specified in advance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9" w:lineRule="exact"/>
        <w:rPr>
          <w:sz w:val="20"/>
          <w:szCs w:val="20"/>
          <w:color w:val="auto"/>
        </w:rPr>
      </w:pPr>
    </w:p>
    <w:p>
      <w:pPr>
        <w:ind w:left="980" w:right="900"/>
        <w:spacing w:after="0" w:line="261" w:lineRule="auto"/>
        <w:rPr>
          <w:sz w:val="20"/>
          <w:szCs w:val="20"/>
          <w:color w:val="auto"/>
        </w:rPr>
      </w:pPr>
      <w:r>
        <w:rPr>
          <w:rFonts w:ascii="Arial" w:cs="Arial" w:eastAsia="Arial" w:hAnsi="Arial"/>
          <w:sz w:val="18"/>
          <w:szCs w:val="18"/>
          <w:color w:val="auto"/>
        </w:rPr>
        <w:t>(ii)The term of each Award shall be a period not longer than 10 years from the Grant Date. (iii)A Grantee may, if otherwise eligible, be granted additional Awards in any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29" w:name="page30"/>
    <w:bookmarkEnd w:id="29"/>
    <w:p>
      <w:pPr>
        <w:ind w:right="160" w:firstLine="324"/>
        <w:spacing w:after="0" w:line="271" w:lineRule="auto"/>
        <w:rPr>
          <w:sz w:val="20"/>
          <w:szCs w:val="20"/>
          <w:color w:val="auto"/>
        </w:rPr>
      </w:pPr>
      <w:r>
        <w:rPr>
          <w:rFonts w:ascii="Arial" w:cs="Arial" w:eastAsia="Arial" w:hAnsi="Arial"/>
          <w:sz w:val="17"/>
          <w:szCs w:val="17"/>
          <w:i w:val="1"/>
          <w:iCs w:val="1"/>
          <w:color w:val="auto"/>
        </w:rPr>
        <w:t>(b)Grant of Stock Options and Option Price</w:t>
      </w:r>
      <w:r>
        <w:rPr>
          <w:rFonts w:ascii="Arial" w:cs="Arial" w:eastAsia="Arial" w:hAnsi="Arial"/>
          <w:sz w:val="17"/>
          <w:szCs w:val="17"/>
          <w:color w:val="auto"/>
        </w:rPr>
        <w:t>. A stock option represents the right to purchase a share of Stock at a predetermined Option Price. No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Grant Date of any stock option, the Committee shall establish the Option Price of such stock option. The per-share Option Price of a stock option shall not be less than 100% of the Fair Market Value of a share of the Stock on the Grant Date. Such Option Price shall be subject to adjustment as provided in Section 22. The applicable Award Agreement may provide that the stock option shall be exercisable for restricted stock. The Committee shall not without the approval of the Company's shareholders, other than pursuant to Section 22, (i) reduce the per-share Option Price of a stock option after it is granted, (ii) cancel a stock option when the per-share Option Price exceeds the Fair Market Value of a share of the Stock in exchange for cash or another Award (other than in connection with a Change in Control), or (iii) take any other action with respect to a stock option that would be treated as a repricing under the rules and regulations of the New York Stock Exchange.</w:t>
      </w:r>
    </w:p>
    <w:p>
      <w:pPr>
        <w:spacing w:after="0" w:line="206"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i w:val="1"/>
          <w:iCs w:val="1"/>
          <w:color w:val="auto"/>
        </w:rPr>
        <w:t>(c)Grant of Stock Bonuses</w:t>
      </w:r>
      <w:r>
        <w:rPr>
          <w:rFonts w:ascii="Arial" w:cs="Arial" w:eastAsia="Arial" w:hAnsi="Arial"/>
          <w:sz w:val="18"/>
          <w:szCs w:val="18"/>
          <w:color w:val="auto"/>
        </w:rPr>
        <w:t>. The Committee may, in its discretion, grant shares of Stock to any Employee eligible under Section 5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other than executive officers of the Company.</w:t>
      </w:r>
    </w:p>
    <w:p>
      <w:pPr>
        <w:spacing w:after="0" w:line="19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(d)Grant of Dividend Equivalents</w:t>
      </w:r>
      <w:r>
        <w:rPr>
          <w:rFonts w:ascii="Arial" w:cs="Arial" w:eastAsia="Arial" w:hAnsi="Arial"/>
          <w:sz w:val="18"/>
          <w:szCs w:val="18"/>
          <w:color w:val="auto"/>
        </w:rPr>
        <w:t>. The Committee may, in its discretion, grant dividend equivalents, which represent the right to receive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shares of Stock measured by the dividends payable with respect to specific shares of Stock or a specified number of shares of Stock. Dividend equivalents may be granted as part of another type of Award, and shall be subject to such terms and conditions as the Committee shall determine; provided, that the Committee shall not provide for payment of dividend equivalents in a manner that would cause any tax to become due under Section 409A of the Code.</w:t>
      </w:r>
    </w:p>
    <w:p>
      <w:pPr>
        <w:spacing w:after="0" w:line="215"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i w:val="1"/>
          <w:iCs w:val="1"/>
          <w:color w:val="auto"/>
        </w:rPr>
        <w:t xml:space="preserve">(e)Grant of Restricted Stock Units (“RSUs”). </w:t>
      </w:r>
      <w:r>
        <w:rPr>
          <w:rFonts w:ascii="Arial" w:cs="Arial" w:eastAsia="Arial" w:hAnsi="Arial"/>
          <w:sz w:val="17"/>
          <w:szCs w:val="17"/>
          <w:color w:val="auto"/>
        </w:rPr>
        <w:t>The Committee may, in its discretion, grant RSUs, which Awards are denominated in, payable in, and</w:t>
      </w:r>
      <w:r>
        <w:rPr>
          <w:rFonts w:ascii="Arial" w:cs="Arial" w:eastAsia="Arial" w:hAnsi="Arial"/>
          <w:sz w:val="17"/>
          <w:szCs w:val="17"/>
          <w:i w:val="1"/>
          <w:iCs w:val="1"/>
          <w:color w:val="auto"/>
        </w:rPr>
        <w:t xml:space="preserve"> </w:t>
      </w:r>
      <w:r>
        <w:rPr>
          <w:rFonts w:ascii="Arial" w:cs="Arial" w:eastAsia="Arial" w:hAnsi="Arial"/>
          <w:sz w:val="17"/>
          <w:szCs w:val="17"/>
          <w:color w:val="auto"/>
        </w:rPr>
        <w:t>valued, in whole or in part, by reference to, shares of Stock. An RSU shall represent the right to receive a payment, in cash, shares of Stock or both (as determined by the Committee), and shall be subject to such terms and conditions as the Committee shall determine.</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(f)Grant of Other Stock-Based Awards</w:t>
      </w:r>
      <w:r>
        <w:rPr>
          <w:rFonts w:ascii="Arial" w:cs="Arial" w:eastAsia="Arial" w:hAnsi="Arial"/>
          <w:sz w:val="17"/>
          <w:szCs w:val="17"/>
          <w:color w:val="auto"/>
        </w:rPr>
        <w:t>. The Committee may, in its discretion, grant other stock-based awards. These are Awards, other than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including incentive stock options), stock bonuses, dividend equivalents and restricted stock units that are denominated in, valued, in whole or in part, by reference to, or otherwise based on or related to, Stock. The purchase, exercise, exchange or conversion of other stock-based awards granted under this Section 6(f) shall be on such terms and conditions and by such methods as shall be specified by the Committee. If the value of any other stock-based award is based on the difference between the excess of the Fair Market Value, on the date such Fair Market Value is determined, over such Award's exercise or grant price, the exercise or grant price for such an Award will not be less than 100% of the Fair Market Value on the Grant Date. If the value of such an Award is based on the full value of a share of Stock, and the Award is a Service-Vesting Award, then such Award shall be subject to the Minimum Vesting Requirement. The Committee shall not without the approval of the Company's shareholders, other than pursuant to Section 22, (i) lower the exercise price of a stock appreciation right after it is granted, (ii) cancel a stock appreciation right when the exercise price exceeds the Fair Market Value of a share of the Stock in exchange for cash or another Award (other than in connection with a Change in Control), or (iii) take any other action with respect to a stock appreciation right that would be treated as a repricing under the rules and regulations of the rules of any national market or quotation system on which the Company</w:t>
      </w:r>
      <w:r>
        <w:rPr>
          <w:rFonts w:ascii="Arial" w:cs="Arial" w:eastAsia="Arial" w:hAnsi="Arial"/>
          <w:sz w:val="17"/>
          <w:szCs w:val="17"/>
          <w:i w:val="1"/>
          <w:iCs w:val="1"/>
          <w:color w:val="auto"/>
        </w:rPr>
        <w:t>’</w:t>
      </w:r>
      <w:r>
        <w:rPr>
          <w:rFonts w:ascii="Arial" w:cs="Arial" w:eastAsia="Arial" w:hAnsi="Arial"/>
          <w:sz w:val="17"/>
          <w:szCs w:val="17"/>
          <w:color w:val="auto"/>
        </w:rPr>
        <w:t>s shares of common stock are listed or quoted.</w:t>
      </w:r>
    </w:p>
    <w:p>
      <w:pPr>
        <w:spacing w:after="0" w:line="20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Grantee's Agreement to Serve</w:t>
      </w:r>
    </w:p>
    <w:p>
      <w:pPr>
        <w:spacing w:after="0" w:line="25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Committee may, in its discretion, require each Grantee who is granted an Award to, execute such Grantee's Award Agreement, and to agree that such Grantee will remain in the employ of the Company or any of its Subsidiaries or remain as a non-Employee director, as applicable, for at least one year after the Grant Date. No obligation of the Company or any of its Subsidiaries as to the length of any Grantee's employment or service as a non-Employee director shall be implied by the terms of this Plan, any grant of an Award hereunder or any Award Agreement. The Company and its Subsidiaries reserve the same rights to terminate employment of any Grantee as existed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Award granted hereunder shall be assigned, encumbered, pledged, sold, transferred, or otherwise disposed of other than by will or the laws of descent and distribution; provided however, that unless otherwise determined by the Committee, a Grantee may designate in writing a beneficiary to exercise or hold, as applicable, his or her Award after such Grantee's death. In the case of a holder after the Grantee's death, an Award shall be transferable solely by will or by the laws of descent and distribution.</w:t>
      </w:r>
    </w:p>
    <w:p>
      <w:pPr>
        <w:spacing w:after="0" w:line="21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i w:val="1"/>
          <w:iCs w:val="1"/>
          <w:color w:val="auto"/>
        </w:rPr>
        <w:t>(a)Exercise of Stock Options</w:t>
      </w:r>
      <w:r>
        <w:rPr>
          <w:rFonts w:ascii="Arial" w:cs="Arial" w:eastAsia="Arial" w:hAnsi="Arial"/>
          <w:sz w:val="17"/>
          <w:szCs w:val="17"/>
          <w:color w:val="auto"/>
        </w:rPr>
        <w:t>. Subject to Sections 4(c)(vii), 12, 13 and 21 and such terms and conditions as the Committee may impose, each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exercisable as and when determined by the Committee; provided that, unless the Committee determines otherwise, each stock option shall be exercisable in one or more installments commencing not earlier than the first anniversary of the Grant Date of such stock option.</w:t>
      </w:r>
    </w:p>
    <w:p>
      <w:pPr>
        <w:spacing w:after="0" w:line="19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stock option shall be exercised by delivery of notice of intent to purchase a specific number of shares of Stock subject to such stock option. Such notice shall be in a manner specified by and satisfactory to the Company. The Option Price of any shares of Stock as to which a stock option shall be exercised shall be paid in full at the time of the exercise. Payment may, at the election of the Grantee, be made in any one or any combination of the following:</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(i)cash,</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(ii)unless otherwise determined by the Committee, Stock owned by the Grantee, valued at its Fair Market Value at the time of exercise,</w:t>
      </w:r>
    </w:p>
    <w:p>
      <w:pPr>
        <w:spacing w:after="0" w:line="264" w:lineRule="exact"/>
        <w:rPr>
          <w:sz w:val="20"/>
          <w:szCs w:val="20"/>
          <w:color w:val="auto"/>
        </w:rPr>
      </w:pPr>
    </w:p>
    <w:p>
      <w:pPr>
        <w:ind w:right="580" w:firstLine="972"/>
        <w:spacing w:after="0" w:line="277" w:lineRule="auto"/>
        <w:rPr>
          <w:sz w:val="20"/>
          <w:szCs w:val="20"/>
          <w:color w:val="auto"/>
        </w:rPr>
      </w:pPr>
      <w:r>
        <w:rPr>
          <w:rFonts w:ascii="Arial" w:cs="Arial" w:eastAsia="Arial" w:hAnsi="Arial"/>
          <w:sz w:val="18"/>
          <w:szCs w:val="18"/>
          <w:color w:val="auto"/>
        </w:rPr>
        <w:t>(iii)with the approval of the Committee, shares of restricted stock held by the Grantee, each valued at the Fair Market Value of a share of Stock at the time of exercise, or</w:t>
      </w:r>
    </w:p>
    <w:p>
      <w:pPr>
        <w:spacing w:after="0" w:line="197" w:lineRule="exact"/>
        <w:rPr>
          <w:sz w:val="20"/>
          <w:szCs w:val="20"/>
          <w:color w:val="auto"/>
        </w:rPr>
      </w:pPr>
    </w:p>
    <w:p>
      <w:pPr>
        <w:ind w:right="380" w:firstLine="972"/>
        <w:spacing w:after="0" w:line="277" w:lineRule="auto"/>
        <w:rPr>
          <w:sz w:val="20"/>
          <w:szCs w:val="20"/>
          <w:color w:val="auto"/>
        </w:rPr>
      </w:pPr>
      <w:r>
        <w:rPr>
          <w:rFonts w:ascii="Arial" w:cs="Arial" w:eastAsia="Arial" w:hAnsi="Arial"/>
          <w:sz w:val="18"/>
          <w:szCs w:val="18"/>
          <w:color w:val="auto"/>
        </w:rPr>
        <w:t>(iv)unless otherwise determined by the Committee, through simultaneous sale through a broker of shares acquired on exercise, as permitted under Regulation T of the Board of Governors of the Federal Reserve System.</w:t>
      </w:r>
    </w:p>
    <w:p>
      <w:pPr>
        <w:spacing w:after="0" w:line="19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If shares of Stock are used to pay the Option Price, such shares of Stock must have been held by the Grantee for more than six months prior to exercise of the stock option, unless otherwise determined by the Committee. Such payment may be made by actual delivery or attestation.</w:t>
      </w:r>
    </w:p>
    <w:p>
      <w:pPr>
        <w:spacing w:after="0" w:line="15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(b)Time of Exercise/Expiration</w:t>
      </w:r>
      <w:r>
        <w:rPr>
          <w:rFonts w:ascii="Arial" w:cs="Arial" w:eastAsia="Arial" w:hAnsi="Arial"/>
          <w:sz w:val="18"/>
          <w:szCs w:val="18"/>
          <w:color w:val="auto"/>
        </w:rPr>
        <w:t>. Notwithstanding anything to the contrary herein, in the event that the final date on which any stock option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exercisable in accordance with the provisions of this Plan (including without limitation Section 12 hereof) is not a Business Day, the last day on which such stock option may be exercised is the last Business Day immediately preceding such date.</w:t>
      </w:r>
    </w:p>
    <w:p>
      <w:pPr>
        <w:spacing w:after="0" w:line="204"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under Section 83(b)</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Committee may, on the Grant Date or any later date, prohibit a Grantee from making the election described below. If the Committee has not prohibited such Grantee from making such election, and the Grantee shall, in connection with the exercise of any stock option, or the grant of any share of restricted stock, make the election permitted under Section 83(b) of the Code (i.e., an election to include in such Grantee's gross income in the year of transfer the amounts specified in Section 83(b) of the Code), such Grantee shall notify the Company of such election within 10 days of filing notice of the election with the U.S. Internal Revenue Service, in addition to complying with any filing and notification required pursuant to regulations issued under the authority of Section 83(b)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1" w:name="page32"/>
    <w:bookmarkEnd w:id="31"/>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5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Whenever, under this Plan, cash or Stock is to be delivered upon exercise or payment of an Award, or any other event occurs that results in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Grantee with respect to an Award, the Company shall be entitled to require (i) that the Grantee remit an amount sufficient to satisfy all U.S. federal, state and local withholding tax requirements related thereto, (ii) the withholding of such sums from compensation otherwise due to the Grantee or from any shares of Stock due to the Grantee under this Plan, (iii) any other method prescribed by the Committee from time to time or (iv) any combination of the foregoing.</w:t>
      </w:r>
    </w:p>
    <w:p>
      <w:pPr>
        <w:spacing w:after="0" w:line="21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If any disqualifying disposition (as defined in Section 421(b) of the Code) is made with respect to shares of Stock acquired under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pursuant to this Plan or any election described in Section 10 is made, then the individual making such disqualifying disposition or election shall remit to the Company an amount sufficient to satisfy all U.S. federal, state and local withholding taxes thereby incurred; provided, that in lieu of or in addition to the foregoing, the Company shall have the right to withhold such sums from compensation otherwise due to the Grantee or from any shares of Stock due to the Grantee under this Plan.</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Notwithstanding the foregoing, in no event shall the amount withheld or remitted in the form of shares of Stock due to a Grantee under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the minimum required by applicable law, except in the case of amounts due to a Grantee working outside the United States where the amount withheld may exceed such minimum, provided that it is not in excess of the actual amount required to be withheld with respect to the Grantee under applicable tax law or regulations.</w:t>
      </w:r>
    </w:p>
    <w:p>
      <w:pPr>
        <w:spacing w:after="0" w:line="21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(d)</w:t>
      </w:r>
      <w:r>
        <w:rPr>
          <w:rFonts w:ascii="Arial" w:cs="Arial" w:eastAsia="Arial" w:hAnsi="Arial"/>
          <w:sz w:val="17"/>
          <w:szCs w:val="17"/>
          <w:color w:val="auto"/>
        </w:rPr>
        <w:t>Although the Company may endeavor to qualify an Award for favorable tax treatment under the laws of the United States or jurisdictions outside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or to avoid adverse tax treatment, the Company makes no representation to that effect and expressly disavows any covenant to maintain favorable or avoid unfavorable tax treatment, notwithstanding anything contrary in this Plan and the Company will have no liability to a Grantee or any other party if a payment under an Award does not receive or maintain such favorable treatment or does not avoid such unfavorable treatment. The Company shall be unconstrained in its corporate activities without regard to the potential tax impact on Grantees.</w:t>
      </w:r>
    </w:p>
    <w:p>
      <w:pPr>
        <w:spacing w:after="0" w:line="196"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The applicable Award Agreement shall specify the treatment of such Award upon the Grantee's Termination of Employment.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applicable Award Agreement, all unvested Awards shall forfeit upon the Grantee's Termination of Employment, and vested stock options shall remain exercisable until the 90th day following Termination of Employment.</w:t>
      </w:r>
    </w:p>
    <w:p>
      <w:pPr>
        <w:spacing w:after="0" w:line="208"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i w:val="1"/>
          <w:iCs w:val="1"/>
          <w:color w:val="auto"/>
        </w:rPr>
        <w:t>(b)Committee Discretion</w:t>
      </w:r>
      <w:r>
        <w:rPr>
          <w:rFonts w:ascii="Arial" w:cs="Arial" w:eastAsia="Arial" w:hAnsi="Arial"/>
          <w:sz w:val="16"/>
          <w:szCs w:val="16"/>
          <w:color w:val="auto"/>
        </w:rPr>
        <w:t>. Notwithstanding the foregoing, the Committee may determine that the consequences of a Termination of Employment for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Award will differ from those in the applicable Grant Agreement after it is granted if the change is favorable to the Grantee, unless otherwise required to comply with applicable laws;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81"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Directorship</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(a)</w:t>
      </w:r>
      <w:r>
        <w:rPr>
          <w:rFonts w:ascii="Arial" w:cs="Arial" w:eastAsia="Arial" w:hAnsi="Arial"/>
          <w:sz w:val="17"/>
          <w:szCs w:val="17"/>
          <w:color w:val="auto"/>
        </w:rPr>
        <w:t>The applicable Award Agreement shall specify the treatment of such Award upon the Director's Termination of Directorship with the Company.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the applicable Award Agreement, all unvested Awards shall forfeit upon the Director's Termination of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2" w:name="page33"/>
    <w:bookmarkEnd w:id="32"/>
    <w:p>
      <w:pPr>
        <w:ind w:right="40" w:firstLine="324"/>
        <w:spacing w:after="0" w:line="276" w:lineRule="auto"/>
        <w:rPr>
          <w:sz w:val="20"/>
          <w:szCs w:val="20"/>
          <w:color w:val="auto"/>
        </w:rPr>
      </w:pPr>
      <w:r>
        <w:rPr>
          <w:rFonts w:ascii="Arial" w:cs="Arial" w:eastAsia="Arial" w:hAnsi="Arial"/>
          <w:sz w:val="17"/>
          <w:szCs w:val="17"/>
          <w:i w:val="1"/>
          <w:iCs w:val="1"/>
          <w:color w:val="auto"/>
        </w:rPr>
        <w:t>(b)Committee Discretion</w:t>
      </w:r>
      <w:r>
        <w:rPr>
          <w:rFonts w:ascii="Arial" w:cs="Arial" w:eastAsia="Arial" w:hAnsi="Arial"/>
          <w:sz w:val="17"/>
          <w:szCs w:val="17"/>
          <w:color w:val="auto"/>
        </w:rPr>
        <w:t>. Notwithstanding the foregoing, the Committee may determine that the consequences of Termination of Directorship for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Award will differ from those in the Applicable Award Agreement after the Award is granted, if the change is favorable to the Grantee;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96"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Foreign Subsidiaries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Committee may adopt or authorize any foreign Subsidiary to adopt a plan for granting Awards (a “Foreign Equity Incentive Plan”). All awards granted under such Foreign Equity Incentive Plans shall be treated as grants under this Plan. Such Foreign Equity Incentive Plans shall have such terms and provisions as the Committee permits not inconsistent with the provisions of this Plan.</w:t>
      </w:r>
    </w:p>
    <w:p>
      <w:pPr>
        <w:spacing w:after="0" w:line="204"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Matters</w:t>
      </w:r>
    </w:p>
    <w:p>
      <w:pPr>
        <w:spacing w:after="0" w:line="256"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(a)If the Committee deems it necessary to comply with the Securities Act of 1933, as amended, and the regulations and rulings thereunder, the Committee may require a written investment intent representation by the Grantee and may require that a restrictive legend be affixed to certificates for shares of Stock.</w:t>
      </w:r>
    </w:p>
    <w:p>
      <w:pPr>
        <w:spacing w:after="0" w:line="20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(b)If, based upon the opinion of counsel for the Company, the Committee determines that the exercise or nonforfeitability of, or delivery of benefits pursuant to, any Award would violate any applicable provision of (i) U.S. federal, state, foreign or local securities law or (ii) the listing requirements of any national securities exchange on which are listed any of the Company's equity securities (together, referred to herein as “Securities Law Requirements”), then the Committee may (A) postpone any such exercise, nonforfeitability or delivery, as the case may be, for not more than 30 days after the date on which such exercise, nonforfeitability or delivery would no longer violate such law or requirements, or (B) amend or cancel some or all of the Awards affected by such Securities Law Requirements, with or without consideration to the relevant Grantees.</w:t>
      </w:r>
    </w:p>
    <w:p>
      <w:pPr>
        <w:spacing w:after="0" w:line="201"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Funding</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Benefits payable under this Plan to any person shall be paid directly by the Company. The Company shall not be required to fund, or otherwise segregate assets to be used for payment of, benefits under this Plan.</w:t>
      </w:r>
    </w:p>
    <w:p>
      <w:pPr>
        <w:spacing w:after="0" w:line="193" w:lineRule="exact"/>
        <w:rPr>
          <w:sz w:val="20"/>
          <w:szCs w:val="20"/>
          <w:color w:val="auto"/>
        </w:rPr>
      </w:pPr>
    </w:p>
    <w:p>
      <w:pPr>
        <w:ind w:left="720" w:hanging="712"/>
        <w:spacing w:after="0"/>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Rights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Neither the establishment of this Plan, nor the granting of any Award, shall be construed to (a) give any Grantee the right to remain employed by the Company or any of its Subsidiaries or to any benefits not specifically provided by this Plan or (b) in any manner modify the right of the Company or any of its Subsidiaries to modify, amend, or terminate any of its employee benefit plans.</w:t>
      </w:r>
    </w:p>
    <w:p>
      <w:pPr>
        <w:spacing w:after="0" w:line="204"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Grantee shall not, by reason of any Award (other than restricted stock), have any right as a stockholder of the Company with respect to the shares of Stock that may be deliverable upon exercise or payment of such Award until such shares have been delivered to him or her.</w:t>
      </w:r>
    </w:p>
    <w:p>
      <w:pPr>
        <w:spacing w:after="0" w:line="193"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Payments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w:t>
      </w:r>
    </w:p>
    <w:p>
      <w:pPr>
        <w:ind w:right="360" w:firstLine="8"/>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agreement between the Company or any Subsidiary, on the one hand, and the Grantee, on the other hand, except as such plan or agreement shall otherwise expressly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33" w:name="page34"/>
    <w:bookmarkEnd w:id="33"/>
    <w:p>
      <w:pPr>
        <w:ind w:left="720" w:hanging="712"/>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Neither the Committee's nor the Board's determinations under this Plan need be uniform, and may be made by the Committee or the Board selectively among individuals who receive, or are eligible to receive, Awards (whether or not such individuals are similarly situated). Without limiting the generality of the foregoing, the Committee shall be entitled, among other things, to make non-uniform and selective determinations, to enter into non-uniform and selective Award Agreements as to (a) the identity of the Grantees, (b) the terms and provisions of Awards, and (c) the treatment, under Section 12, of Terminations of Employment.</w:t>
      </w:r>
    </w:p>
    <w:p>
      <w:pPr>
        <w:spacing w:after="0" w:line="211"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Provisions</w:t>
      </w:r>
    </w:p>
    <w:p>
      <w:pPr>
        <w:spacing w:after="0" w:line="25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Notwithstanding any other provision of this Plan to the contrary, the provisions of this Section 21 shall apply in the event of a Change in Control, unless otherwise determined by the Committee in connection with the grant of an Award (as reflected in the applicable Award Agreement).</w:t>
      </w:r>
    </w:p>
    <w:p>
      <w:pPr>
        <w:spacing w:after="0" w:line="17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(a)Upon a Change in Control, each then-outstanding stock option and stock appreciation right, and each other then-outstanding Award that is a Service-Vesting Award (each, a “Replaced Award”), shall be replaced with another Award meeting the requirements of Section 21(b) (a “Replacement Award”); provided that (i) if a Replacement Award meeting the requirements of Section 21(b) cannot be issued (because, for example, there are no publicly traded equity securities available, such that the requirement described in clause (iii) of the first sentence of Section 21(b) cannot be met), or (ii) the Committee so determines at any time prior to the Change in Control, upon a Change in Control each Replaced Award shall instead become fully vested, exercisable and free of restrictions. The treatment of any Awards which are not Replaced Awards (i.e., Awards other than stock options and stock appreciation rights, which are not Service-Vesting Awards) shall be as determined by the Committee in connection with the grant thereof, as reflected in the applicable Award Agreement.</w:t>
      </w:r>
    </w:p>
    <w:p>
      <w:pPr>
        <w:spacing w:after="0" w:line="19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(b)An Award shall meet the conditions of this Section 21(b) (and hence qualify as a Replacement Award) if: (i) it is of the same type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21(c) below; and (v) its other terms and conditions are not less favorable to the Grantee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21(b) are satisfied shall be made by the Committee, as constituted immediately before the Change in Control, in its sole discretion. Without limiting the generality of the foregoing, the Committee may determine the value of Awards and Replacement Awards that are stock options by reference to either their intrinsic value or their fair value.</w:t>
      </w:r>
    </w:p>
    <w:p>
      <w:pPr>
        <w:spacing w:after="0" w:line="20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(c)Upon a Termination of Employment or Termination of Directorship of a Grantee occurring in connection with or during the period of two years after such Change in Control, other than for Cause, (i) all Replacement Awards held by the Grantee shall become fully vested and (if applicable) exercisable and free of restrictions, and (ii) all stock options and stock appreciation rights held by the Grantee immediately before the Termination of Employment or Termination of Directorship that the Grantee held as of the date of the Change in Control or that constitute Replacement Awards shall remain exercisable for not less than two years following such termination or until the expiration of the stated term of such stock option, whichever period is shorter (provided, that if the applicable Award Agreement provides for a longer period of exercisability, that provision shall control). The treatment described in the preceding sentence shall not apply if the Termination of Employment is initiated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22. Adjustments Upon Certain Changes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shall be subject to any action by the shareholders of the Company required by law, applicable tax rules or the rules of any exchange on which shares of Stock of the Company are listed for trading:</w:t>
      </w:r>
    </w:p>
    <w:p>
      <w:pPr>
        <w:spacing w:after="0" w:line="19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u w:val="single" w:color="auto"/>
          <w:color w:val="auto"/>
        </w:rPr>
        <w:t>(a)Shares Available for Grants.</w:t>
      </w:r>
      <w:r>
        <w:rPr>
          <w:rFonts w:ascii="Arial" w:cs="Arial" w:eastAsia="Arial" w:hAnsi="Arial"/>
          <w:sz w:val="16"/>
          <w:szCs w:val="16"/>
          <w:color w:val="auto"/>
        </w:rPr>
        <w:t xml:space="preserve"> In the event of any change in the number of shares of Stock of the Company outstanding by reason of any stock dividend or split, recapitalization, merger, consolidation, combination or exchange of shares or similar corporate change, the maximum aggregate number of shares of Stock with respect to which the Committee may grant Awards and the maximum aggregate number of shares of Stock with respect to which the Committee may grant Awards to any individual Grantee in any year shall be appropriately adjusted by the Committee. In the event of any change in the number of shares of Stock of the Company outstanding by reason of any other event or transaction, the Committee may, to the extent deemed appropriate by the Committee, make such adjustments in the number and class of shares of Stock with respect to which Awards may be granted.</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u w:val="single" w:color="auto"/>
          <w:color w:val="auto"/>
        </w:rPr>
        <w:t>(b)Increase or Decrease in Issued Shares Without Consideration.</w:t>
      </w:r>
      <w:r>
        <w:rPr>
          <w:rFonts w:ascii="Arial" w:cs="Arial" w:eastAsia="Arial" w:hAnsi="Arial"/>
          <w:sz w:val="18"/>
          <w:szCs w:val="18"/>
          <w:color w:val="auto"/>
        </w:rPr>
        <w:t xml:space="preserve"> In the event of any increase or decrease in the number of issued shares of Stock of the Company resulting from a subdivision or consolidation of shares of Stock of the Company or the payment of a stock dividend (but only on the shares of Stock of the Company), or any other increase or decrease in the number of such shares effected without receipt or payment of consideration by the Company, the Committee may, to the extent deemed appropriate by the Committee, adjust the number of shares of Stock subject to each outstanding Award and the exercise price per share of Stock of each such Award.</w:t>
      </w:r>
    </w:p>
    <w:p>
      <w:pPr>
        <w:spacing w:after="0" w:line="21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u w:val="single" w:color="auto"/>
          <w:color w:val="auto"/>
        </w:rPr>
        <w:t>(c)Certain Mergers.</w:t>
      </w:r>
      <w:r>
        <w:rPr>
          <w:rFonts w:ascii="Arial" w:cs="Arial" w:eastAsia="Arial" w:hAnsi="Arial"/>
          <w:sz w:val="17"/>
          <w:szCs w:val="17"/>
          <w:color w:val="auto"/>
        </w:rPr>
        <w:t xml:space="preserve"> In the event of any merger, consolidation or similar transaction as a result of which the holders of shares of Stock receive consideration consisting exclusively of securities of the surviving corporation in such transaction, the Committee may, to the extent deemed appropriate by the Committee, adjust each Award outstanding on the date of such merger or consolidation so that it pertains and applies to the securities which a holder of the number of shares of Stock subject to such Award would have received in such merger or consolidation.</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u w:val="single" w:color="auto"/>
          <w:color w:val="auto"/>
        </w:rPr>
        <w:t>(d)Certain Other Transactions.</w:t>
      </w:r>
      <w:r>
        <w:rPr>
          <w:rFonts w:ascii="Arial" w:cs="Arial" w:eastAsia="Arial" w:hAnsi="Arial"/>
          <w:sz w:val="18"/>
          <w:szCs w:val="18"/>
          <w:color w:val="auto"/>
        </w:rPr>
        <w:t xml:space="preserve"> In the event of (i) a dissolution or liquidation of the Company, (ii) a sale of all or substantially all of the Company's assets (on a consolidated basis), or (iii) a merger, consolidation or similar transaction involving the Company in which the holders of shares of Stock receive securities and/or other property, including cash, other than shares of the surviving corporation in such transaction, the Committee shall, in its sole discretion, have the power to:</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(i)cancel, effective immediately prior to the occurrence of such event, each Award (whether or not then exercisable or vested), and, in full consideration of such cancellation, pay to the Grantee to whom such Award was granted an amount in cash, for each share of Stock subject to such Award, equal to the value, as determined by the Committee, of such Award, provided that with respect to any outstanding stock option such value shall be equal to the excess of (A) the value, as determined by the Committee, of the property (including cash) received by the holder of a share of Stock as a result of such event over (B) the exercise price of such stock option; or</w:t>
      </w:r>
    </w:p>
    <w:p>
      <w:pPr>
        <w:spacing w:after="0" w:line="21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(ii)provide for the exchange of each Award (whether or not then exercisable or vested) for an Award with respect to some or all of the property which a holder of the number of shares of Stock subject to such Award would have received in such transaction and, incident thereto, make an equitable adjustment as determined by the Committee in the exercise price of the Award, or the number of shares or amount of property subject to the Award or provide for a payment (in cash or other property) to the Grantee to whom such Award was granted in partial consideration for the exchange of the Award.</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(e)Other Changes.</w:t>
      </w:r>
      <w:r>
        <w:rPr>
          <w:rFonts w:ascii="Arial" w:cs="Arial" w:eastAsia="Arial" w:hAnsi="Arial"/>
          <w:sz w:val="17"/>
          <w:szCs w:val="17"/>
          <w:color w:val="auto"/>
        </w:rPr>
        <w:t xml:space="preserve"> In the event of any change in the capitalization of the Company or corporate change other than those specifically referred to in paragraphs 22(b), (c) or (d), the Committee may make such adjustments in the number and class of shares subject to Awards outstanding on the date on which such change occurs and in such other terms of such Awards as the Committee may consider appropriate, provided that if any such Award is intended to be a Qualified Performance-Based Award such adjustment is consistent with the requirements of Section 162(m)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5" w:name="page36"/>
    <w:bookmarkEnd w:id="35"/>
    <w:p>
      <w:pPr>
        <w:ind w:right="20" w:firstLine="324"/>
        <w:spacing w:after="0" w:line="276" w:lineRule="auto"/>
        <w:rPr>
          <w:sz w:val="20"/>
          <w:szCs w:val="20"/>
          <w:color w:val="auto"/>
        </w:rPr>
      </w:pPr>
      <w:r>
        <w:rPr>
          <w:rFonts w:ascii="Arial" w:cs="Arial" w:eastAsia="Arial" w:hAnsi="Arial"/>
          <w:sz w:val="17"/>
          <w:szCs w:val="17"/>
          <w:color w:val="auto"/>
        </w:rPr>
        <w:t xml:space="preserve">(f)No </w:t>
      </w:r>
      <w:r>
        <w:rPr>
          <w:rFonts w:ascii="Arial" w:cs="Arial" w:eastAsia="Arial" w:hAnsi="Arial"/>
          <w:sz w:val="17"/>
          <w:szCs w:val="17"/>
          <w:u w:val="single" w:color="auto"/>
          <w:color w:val="auto"/>
        </w:rPr>
        <w:t>Other Rights.</w:t>
      </w:r>
      <w:r>
        <w:rPr>
          <w:rFonts w:ascii="Arial" w:cs="Arial" w:eastAsia="Arial" w:hAnsi="Arial"/>
          <w:sz w:val="17"/>
          <w:szCs w:val="17"/>
          <w:color w:val="auto"/>
        </w:rPr>
        <w:t xml:space="preserve"> Except as expressly provided in the Plan, no Grantee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20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u w:val="single" w:color="auto"/>
          <w:color w:val="auto"/>
        </w:rPr>
        <w:t>(g)Savings Clause.</w:t>
      </w:r>
      <w:r>
        <w:rPr>
          <w:rFonts w:ascii="Arial" w:cs="Arial" w:eastAsia="Arial" w:hAnsi="Arial"/>
          <w:sz w:val="18"/>
          <w:szCs w:val="18"/>
          <w:color w:val="auto"/>
        </w:rPr>
        <w:t xml:space="preserve"> No provision of this Section 22 shall be given effect to the extent that such provision would cause any tax to become due under Section 409A of the Code.</w:t>
      </w:r>
    </w:p>
    <w:p>
      <w:pPr>
        <w:spacing w:after="0" w:line="19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Awards</w:t>
      </w:r>
    </w:p>
    <w:p>
      <w:pPr>
        <w:spacing w:after="0" w:line="25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(a)The provisions of this Plan are intended to ensure that all stock options and stock appreciation rights granted hereunder to any Grantee who is or may be a “covered employee” (within the meaning of Section 162(m)(3) of the Code) at the time of exercise qualify for the Section 162(m) Exemption, and all such Awards shall therefore be considered Qualified Performance-Based Awards and this Plan shall be interpreted and operated consistent with that intention. The provisions referred to in the preceding sentence include without limitation the limitation on the total amount of such Awards to any Grantee set forth in Section 3(b); the requirement of Section 4(a) that the Committee satisfy the requirements for being “outside directors” for purposes of the Section 162(m) Exemption; the limitations on the discretion of the Committee with respect to Qualified Performance-Based Awards; and the requirements of Sections 6(b) that the Option Price of stock options be not less than the Fair Market Value of the Stock on the Grant Date (which requirement constitutes the Qualified Performance Goal). The base price for determining the value of stock appreciation rights shall not be less than the Fair Market Value of the Stock on the Grant Date (which requirement constitutes the Qualified Performance Goal).</w:t>
      </w:r>
    </w:p>
    <w:p>
      <w:pPr>
        <w:spacing w:after="0" w:line="20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(b)The Committee may designate any Award (other than a stock option or stock appreciation right) as a Qualified Performance-Based Award upon grant, in each case based upon a determination that (i) the Grantee is or may be a “covered employee” (within the meaning of Section 162(m)(3) of the Code) with respect to such Award, and (ii) the Committee wishes such Award to qualify for the Section 162(m) Exemption. The provisions of this Section 23 shall apply to all such Qualified Performance-Based Awards, notwithstanding any other provision of this Plan, other than Section 21.</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(c)Each Qualified Performance-Based Award (other than a stock option or stock appreciation right) shall be earned, vested and payable (as applicable) only upon the achievement of one or more Qualified Performance Goals, together with the satisfaction of any other conditions, such as continued employment, as the Committee may determine to be appropriate; provided that (i) the Committee may provide, either in connection with the grant thereof or by amendment thereafter, that achievement of such Performance Goals will be waived upon the death or Disability of the Grantee, and (ii) the provisions of Section 21 shall apply notwithstanding this sentence.</w:t>
      </w:r>
    </w:p>
    <w:p>
      <w:pPr>
        <w:spacing w:after="0" w:line="21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(d)Qualified Performance Goals may take the form of absolute goals or goals relative to the performance of one or more other companies comparable to the Company or of an index covering multiple companies. In establishing Qualified Performance Goals, the Committee may specify that there shall be excluded the effect of restructuring charges, discontinued operations, extraordinary items, cumulative effects of accounting changes, and other unusual or nonrecurring items, and asset impairment and the effect of foreign currency fluctuations, in each case as those terms are defined under generally accepted accounting principles and provided in each case that such excluded items are objectively determinable by reference to the Company's financial statements, notes to the Company's financial statements and/or management's discussion and analysis in the Company's financial statements.</w:t>
      </w:r>
    </w:p>
    <w:p>
      <w:pPr>
        <w:spacing w:after="0" w:line="19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(e)Except as specifically provided in Section 23(d), no Qualified Performance-Based Award may be amended, nor may the Committee exercise any discretionary authority it may otherwise have under this Plan with respect to a Qualified Performance-Based Award under this Plan, in any manner to waive the achievement of the applicable Qualified Performance Goals or to increase the amount payable pursuant thereto or the value thereof, or otherwise in a manner that would cause the Qualified Performance-Based Award to cease to qualify for the Section 162(m)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36" w:name="page37"/>
    <w:bookmarkEnd w:id="36"/>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w:t>
      </w:r>
    </w:p>
    <w:p>
      <w:pPr>
        <w:spacing w:after="0" w:line="25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Board or the Committee may from time to time in its discretion amend this Plan or Awards, without the approval of the shareholders of the Company, except (i) to the extent required under the listing requirements of any national securities exchange on which are listed any of the Company's equity securities and (ii) to the extent the amendment would result in (A) the reduction of the Option Price of any stock option, (B) cancellation of a stock option when the Option Price exceeds the Fair Market Value of a share of Stock in exchange for cash or another Award (other than in connection with a Change in Control), or (C) any other action with respect to a stock option that would be treated as a repricing under the rules and regulations of the New York Stock Exchange. No such amendment shall adversely affect any previously-granted Award without the consent of the Grantee, except for (x) amendments made to comply with applicable law, stock exchange rules or accounting rules, and (y) amendments that do not materially decrease the value of such Awards. In addition, no such amendment may be made that would cause a Qualified Performance Based Award to cease to qualify for the Section 162(m) Exemption.</w:t>
      </w:r>
    </w:p>
    <w:p>
      <w:pPr>
        <w:spacing w:after="0" w:line="16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this Plan</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Plan shall terminate on the 10th anniversary of the Effective Date or at such earlier time as the Board may determine. Any termination, whether in whole or in part, shall not affect any Award then outstanding under this Plan.</w:t>
      </w:r>
    </w:p>
    <w:p>
      <w:pPr>
        <w:spacing w:after="0" w:line="166"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No Illegal Transactions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Plan and all Awards granted pursuant to it are subject to all laws and regulations of any governmental authority that may be applicable thereto; and, notwithstanding any provision of this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Such circumstances or the inability or impracticability of the Company to obtain or maintain authority from any regulatory body (which authority is deemed by the Company to be necessary for the lawful issuance and/or sale of Stock hereunder) shall relieve the Company of any liability for the failure to issue and/or sell such Stock and shall constitute circumstances in which the Committee may determine to amend or cancel Awards pertaining to such Stock, with or without consideration to the affected Grantees.</w:t>
      </w:r>
    </w:p>
    <w:p>
      <w:pPr>
        <w:spacing w:after="0" w:line="16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Controlling Law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law of the State of Illinois, except its law with respect to choice of law, shall be controlling in all matters relating to this Plan.</w:t>
      </w:r>
    </w:p>
    <w:p>
      <w:pPr>
        <w:spacing w:after="0" w:line="22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5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provision of this Plan shall be given effect to the extent that such provision would cause any tax to become due under Section 409A of the Code. No action, or failure to act, pursuant to this Section 29 or to any other provision of the Plan that references Section 409A of the Code shall subject the Committee, the Board or the Company to any claim, liability or expense, and neither the Committee, the Board nor the Company shall have any obligation to indemnify or otherwise protect any Grantee from the obligation to pay any taxes pursuant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45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38" w:lineRule="exact"/>
        <w:rPr>
          <w:sz w:val="20"/>
          <w:szCs w:val="20"/>
          <w:color w:val="auto"/>
        </w:rPr>
      </w:pPr>
    </w:p>
    <w:p>
      <w:pPr>
        <w:jc w:val="both"/>
        <w:ind w:firstLine="569"/>
        <w:spacing w:after="0" w:line="312" w:lineRule="auto"/>
        <w:rPr>
          <w:sz w:val="20"/>
          <w:szCs w:val="20"/>
          <w:color w:val="auto"/>
        </w:rPr>
      </w:pPr>
      <w:r>
        <w:rPr>
          <w:rFonts w:ascii="Arial" w:cs="Arial" w:eastAsia="Arial" w:hAnsi="Arial"/>
          <w:sz w:val="16"/>
          <w:szCs w:val="16"/>
          <w:color w:val="auto"/>
        </w:rPr>
        <w:t>Pursuant to the authority reserved to the Board of Directors in Section 24 of the TapImmune Inc. 2014 Omnibus Stock Ownership Plan (the “Plan”), the Company hereby amends the terms of the Plan in the following manner, effective as of February 10, 2015, to order to authorize the Company to grant stock options and other equity awards to persons regularly performing services for the Company as consultants and to change the law governing the Plan.</w:t>
      </w:r>
    </w:p>
    <w:p>
      <w:pPr>
        <w:spacing w:after="0" w:line="174"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1 of the Plan (Purpose) is amended to insert the following new subsection (pp) defining the term “Consultant”:</w:t>
      </w:r>
    </w:p>
    <w:p>
      <w:pPr>
        <w:spacing w:after="0" w:line="252" w:lineRule="exact"/>
        <w:rPr>
          <w:rFonts w:ascii="Arial" w:cs="Arial" w:eastAsia="Arial" w:hAnsi="Arial"/>
          <w:sz w:val="18"/>
          <w:szCs w:val="18"/>
          <w:color w:val="auto"/>
        </w:rPr>
      </w:pPr>
    </w:p>
    <w:p>
      <w:pPr>
        <w:ind w:left="660" w:right="660" w:hanging="4"/>
        <w:spacing w:after="0" w:line="277" w:lineRule="auto"/>
        <w:tabs>
          <w:tab w:leader="none" w:pos="16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 individual who has been engaged by the Company or a Subsidiary to render consulting or advisory services on a regular and on-going basis.”</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Section 1 of the Plan is further amended to revise the definition of the term “Termination of Employment” in Subsection 1(oo) to read as follows:</w:t>
      </w:r>
    </w:p>
    <w:p>
      <w:pPr>
        <w:spacing w:after="0" w:line="263" w:lineRule="exact"/>
        <w:rPr>
          <w:rFonts w:ascii="Arial" w:cs="Arial" w:eastAsia="Arial" w:hAnsi="Arial"/>
          <w:sz w:val="17"/>
          <w:szCs w:val="17"/>
          <w:color w:val="auto"/>
        </w:rPr>
      </w:pPr>
    </w:p>
    <w:p>
      <w:pPr>
        <w:jc w:val="both"/>
        <w:ind w:left="660" w:right="640" w:hanging="4"/>
        <w:spacing w:after="0" w:line="312" w:lineRule="auto"/>
        <w:tabs>
          <w:tab w:leader="none" w:pos="1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6"/>
          <w:szCs w:val="16"/>
          <w:b w:val="1"/>
          <w:bCs w:val="1"/>
          <w:i w:val="1"/>
          <w:iCs w:val="1"/>
          <w:color w:val="auto"/>
        </w:rPr>
        <w:t>ermination of Employment</w:t>
      </w:r>
      <w:r>
        <w:rPr>
          <w:rFonts w:ascii="Arial" w:cs="Arial" w:eastAsia="Arial" w:hAnsi="Arial"/>
          <w:sz w:val="16"/>
          <w:szCs w:val="16"/>
          <w:color w:val="auto"/>
        </w:rPr>
        <w:t>” of a Grantee means the termination of the Grantee’s Employment with the Company and the Subsidiaries, as determined by the Company, or, in the case of a Grantee providing services as a Consultant, the date on which the Consultant has completely and permanently ceased to provide such consulting services to the Company, as determined by the Company.”</w:t>
      </w:r>
    </w:p>
    <w:p>
      <w:pPr>
        <w:spacing w:after="0" w:line="173" w:lineRule="exact"/>
        <w:rPr>
          <w:rFonts w:ascii="Arial" w:cs="Arial" w:eastAsia="Arial" w:hAnsi="Arial"/>
          <w:sz w:val="16"/>
          <w:szCs w:val="16"/>
          <w:color w:val="auto"/>
        </w:rPr>
      </w:pPr>
    </w:p>
    <w:p>
      <w:pPr>
        <w:ind w:left="640" w:hanging="63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5 of the Plan (Eligibility) is amended to replace the first sentence of Section 5 with the following:</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“Awards may be granted to any Employee (including any officer) of the Company or any of its domestic subsidiaries, any Employee, officer or director of any of the Company’s foreign subsidiary, to any non-Employee director of the Company, or to any Consultant of the Company designated by the Committee.”</w:t>
      </w:r>
    </w:p>
    <w:p>
      <w:pPr>
        <w:spacing w:after="0" w:line="151"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7 of the Plan (Grantee’s Agreement to Serve) is amended to replace the current first sentence thereof with the following:</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Committee may, in its discretion, require each Grantee who is granted an Award to, execute such Grantee’s Award Agreement, and to agree that such Grantee will remain in the employ of the Company or any of its Subsidiaries, remain as an non-Employee director, or remain as a Consultant, as applicable, for at least one year after the Grant Date. No obligation of the Company or any of its Subsidiaries as to the length of any Grantee’s employment or service as a non-Employee director or Consultant shall be implied by the terms of this Plan, any grant of an Award hereunder or any Award Agreement. The Company and its Subsidiaries reserve the same rights to terminate employment of any Grantee or services of any Consultant as existed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8" w:name="page39"/>
    <w:bookmarkEnd w:id="38"/>
    <w:p>
      <w:pPr>
        <w:ind w:right="2380" w:firstLine="8"/>
        <w:spacing w:after="0" w:line="530" w:lineRule="auto"/>
        <w:tabs>
          <w:tab w:leader="none" w:pos="6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27 of the Plan (Controlling Law) is amended to replace the current sentence thereof with the following: “The law of the State of Nevada shall be controlling in all matters relating to this Plan.”</w:t>
      </w: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Plan on its behalf.</w:t>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3631565</wp:posOffset>
            </wp:positionV>
            <wp:extent cx="7250430" cy="45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040"/>
          </w:cols>
          <w:pgMar w:left="240" w:top="760" w:right="61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38"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Pursuant to the authority reserved to the Board of Directors in Section 24 of the TapImmune Inc. 2014 Omnibus Stock Ownership Plan (the “Plan”), the Company hereby amends the terms of the Plan in the following manner, effective as of November 6, 2015, in order to increase the number of shares of common stock the Company is authorized to issue pursuant to the Plan and to make certain other changes approved by the Board.</w:t>
      </w:r>
    </w:p>
    <w:p>
      <w:pPr>
        <w:spacing w:after="0" w:line="193"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3 of the Plan (“Scope of this Plan”) is amended to revise the first sentence of Subsection 3(a) to read as follows:</w:t>
      </w:r>
    </w:p>
    <w:p>
      <w:pPr>
        <w:spacing w:after="0" w:line="252" w:lineRule="exact"/>
        <w:rPr>
          <w:rFonts w:ascii="Arial" w:cs="Arial" w:eastAsia="Arial" w:hAnsi="Arial"/>
          <w:sz w:val="18"/>
          <w:szCs w:val="18"/>
          <w:color w:val="auto"/>
        </w:rPr>
      </w:pPr>
    </w:p>
    <w:p>
      <w:pPr>
        <w:jc w:val="both"/>
        <w:ind w:left="660" w:right="660"/>
        <w:spacing w:after="0" w:line="297" w:lineRule="auto"/>
        <w:rPr>
          <w:rFonts w:ascii="Arial" w:cs="Arial" w:eastAsia="Arial" w:hAnsi="Arial"/>
          <w:sz w:val="18"/>
          <w:szCs w:val="18"/>
          <w:color w:val="auto"/>
        </w:rPr>
      </w:pPr>
      <w:r>
        <w:rPr>
          <w:rFonts w:ascii="Arial" w:cs="Arial" w:eastAsia="Arial" w:hAnsi="Arial"/>
          <w:sz w:val="16"/>
          <w:szCs w:val="16"/>
          <w:color w:val="auto"/>
        </w:rPr>
        <w:t>“As of March 18, 2014, no shares were available for future grant under Prior Plans. As of the date this Plan became effective, 2 million shares, and any shares which may be returned to the Prior Plans as described in (d) below, became available for future grants under this Plan. An additional 5 million shares shall be reserved for future grants under this Plan, bringing the total number of shares of Stock which may be delivered to Grantees pursuant to this Plan up to a total of seven million shares, plus any shares which may be returned to the Prior Plans as described in (d) below, subject to the other provisions of this Section 3 and to adjustment as provided in Section 22.</w:t>
      </w:r>
    </w:p>
    <w:p>
      <w:pPr>
        <w:spacing w:after="0" w:line="185" w:lineRule="exact"/>
        <w:rPr>
          <w:rFonts w:ascii="Arial" w:cs="Arial" w:eastAsia="Arial" w:hAnsi="Arial"/>
          <w:sz w:val="18"/>
          <w:szCs w:val="18"/>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Subsection 1(v) of the Plan (defining the term “Minimum Vesting Requirement”) is amended to read as follows:</w:t>
      </w:r>
    </w:p>
    <w:p>
      <w:pPr>
        <w:spacing w:after="0" w:line="252"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“(v) “</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the Awards subject to the Minimum Vesting Requirement shall not become nonforfeitable prior to the six month anniversary of the Grant Date or such other vesting date as the Committee may, in its discretion, expressly designate for an Award, subject to Sections 12, 13, and 21.”</w:t>
      </w:r>
    </w:p>
    <w:p>
      <w:pPr>
        <w:spacing w:after="0" w:line="208"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6 of the Plan (“Conditions to Grants”) is amended to revise Subsection 6(c) to read as follows: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Committee may, in its discretion, grant shares of Stock to any Employee or Consultant eligible under Section 5 to receive Awards.”</w:t>
      </w:r>
    </w:p>
    <w:p>
      <w:pPr>
        <w:spacing w:after="0" w:line="264"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6 is further amended to revise the fifth sentence of Subsection 6(f) to read as follows: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value of such an Award is based on the full value of a share of Stock, and the Award is a Service-Vesting Award, then unless the Committee, in its discretion, expressly determines otherwise, the Award shall be subject to the Minimum Vesting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0" w:name="page41"/>
    <w:bookmarkEnd w:id="40"/>
    <w:p>
      <w:pPr>
        <w:ind w:firstLine="648"/>
        <w:spacing w:after="0" w:line="28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Plan on its behalf this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2015.</w:t>
      </w:r>
    </w:p>
    <w:p>
      <w:pPr>
        <w:spacing w:after="0" w:line="88"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4248785</wp:posOffset>
            </wp:positionV>
            <wp:extent cx="7250430" cy="45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040"/>
          </w:cols>
          <w:pgMar w:left="240" w:top="756" w:right="619" w:bottom="1440" w:gutter="0" w:footer="0" w:header="0"/>
        </w:sectPr>
      </w:pPr>
    </w:p>
    <w:bookmarkStart w:id="41" w:name="page42"/>
    <w:bookmarkEnd w:id="41"/>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10.4</w:t>
      </w:r>
    </w:p>
    <w:p>
      <w:pPr>
        <w:spacing w:after="0" w:line="200" w:lineRule="exact"/>
        <w:rPr>
          <w:sz w:val="20"/>
          <w:szCs w:val="20"/>
          <w:color w:val="auto"/>
        </w:rPr>
      </w:pPr>
    </w:p>
    <w:p>
      <w:pPr>
        <w:spacing w:after="0" w:line="324" w:lineRule="exact"/>
        <w:rPr>
          <w:sz w:val="20"/>
          <w:szCs w:val="20"/>
          <w:color w:val="auto"/>
        </w:rPr>
      </w:pPr>
    </w:p>
    <w:p>
      <w:pPr>
        <w:ind w:left="1780"/>
        <w:spacing w:after="0"/>
        <w:tabs>
          <w:tab w:leader="none" w:pos="103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Key Employee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9060" w:type="dxa"/>
            <w:vAlign w:val="bottom"/>
            <w:gridSpan w:val="4"/>
          </w:tcPr>
          <w:p>
            <w:pPr>
              <w:ind w:left="24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39"/>
        </w:trPr>
        <w:tc>
          <w:tcPr>
            <w:tcW w:w="660" w:type="dxa"/>
            <w:vAlign w:val="bottom"/>
          </w:tcPr>
          <w:p>
            <w:pPr>
              <w:spacing w:after="0"/>
              <w:rPr>
                <w:sz w:val="24"/>
                <w:szCs w:val="24"/>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Exercise Price:</w:t>
            </w:r>
          </w:p>
        </w:tc>
        <w:tc>
          <w:tcPr>
            <w:tcW w:w="520" w:type="dxa"/>
            <w:vAlign w:val="bottom"/>
            <w:gridSpan w:val="2"/>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4"/>
              </w:rPr>
              <w:t>The purchase price for these shares will be $_______ per share.</w:t>
            </w:r>
          </w:p>
        </w:tc>
        <w:tc>
          <w:tcPr>
            <w:tcW w:w="394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660" w:type="dxa"/>
            <w:vAlign w:val="bottom"/>
            <w:gridSpan w:val="3"/>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2"/>
              </w:rPr>
              <w:t>The “Date of Grant” for your Stock Options is ___________, 2015.</w:t>
            </w:r>
          </w:p>
        </w:tc>
        <w:tc>
          <w:tcPr>
            <w:tcW w:w="3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2"/>
              </w:rPr>
              <w:t>You may exercise your Stock Options after they become “vested.”</w:t>
            </w:r>
          </w:p>
        </w:tc>
        <w:tc>
          <w:tcPr>
            <w:tcW w:w="3940" w:type="dxa"/>
            <w:vAlign w:val="bottom"/>
          </w:tcPr>
          <w:p>
            <w:pPr>
              <w:ind w:left="20"/>
              <w:spacing w:after="0"/>
              <w:rPr>
                <w:sz w:val="20"/>
                <w:szCs w:val="20"/>
                <w:color w:val="auto"/>
              </w:rPr>
            </w:pPr>
            <w:r>
              <w:rPr>
                <w:rFonts w:ascii="Arial" w:cs="Arial" w:eastAsia="Arial" w:hAnsi="Arial"/>
                <w:sz w:val="18"/>
                <w:szCs w:val="18"/>
                <w:color w:val="auto"/>
                <w:w w:val="92"/>
              </w:rPr>
              <w:t>Vesting is subject to your continued employment with</w:t>
            </w:r>
          </w:p>
        </w:tc>
      </w:tr>
      <w:tr>
        <w:trPr>
          <w:trHeight w:val="237"/>
        </w:trPr>
        <w:tc>
          <w:tcPr>
            <w:tcW w:w="6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TapImmune through the following vesting dates.</w:t>
            </w:r>
          </w:p>
        </w:tc>
        <w:tc>
          <w:tcPr>
            <w:tcW w:w="3940" w:type="dxa"/>
            <w:vAlign w:val="bottom"/>
          </w:tcPr>
          <w:p>
            <w:pPr>
              <w:spacing w:after="0"/>
              <w:rPr>
                <w:sz w:val="20"/>
                <w:szCs w:val="20"/>
                <w:color w:val="auto"/>
              </w:rPr>
            </w:pPr>
          </w:p>
        </w:tc>
      </w:tr>
      <w:tr>
        <w:trPr>
          <w:trHeight w:val="682"/>
        </w:trPr>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9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2" w:name="page43"/>
    <w:bookmarkEnd w:id="42"/>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Key Employee:</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902"/>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 w:name="page44"/>
    <w:bookmarkEnd w:id="43"/>
    <w:p>
      <w:pPr>
        <w:ind w:left="1780"/>
        <w:spacing w:after="0"/>
        <w:tabs>
          <w:tab w:leader="none" w:pos="103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Key Employee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key employee of the Company named in the first page of this Award Agreement (the “Participant”) stock options under the TapImmune Inc. 2014 Omnibus Stock Ownership Plan (the “Plan”). These stock options will give the Participant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firstLine="494"/>
        <w:spacing w:after="0" w:line="277" w:lineRule="auto"/>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Participant stock options to purchase the number of shares of the Company’s Common Stock, $0.001 par value per share (“Common Stock”), specified on the first page of the Award Agreement.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Participant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3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Participant continues to be employed by the Company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5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Participant other than by will or the laws of descent and distribution. During the lifetime of the Participant, the Stock Options shall be exercisable only by such Participant (or by the Participant’s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Participant by delivery of a written notice signed by the Participant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Participant,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must exercise the Stock Options for at least 100 shares, or, if less the full number of shares shown as Purchasable Shares in the vesting schedule set forth on page 1 of this Agreement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Participant,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Participant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Participant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right="20" w:hanging="65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Participant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right="20" w:firstLine="494"/>
        <w:spacing w:after="0" w:line="286" w:lineRule="auto"/>
        <w:tabs>
          <w:tab w:leader="none" w:pos="90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Participant upon exercise of the Stock Options shall be delivered to the Participant (or to the person to whom the rights of the Participant shall have passed by will or the laws of descent and distribution) as promptly after the date of exercise as is feasible, but not before the Participant has paid the Exercise Price for such shares.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55" w:lineRule="auto"/>
        <w:tabs>
          <w:tab w:leader="none" w:pos="918"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In connection with the exercise of the Stock Options, the Company shall notify the Participant of the amount of tax (if any) that must be withheld by the Company under all applicable federal, state and local tax laws. In such event, the Participant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Participant already owns with a value equal to the required amount, (d) authorize the deduction of the required amount of tax from the Participant’s regular cash compensation from the Company, or (e) otherwise provide for payment of the required amount in any other manner satisfactory to the Company.</w:t>
      </w:r>
    </w:p>
    <w:p>
      <w:pPr>
        <w:spacing w:after="0" w:line="216" w:lineRule="exact"/>
        <w:rPr>
          <w:rFonts w:ascii="Arial" w:cs="Arial" w:eastAsia="Arial" w:hAnsi="Arial"/>
          <w:sz w:val="18"/>
          <w:szCs w:val="18"/>
          <w:color w:val="auto"/>
        </w:rPr>
      </w:pPr>
    </w:p>
    <w:p>
      <w:pPr>
        <w:jc w:val="both"/>
        <w:ind w:firstLine="494"/>
        <w:spacing w:after="0" w:line="312" w:lineRule="auto"/>
        <w:tabs>
          <w:tab w:leader="none" w:pos="89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left="820" w:hanging="326"/>
        <w:spacing w:after="0"/>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of Services</w:t>
      </w:r>
      <w:r>
        <w:rPr>
          <w:rFonts w:ascii="Arial" w:cs="Arial" w:eastAsia="Arial" w:hAnsi="Arial"/>
          <w:sz w:val="16"/>
          <w:szCs w:val="16"/>
          <w:color w:val="auto"/>
        </w:rPr>
        <w:t>. In the event of the termination of the Participant’s employment by the Company, other than a termination that is either</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Cause, (ii) voluntarily initiated on the part of the Participant and without written consent of the Company,</w:t>
      </w:r>
    </w:p>
    <w:p>
      <w:pPr>
        <w:spacing w:after="0" w:line="237" w:lineRule="exact"/>
        <w:rPr>
          <w:rFonts w:ascii="Arial" w:cs="Arial" w:eastAsia="Arial" w:hAnsi="Arial"/>
          <w:sz w:val="18"/>
          <w:szCs w:val="18"/>
          <w:color w:val="auto"/>
        </w:rPr>
      </w:pPr>
    </w:p>
    <w:p>
      <w:pPr>
        <w:ind w:left="1220" w:hanging="334"/>
        <w:spacing w:after="0"/>
        <w:tabs>
          <w:tab w:leader="none" w:pos="1220" w:val="left"/>
        </w:tabs>
        <w:numPr>
          <w:ilvl w:val="2"/>
          <w:numId w:val="52"/>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Participant may exercise the vested portion of the Stock Options at any time within ninety (90) days after such termination of employment to the extent of the number of shares which were Purchasable Shares under the vesting schedule on the first page of this Award Agreement at the date of such termination.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Participant’s employment with the Company that is either (i) for Cause or (ii) voluntarily initiated on the part of the Participant and without the written consent of the Company, all of the Stock Options which have not previously been exercised shall terminate immediately and shall not thereafter be or become exercisable.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494"/>
        <w:spacing w:after="0" w:line="273" w:lineRule="auto"/>
        <w:tabs>
          <w:tab w:leader="none" w:pos="80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Participant’s death while employed by the Company or within three months after termination of such employment (if such termination of employment was not for cause), the Stock Options shall remain in effect and may be exercised by the Participant’s executor or administrator, or the Participant’s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Participant’s death or (b) the expiration date of the Stock Options specified on the first page of the Award Agreement.</w:t>
      </w:r>
    </w:p>
    <w:p>
      <w:pPr>
        <w:spacing w:after="0" w:line="205" w:lineRule="exact"/>
        <w:rPr>
          <w:rFonts w:ascii="Arial" w:cs="Arial" w:eastAsia="Arial" w:hAnsi="Arial"/>
          <w:sz w:val="17"/>
          <w:szCs w:val="17"/>
          <w:color w:val="auto"/>
        </w:rPr>
      </w:pPr>
    </w:p>
    <w:p>
      <w:pPr>
        <w:ind w:firstLine="494"/>
        <w:spacing w:after="0" w:line="342" w:lineRule="auto"/>
        <w:tabs>
          <w:tab w:leader="none" w:pos="80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The Participant represents, warrants, and agrees as follows, and the parties agree that the Company may rely on the same in consummating the issuance of any shares of the Common Stock to the Participant pursuant to the Stock Options (the “Option Shares”):</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Participant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Participant with respect to such matters.</w:t>
      </w:r>
    </w:p>
    <w:p>
      <w:pPr>
        <w:spacing w:after="0" w:line="19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Option Shares (in making this representation, attention has been given to whether the Participant can afford to hold the Option Shares for an indefinite period of time and whether, at this time, the Participant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Participant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8" w:lineRule="exact"/>
        <w:rPr>
          <w:rFonts w:ascii="Arial" w:cs="Arial" w:eastAsia="Arial" w:hAnsi="Arial"/>
          <w:sz w:val="18"/>
          <w:szCs w:val="18"/>
          <w:color w:val="auto"/>
        </w:rPr>
      </w:pPr>
    </w:p>
    <w:p>
      <w:pPr>
        <w:jc w:val="both"/>
        <w:ind w:firstLine="494"/>
        <w:spacing w:after="0" w:line="293" w:lineRule="auto"/>
        <w:tabs>
          <w:tab w:leader="none" w:pos="81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Participant acknowledges that the issuance of capital stock of the Company is subject to limitations imposed by federal and state law, and the Participant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Participant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7" w:name="page48"/>
    <w:bookmarkEnd w:id="47"/>
    <w:p>
      <w:pPr>
        <w:jc w:val="both"/>
        <w:ind w:left="-20" w:firstLine="494"/>
        <w:spacing w:after="0" w:line="264"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Participant nor any person to whom the rights of the Participant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left="-20" w:firstLine="494"/>
        <w:spacing w:after="0" w:line="273" w:lineRule="auto"/>
        <w:tabs>
          <w:tab w:leader="none" w:pos="83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Participant has not already executed a non-competition agreement with the Company, the Participant shall provide the Company with a signed non-competition agreement simultaneously with the execution of the Award Agreement. The Participant’s execution and delivery of such a non-competition agreement in a form reasonably satisfactory to the Company shall be a condition to the Company’s obligation to issue any shares to the Participant upon exercise of the Stock Options granted under this Agreement. In consideration of the Stock Options,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left="-20" w:firstLine="494"/>
        <w:spacing w:after="0" w:line="259"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Participant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780" w:hanging="30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00" w:hanging="334"/>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hanging="334"/>
        <w:spacing w:after="0" w:line="342" w:lineRule="auto"/>
        <w:tabs>
          <w:tab w:leader="none" w:pos="12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Participant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00" w:hanging="334"/>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93" w:lineRule="exact"/>
        <w:rPr>
          <w:rFonts w:ascii="Arial" w:cs="Arial" w:eastAsia="Arial" w:hAnsi="Arial"/>
          <w:sz w:val="18"/>
          <w:szCs w:val="18"/>
          <w:color w:val="auto"/>
        </w:rPr>
      </w:pPr>
    </w:p>
    <w:p>
      <w:pPr>
        <w:ind w:left="1200" w:hanging="334"/>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00" w:hanging="334"/>
        <w:spacing w:after="0" w:line="277" w:lineRule="auto"/>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Participant any right with respect to continue his employment with the Company or otherwise continue to provide his services to the Company.</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10.5</w:t>
      </w:r>
    </w:p>
    <w:p>
      <w:pPr>
        <w:spacing w:after="0" w:line="200" w:lineRule="exact"/>
        <w:rPr>
          <w:sz w:val="20"/>
          <w:szCs w:val="20"/>
          <w:color w:val="auto"/>
        </w:rPr>
      </w:pPr>
    </w:p>
    <w:p>
      <w:pPr>
        <w:spacing w:after="0" w:line="289" w:lineRule="exact"/>
        <w:rPr>
          <w:sz w:val="20"/>
          <w:szCs w:val="20"/>
          <w:color w:val="auto"/>
        </w:rPr>
      </w:pPr>
    </w:p>
    <w:p>
      <w:pPr>
        <w:ind w:left="1100"/>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860" w:type="dxa"/>
            <w:vAlign w:val="bottom"/>
          </w:tcPr>
          <w:p>
            <w:pPr>
              <w:spacing w:after="0"/>
              <w:rPr>
                <w:sz w:val="17"/>
                <w:szCs w:val="17"/>
                <w:color w:val="auto"/>
              </w:rPr>
            </w:pP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____________ shares of common stock, par value $0.001 per</w:t>
            </w:r>
          </w:p>
        </w:tc>
      </w:tr>
      <w:tr>
        <w:trPr>
          <w:trHeight w:val="237"/>
        </w:trPr>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share.</w:t>
            </w:r>
          </w:p>
        </w:tc>
        <w:tc>
          <w:tcPr>
            <w:tcW w:w="3820" w:type="dxa"/>
            <w:vAlign w:val="bottom"/>
          </w:tcPr>
          <w:p>
            <w:pPr>
              <w:spacing w:after="0"/>
              <w:rPr>
                <w:sz w:val="20"/>
                <w:szCs w:val="20"/>
                <w:color w:val="auto"/>
              </w:rPr>
            </w:pPr>
          </w:p>
        </w:tc>
      </w:tr>
      <w:tr>
        <w:trPr>
          <w:trHeight w:val="41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Exercise Price:</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w w:val="96"/>
              </w:rPr>
              <w:t>The purchase price for these shares will be $_______ per share.</w:t>
            </w:r>
          </w:p>
        </w:tc>
        <w:tc>
          <w:tcPr>
            <w:tcW w:w="38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9"/>
        </w:trPr>
        <w:tc>
          <w:tcPr>
            <w:tcW w:w="2360" w:type="dxa"/>
            <w:vAlign w:val="bottom"/>
            <w:gridSpan w:val="6"/>
          </w:tcPr>
          <w:p>
            <w:pPr>
              <w:spacing w:after="0"/>
              <w:rPr>
                <w:sz w:val="20"/>
                <w:szCs w:val="20"/>
                <w:color w:val="auto"/>
              </w:rPr>
            </w:pPr>
            <w:r>
              <w:rPr>
                <w:rFonts w:ascii="Arial" w:cs="Arial" w:eastAsia="Arial" w:hAnsi="Arial"/>
                <w:sz w:val="18"/>
                <w:szCs w:val="18"/>
                <w:color w:val="auto"/>
              </w:rPr>
              <w:t>Date of Grant:</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The “Date of Grant” for your Stock Options is ___________,</w:t>
            </w:r>
          </w:p>
        </w:tc>
        <w:tc>
          <w:tcPr>
            <w:tcW w:w="3820" w:type="dxa"/>
            <w:vAlign w:val="bottom"/>
          </w:tcPr>
          <w:p>
            <w:pPr>
              <w:spacing w:after="0"/>
              <w:rPr>
                <w:sz w:val="24"/>
                <w:szCs w:val="24"/>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w w:val="94"/>
              </w:rPr>
              <w:t>You may exercise your Stock Options after they become “vested.”</w:t>
            </w:r>
          </w:p>
        </w:tc>
        <w:tc>
          <w:tcPr>
            <w:tcW w:w="3820" w:type="dxa"/>
            <w:vAlign w:val="bottom"/>
          </w:tcPr>
          <w:p>
            <w:pPr>
              <w:ind w:left="60"/>
              <w:spacing w:after="0"/>
              <w:rPr>
                <w:sz w:val="20"/>
                <w:szCs w:val="20"/>
                <w:color w:val="auto"/>
              </w:rPr>
            </w:pPr>
            <w:r>
              <w:rPr>
                <w:rFonts w:ascii="Arial" w:cs="Arial" w:eastAsia="Arial" w:hAnsi="Arial"/>
                <w:sz w:val="18"/>
                <w:szCs w:val="18"/>
                <w:color w:val="auto"/>
                <w:w w:val="93"/>
              </w:rPr>
              <w:t>Vesting is subject to your continued service on the</w:t>
            </w:r>
          </w:p>
        </w:tc>
      </w:tr>
      <w:tr>
        <w:trPr>
          <w:trHeight w:val="237"/>
        </w:trPr>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gridSpan w:val="4"/>
          </w:tcPr>
          <w:p>
            <w:pPr>
              <w:ind w:left="240"/>
              <w:spacing w:after="0"/>
              <w:rPr>
                <w:sz w:val="20"/>
                <w:szCs w:val="20"/>
                <w:color w:val="auto"/>
              </w:rPr>
            </w:pPr>
            <w:r>
              <w:rPr>
                <w:rFonts w:ascii="Arial" w:cs="Arial" w:eastAsia="Arial" w:hAnsi="Arial"/>
                <w:sz w:val="18"/>
                <w:szCs w:val="18"/>
                <w:color w:val="auto"/>
              </w:rPr>
              <w:t>Board of Directors of TapImmune through the following vesting dates.</w:t>
            </w:r>
          </w:p>
        </w:tc>
      </w:tr>
      <w:tr>
        <w:trPr>
          <w:trHeight w:val="682"/>
        </w:trPr>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9" w:name="page50"/>
    <w:bookmarkEnd w:id="49"/>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902"/>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0" w:name="page51"/>
    <w:bookmarkEnd w:id="50"/>
    <w:p>
      <w:pPr>
        <w:ind w:left="1100"/>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member of the Board of Directors of the Company named in the first page of this Award Agreement (the “Director”) stock options under the TapImmune Inc. 2014 Omnibus Stock Ownership Plan (the “Plan”). These stock options will give the Director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right="20" w:firstLine="494"/>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Director stock options to purchase the number of shares of the Company’s Common Stock, $0.001 par value per share (“Common Stock”), specified on the first page of the Award Agreement.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2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Director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Director continues to serve as member of the Board of Directors of the Company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6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Director other than by will or the laws of descent and distribution. During the lifetime of the Director, the Stock Options shall be exercisable only by such Director (or by the Director’s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Director by delivery of a written notice signed by the Director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Director,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 must exercise the Stock Options for at least 100 shares, or, if less the full number of shares shown as Purchasable Shares in the vesting schedule set forth on page 1 of this Agreement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Director,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Director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Director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Director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firstLine="494"/>
        <w:spacing w:after="0" w:line="286"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Director upon exercise of the Stock Options shall be delivered to the Director (or to the person to whom the rights of the Director shall have passed by will or the laws of descent and distribution) as promptly after the date of exercise as is feasible, but not before the Director has paid the Exercise Price for such shares.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71" w:lineRule="auto"/>
        <w:tabs>
          <w:tab w:leader="none" w:pos="95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Director should be a common law employee of the Company at the time the Stock Options are exercised, or in the event the Company otherwise determines that payroll tax withholding is otherwise legally required in connection with the exercise of the Stock Options, the Company shall notify the Director of the amount of tax (if any) that must be withheld by the Company under all applicable federal, state and local tax laws. In such event, the Director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Director already owns with a value equal to the required amount, (d) authorize the deduction of the required amount of tax from the Director’s regular cash compensation from the Company, or (e) otherwise provide for payment of the required amount in any other manner satisfactory to the Company.</w:t>
      </w:r>
    </w:p>
    <w:p>
      <w:pPr>
        <w:spacing w:after="0" w:line="205" w:lineRule="exact"/>
        <w:rPr>
          <w:rFonts w:ascii="Arial" w:cs="Arial" w:eastAsia="Arial" w:hAnsi="Arial"/>
          <w:sz w:val="17"/>
          <w:szCs w:val="17"/>
          <w:color w:val="auto"/>
        </w:rPr>
      </w:pPr>
    </w:p>
    <w:p>
      <w:pPr>
        <w:jc w:val="both"/>
        <w:ind w:firstLine="494"/>
        <w:spacing w:after="0" w:line="312" w:lineRule="auto"/>
        <w:tabs>
          <w:tab w:leader="none" w:pos="89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firstLine="494"/>
        <w:spacing w:after="0" w:line="277" w:lineRule="auto"/>
        <w:tabs>
          <w:tab w:leader="none" w:pos="85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In the event of the termination of the Director’s service on the Board of Directors of the Company, other than a termination that is either (i) for Cause, (ii) voluntarily initiated on the part of the Director and without written consent of the Company,</w:t>
      </w:r>
    </w:p>
    <w:p>
      <w:pPr>
        <w:spacing w:after="0" w:line="197" w:lineRule="exact"/>
        <w:rPr>
          <w:rFonts w:ascii="Arial" w:cs="Arial" w:eastAsia="Arial" w:hAnsi="Arial"/>
          <w:sz w:val="18"/>
          <w:szCs w:val="18"/>
          <w:color w:val="auto"/>
        </w:rPr>
      </w:pPr>
    </w:p>
    <w:p>
      <w:pPr>
        <w:ind w:left="1220" w:hanging="334"/>
        <w:spacing w:after="0"/>
        <w:tabs>
          <w:tab w:leader="none" w:pos="12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Director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Director’s consulting services that is either (i) for Cause or (ii) voluntarily initiated on the part of the Director and without the written consent of the Company, all of the Stock Options which have not previously been exercised shall terminate immediately and shall not thereafter be or become exercisable.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3" w:name="page54"/>
    <w:bookmarkEnd w:id="53"/>
    <w:p>
      <w:pPr>
        <w:jc w:val="both"/>
        <w:ind w:firstLine="494"/>
        <w:spacing w:after="0" w:line="273" w:lineRule="auto"/>
        <w:tabs>
          <w:tab w:leader="none" w:pos="80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Director’s death while serving on the Board of Directors of the Company or within three months after termination of such services (if such departure from the Board was not for cause), the Stock Options shall remain in effect and may be exercised by the Director’s executor or administrator, or the Director’s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Director’s death or (b) the expiration date of the Stock Options specified on the first page of the Award Agreement.</w:t>
      </w:r>
    </w:p>
    <w:p>
      <w:pPr>
        <w:spacing w:after="0" w:line="205" w:lineRule="exact"/>
        <w:rPr>
          <w:rFonts w:ascii="Arial" w:cs="Arial" w:eastAsia="Arial" w:hAnsi="Arial"/>
          <w:sz w:val="17"/>
          <w:szCs w:val="17"/>
          <w:color w:val="auto"/>
        </w:rPr>
      </w:pPr>
    </w:p>
    <w:p>
      <w:pPr>
        <w:ind w:firstLine="494"/>
        <w:spacing w:after="0" w:line="308" w:lineRule="auto"/>
        <w:tabs>
          <w:tab w:leader="none" w:pos="80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Representations of Director</w:t>
      </w:r>
      <w:r>
        <w:rPr>
          <w:rFonts w:ascii="Arial" w:cs="Arial" w:eastAsia="Arial" w:hAnsi="Arial"/>
          <w:sz w:val="17"/>
          <w:szCs w:val="17"/>
          <w:color w:val="auto"/>
        </w:rPr>
        <w:t>. The Director represents, warrants, and agrees as follows, and the parties agree that the Company may rely on the same in consummating the issuance of any shares of the Common Stock to the Director pursuant to the Stock Options (the “Option Shares”):</w:t>
      </w:r>
    </w:p>
    <w:p>
      <w:pPr>
        <w:spacing w:after="0" w:line="173"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Director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Director with respect to such matters.</w:t>
      </w:r>
    </w:p>
    <w:p>
      <w:pPr>
        <w:spacing w:after="0" w:line="1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Director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Director is willing and able to bear the economic risk of an investment in the Option Shares (in making this representation, attention has been given to whether the Director can afford to hold the Option Shares for an indefinite period of time and whether, at this time, the Director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Director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8" w:lineRule="exact"/>
        <w:rPr>
          <w:rFonts w:ascii="Arial" w:cs="Arial" w:eastAsia="Arial" w:hAnsi="Arial"/>
          <w:sz w:val="18"/>
          <w:szCs w:val="18"/>
          <w:color w:val="auto"/>
        </w:rPr>
      </w:pPr>
    </w:p>
    <w:p>
      <w:pPr>
        <w:jc w:val="both"/>
        <w:ind w:firstLine="494"/>
        <w:spacing w:after="0" w:line="293" w:lineRule="auto"/>
        <w:tabs>
          <w:tab w:leader="none" w:pos="81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Director acknowledges that the issuance of capital stock of the Company is subject to limitations imposed by federal and state law, and the Director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Director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4" w:name="page55"/>
    <w:bookmarkEnd w:id="54"/>
    <w:p>
      <w:pPr>
        <w:jc w:val="both"/>
        <w:ind w:left="-20" w:firstLine="494"/>
        <w:spacing w:after="0" w:line="264" w:lineRule="auto"/>
        <w:tabs>
          <w:tab w:leader="none" w:pos="7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Director nor any person to whom the rights of the Director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left="-20" w:firstLine="494"/>
        <w:spacing w:after="0" w:line="273" w:lineRule="auto"/>
        <w:tabs>
          <w:tab w:leader="none" w:pos="78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Director has not already executed a non-competition agreement with the Company, the Director shall provide the Company with a signed non-competition agreement simultaneously with the execution of the Award Agreement. The Director’s execution and delivery of such a non-competition agreement in a form reasonably satisfactory to the Company shall be a condition to the Company’s obligation to issue any shares to the Director upon exercise of the Stock Options granted under this Agreement. In consideration of the Stock Options, the Director agrees that if, at any time during the period set forth in non-competition agreement, the Director should violate the covenants not to compete or the non-solicitation covenants set forth in the non-competition agreement without the express prior consent of the Company, the Director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left="-20" w:firstLine="494"/>
        <w:spacing w:after="0" w:line="259" w:lineRule="auto"/>
        <w:tabs>
          <w:tab w:leader="none" w:pos="80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Director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780" w:hanging="30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00" w:hanging="334"/>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hanging="334"/>
        <w:spacing w:after="0" w:line="342" w:lineRule="auto"/>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Director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00" w:hanging="334"/>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97" w:lineRule="auto"/>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Director,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58" w:lineRule="exact"/>
        <w:rPr>
          <w:rFonts w:ascii="Arial" w:cs="Arial" w:eastAsia="Arial" w:hAnsi="Arial"/>
          <w:sz w:val="16"/>
          <w:szCs w:val="16"/>
          <w:color w:val="auto"/>
        </w:rPr>
      </w:pPr>
    </w:p>
    <w:p>
      <w:pPr>
        <w:ind w:left="1200" w:hanging="334"/>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00" w:hanging="334"/>
        <w:spacing w:after="0" w:line="277"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Director any right with respect to continue to serve as a member of the Board of Directors of the Company or otherwise continue to provide his services to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55" w:name="page56"/>
    <w:bookmarkEnd w:id="55"/>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10.6</w:t>
      </w:r>
    </w:p>
    <w:p>
      <w:pPr>
        <w:spacing w:after="0" w:line="281" w:lineRule="exact"/>
        <w:rPr>
          <w:sz w:val="20"/>
          <w:szCs w:val="20"/>
          <w:color w:val="auto"/>
        </w:rPr>
      </w:pPr>
    </w:p>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860" w:type="dxa"/>
            <w:vAlign w:val="bottom"/>
          </w:tcPr>
          <w:p>
            <w:pPr>
              <w:spacing w:after="0"/>
              <w:rPr>
                <w:sz w:val="17"/>
                <w:szCs w:val="17"/>
                <w:color w:val="auto"/>
              </w:rPr>
            </w:pP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39"/>
        </w:trPr>
        <w:tc>
          <w:tcPr>
            <w:tcW w:w="660" w:type="dxa"/>
            <w:vAlign w:val="bottom"/>
          </w:tcPr>
          <w:p>
            <w:pPr>
              <w:spacing w:after="0"/>
              <w:rPr>
                <w:sz w:val="24"/>
                <w:szCs w:val="24"/>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Exercise Price:</w:t>
            </w:r>
          </w:p>
        </w:tc>
        <w:tc>
          <w:tcPr>
            <w:tcW w:w="520" w:type="dxa"/>
            <w:vAlign w:val="bottom"/>
            <w:gridSpan w:val="2"/>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w w:val="95"/>
              </w:rPr>
              <w:t>The purchase price for these shares will be $_______ per share.</w:t>
            </w:r>
          </w:p>
        </w:tc>
        <w:tc>
          <w:tcPr>
            <w:tcW w:w="388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6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The “Date of Grant” for your Stock Options is ___________, 201_.</w:t>
            </w: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w w:val="93"/>
              </w:rPr>
              <w:t>You may exercise your Stock Options after they become “vested.”</w:t>
            </w:r>
          </w:p>
        </w:tc>
        <w:tc>
          <w:tcPr>
            <w:tcW w:w="3880" w:type="dxa"/>
            <w:vAlign w:val="bottom"/>
          </w:tcPr>
          <w:p>
            <w:pPr>
              <w:ind w:left="60"/>
              <w:spacing w:after="0"/>
              <w:rPr>
                <w:sz w:val="20"/>
                <w:szCs w:val="20"/>
                <w:color w:val="auto"/>
              </w:rPr>
            </w:pPr>
            <w:r>
              <w:rPr>
                <w:rFonts w:ascii="Arial" w:cs="Arial" w:eastAsia="Arial" w:hAnsi="Arial"/>
                <w:sz w:val="18"/>
                <w:szCs w:val="18"/>
                <w:color w:val="auto"/>
                <w:w w:val="92"/>
              </w:rPr>
              <w:t>Vesting is subject to your continued performance of</w:t>
            </w:r>
          </w:p>
        </w:tc>
      </w:tr>
      <w:tr>
        <w:trPr>
          <w:trHeight w:val="237"/>
        </w:trPr>
        <w:tc>
          <w:tcPr>
            <w:tcW w:w="6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services for TapImmune through the following vesting dates.</w:t>
            </w:r>
          </w:p>
        </w:tc>
        <w:tc>
          <w:tcPr>
            <w:tcW w:w="3880" w:type="dxa"/>
            <w:vAlign w:val="bottom"/>
          </w:tcPr>
          <w:p>
            <w:pPr>
              <w:spacing w:after="0"/>
              <w:rPr>
                <w:sz w:val="20"/>
                <w:szCs w:val="20"/>
                <w:color w:val="auto"/>
              </w:rPr>
            </w:pPr>
          </w:p>
        </w:tc>
      </w:tr>
      <w:tr>
        <w:trPr>
          <w:trHeight w:val="682"/>
        </w:trPr>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6" w:name="page57"/>
    <w:bookmarkEnd w:id="56"/>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Consultant</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659"/>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7" w:name="page58"/>
    <w:bookmarkEnd w:id="57"/>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consultant of the Company named in the first page of this Award Agreement (the “Consultant”) stock options under the TapImmune Inc. 2014 Omnibus Stock Ownership Plan (the “Plan”). These stock options will give the Consultant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firstLine="494"/>
        <w:spacing w:after="0" w:line="277" w:lineRule="auto"/>
        <w:tabs>
          <w:tab w:leader="none" w:pos="66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Consultant stock options to purchase the number of shares of the Company’s Common Stock, $0.001 par value per share (“Common Stock”), specified on the first page of the Award Agreement by reference.</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Consultant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Consultant continues to regularly perform services for the Company as a consultant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5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Consultant other than by will or the laws of descent and distribution. During the lifetime of the Consultant, the Stock Options shall be exercisable only by such Consultant (or by such Consultant’s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Consultant by delivery of a written notice signed by the Consultant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Consultant,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9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Consultant must exercise the Stock Options for at least 100 shares, or, if less the full number of shares shown as Purchasable Shares in the vesting schedule in the Notice of Grant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Consultant,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Consultant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Consultant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Consultant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firstLine="494"/>
        <w:spacing w:after="0" w:line="286" w:lineRule="auto"/>
        <w:tabs>
          <w:tab w:leader="none" w:pos="72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Consultant upon exercise of the Stock Options shall be delivered to the Consultant (or to the person to whom the rights of the Consultant shall have passed by will or the laws of descent and distribution) as promptly after the date of exercise as is feasible, but not before the Consultant has paid the Exercise Price for such shares.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71" w:lineRule="auto"/>
        <w:tabs>
          <w:tab w:leader="none" w:pos="72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Consultant is a common law employee of the Company at the time the Stock Options are exercised, or in the event the Company otherwise determines that payroll tax withholding is otherwise legally required in connection with the exercise of the Stock Options, the Company shall notify the Consultant of the amount of tax (if any) that must be withheld by the Company under all applicable federal, state and local tax laws. In such event, the Consultant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Consultant already owns with a value equal to the required amount, (d) authorize the deduction of the required amount of tax from the Consultant’s regular cash compensation from the Company, or (e) otherwise provide for payment of the required amount in any other manner satisfactory to the Company.</w:t>
      </w:r>
    </w:p>
    <w:p>
      <w:pPr>
        <w:spacing w:after="0" w:line="205" w:lineRule="exact"/>
        <w:rPr>
          <w:rFonts w:ascii="Arial" w:cs="Arial" w:eastAsia="Arial" w:hAnsi="Arial"/>
          <w:sz w:val="17"/>
          <w:szCs w:val="17"/>
          <w:color w:val="auto"/>
        </w:rPr>
      </w:pPr>
    </w:p>
    <w:p>
      <w:pPr>
        <w:jc w:val="both"/>
        <w:ind w:firstLine="494"/>
        <w:spacing w:after="0" w:line="312" w:lineRule="auto"/>
        <w:tabs>
          <w:tab w:leader="none" w:pos="89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firstLine="494"/>
        <w:spacing w:after="0" w:line="277" w:lineRule="auto"/>
        <w:tabs>
          <w:tab w:leader="none" w:pos="8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Services</w:t>
      </w:r>
      <w:r>
        <w:rPr>
          <w:rFonts w:ascii="Arial" w:cs="Arial" w:eastAsia="Arial" w:hAnsi="Arial"/>
          <w:sz w:val="18"/>
          <w:szCs w:val="18"/>
          <w:color w:val="auto"/>
        </w:rPr>
        <w:t>. In the event of the termination of the Consultant’s consulting services for the Company, other than a termination that is either (i) for Cause, (ii) voluntarily initiated on the part of the Consultant and without written consent of the Company,</w:t>
      </w:r>
    </w:p>
    <w:p>
      <w:pPr>
        <w:spacing w:after="0" w:line="197" w:lineRule="exact"/>
        <w:rPr>
          <w:rFonts w:ascii="Arial" w:cs="Arial" w:eastAsia="Arial" w:hAnsi="Arial"/>
          <w:sz w:val="18"/>
          <w:szCs w:val="18"/>
          <w:color w:val="auto"/>
        </w:rPr>
      </w:pPr>
    </w:p>
    <w:p>
      <w:pPr>
        <w:ind w:left="1220" w:hanging="334"/>
        <w:spacing w:after="0"/>
        <w:tabs>
          <w:tab w:leader="none" w:pos="12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Consultant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In the event of a termination of the Consultant’s consulting services that is either (i) for Cause or (ii) voluntarily initiated on the part of the Consultant and without the written consent of the Company, all of the Stock Options which have not previously been exercised shall terminate immediately and shall not thereafter be or become exercisable.</w:t>
      </w:r>
    </w:p>
    <w:p>
      <w:pPr>
        <w:spacing w:after="0" w:line="208" w:lineRule="exact"/>
        <w:rPr>
          <w:sz w:val="20"/>
          <w:szCs w:val="20"/>
          <w:color w:val="auto"/>
        </w:rPr>
      </w:pPr>
    </w:p>
    <w:p>
      <w:pPr>
        <w:jc w:val="both"/>
        <w:ind w:firstLine="494"/>
        <w:spacing w:after="0" w:line="255" w:lineRule="auto"/>
        <w:tabs>
          <w:tab w:leader="none" w:pos="82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Death of Consultant</w:t>
      </w:r>
      <w:r>
        <w:rPr>
          <w:rFonts w:ascii="Arial" w:cs="Arial" w:eastAsia="Arial" w:hAnsi="Arial"/>
          <w:sz w:val="18"/>
          <w:szCs w:val="18"/>
          <w:color w:val="auto"/>
        </w:rPr>
        <w:t>. In the event of the Consultant’s death while performing consulting services for the Company or within three months after termination of such consulting services (if such termination was neither (i) for cause nor (ii) voluntary on the part of the Consultant and without the written consent of the Company), the Stock Options shall remain in effect and may be exercised by the Consultant’s executor or administrator, or the Consultant’s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Consultant’s death or (b) the expiration date of the Stock Options specified on the first page of the Award Agreement.</w:t>
      </w:r>
    </w:p>
    <w:p>
      <w:pPr>
        <w:spacing w:after="0" w:line="216" w:lineRule="exact"/>
        <w:rPr>
          <w:rFonts w:ascii="Arial" w:cs="Arial" w:eastAsia="Arial" w:hAnsi="Arial"/>
          <w:sz w:val="18"/>
          <w:szCs w:val="18"/>
          <w:color w:val="auto"/>
        </w:rPr>
      </w:pPr>
    </w:p>
    <w:p>
      <w:pPr>
        <w:ind w:firstLine="494"/>
        <w:spacing w:after="0" w:line="342" w:lineRule="auto"/>
        <w:tabs>
          <w:tab w:leader="none" w:pos="80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Representations of Consultant</w:t>
      </w:r>
      <w:r>
        <w:rPr>
          <w:rFonts w:ascii="Arial" w:cs="Arial" w:eastAsia="Arial" w:hAnsi="Arial"/>
          <w:sz w:val="16"/>
          <w:szCs w:val="16"/>
          <w:color w:val="auto"/>
        </w:rPr>
        <w:t>. The Consultant represents, warrants, and agrees as follows, and the parties agree that the Company may rely on the same in consummating the issuance of any shares of the Common Stock to the Consultant pursuant to the Stock Options (the “Option Shares”):</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Consultant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Consultant with respect to such matters.</w:t>
      </w:r>
    </w:p>
    <w:p>
      <w:pPr>
        <w:spacing w:after="0" w:line="19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Consultant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Consultant is willing and able to bear the economic risk of an investment in the Option Shares (in making this representation, attention has been given to whether the Consultant can afford to hold the Option Shares for an indefinite period of time and whether, at this time, the Consultant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Consultant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1" w:name="page62"/>
    <w:bookmarkEnd w:id="61"/>
    <w:p>
      <w:pPr>
        <w:jc w:val="both"/>
        <w:ind w:firstLine="494"/>
        <w:spacing w:after="0" w:line="273" w:lineRule="auto"/>
        <w:tabs>
          <w:tab w:leader="none" w:pos="81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 and Other Regulatory Matters</w:t>
      </w:r>
      <w:r>
        <w:rPr>
          <w:rFonts w:ascii="Arial" w:cs="Arial" w:eastAsia="Arial" w:hAnsi="Arial"/>
          <w:sz w:val="17"/>
          <w:szCs w:val="17"/>
          <w:color w:val="auto"/>
        </w:rPr>
        <w:t>. The Consultant acknowledges that the issuance of capital stock of the Company is subject to limitations imposed by federal and state law, and the Consultant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Consultant agrees that he or she will provide the Company with the following representations, and with such information as is reasonably requested by the Company or its counsel to determine whether the issuance of Common Stock complies with the provisions described by this Section 9.</w:t>
      </w:r>
    </w:p>
    <w:p>
      <w:pPr>
        <w:spacing w:after="0" w:line="205" w:lineRule="exact"/>
        <w:rPr>
          <w:rFonts w:ascii="Arial" w:cs="Arial" w:eastAsia="Arial" w:hAnsi="Arial"/>
          <w:sz w:val="17"/>
          <w:szCs w:val="17"/>
          <w:color w:val="auto"/>
        </w:rPr>
      </w:pPr>
    </w:p>
    <w:p>
      <w:pPr>
        <w:jc w:val="both"/>
        <w:ind w:firstLine="494"/>
        <w:spacing w:after="0" w:line="264"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Consultant nor any person to whom the rights of the Consultant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firstLine="494"/>
        <w:spacing w:after="0" w:line="273" w:lineRule="auto"/>
        <w:tabs>
          <w:tab w:leader="none" w:pos="85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Consultant has not already executed a non-competition agreement with the Company, the Consultant shall provide the Company with a signed non-competition agreement simultaneously with the execution of the Award Agreement. The Consultant’s execution and delivery of such a non-competition agreement in a form reasonably satisfactory to the Company shall be a condition to the Company’s obligation to issue any shares to the Consultant upon exercise of the Stock Options granted under this Agreement. In consideration of the Stock Options, the Consultant agrees that if, at any time during the period set forth in non-competition agreement, the Consultant should violate the covenants not to compete or the non-solicitation covenants set forth in the non-competition agreement without the express prior consent of the Company, the Consultant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firstLine="494"/>
        <w:spacing w:after="0" w:line="259"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Consultant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800" w:hanging="30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34"/>
        <w:spacing w:after="0" w:line="342" w:lineRule="auto"/>
        <w:tabs>
          <w:tab w:leader="none" w:pos="12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Consultant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20" w:hanging="33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20" w:hanging="334"/>
        <w:spacing w:after="0" w:line="255"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Consultant,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220" w:lineRule="exact"/>
        <w:rPr>
          <w:rFonts w:ascii="Arial" w:cs="Arial" w:eastAsia="Arial" w:hAnsi="Arial"/>
          <w:sz w:val="18"/>
          <w:szCs w:val="18"/>
          <w:color w:val="auto"/>
        </w:rPr>
      </w:pPr>
    </w:p>
    <w:p>
      <w:pPr>
        <w:ind w:left="1220" w:hanging="33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20" w:hanging="334"/>
        <w:spacing w:after="0" w:line="277"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Consultant any right with respect to continuance of consulting services for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45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2" w:name="page63"/>
    <w:bookmarkEnd w:id="62"/>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10.7</w:t>
      </w:r>
    </w:p>
    <w:p>
      <w:pPr>
        <w:spacing w:after="0" w:line="200" w:lineRule="exact"/>
        <w:rPr>
          <w:sz w:val="20"/>
          <w:szCs w:val="20"/>
          <w:color w:val="auto"/>
        </w:rPr>
      </w:pPr>
    </w:p>
    <w:p>
      <w:pPr>
        <w:spacing w:after="0" w:line="270" w:lineRule="exact"/>
        <w:rPr>
          <w:sz w:val="20"/>
          <w:szCs w:val="20"/>
          <w:color w:val="auto"/>
        </w:rPr>
      </w:pPr>
    </w:p>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_________________</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TapImmune Inc. hereby grants you the number of shares of our common stock, par value $0.001 per share (the “Restricted Shares”) set forth below. These Restricted Shares are subject to the vesting conditions and other terms and conditions set forth in the TapImmune Inc. 2014 Omnibus Stock Ownership Plan (the “Plan”) and in the Terms and Conditions of Restricted Shares attached as Exhibit 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in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Vesting Schedule:</w:t>
      </w:r>
    </w:p>
    <w:p>
      <w:pPr>
        <w:spacing w:after="0" w:line="225" w:lineRule="exact"/>
        <w:rPr>
          <w:sz w:val="20"/>
          <w:szCs w:val="20"/>
          <w:color w:val="auto"/>
        </w:rPr>
      </w:pPr>
    </w:p>
    <w:p>
      <w:pPr>
        <w:ind w:left="1140"/>
        <w:spacing w:after="0"/>
        <w:tabs>
          <w:tab w:leader="none" w:pos="4220" w:val="left"/>
          <w:tab w:leader="none" w:pos="7920" w:val="left"/>
        </w:tabs>
        <w:rPr>
          <w:sz w:val="20"/>
          <w:szCs w:val="20"/>
          <w:color w:val="auto"/>
        </w:rPr>
      </w:pPr>
      <w:r>
        <w:rPr>
          <w:rFonts w:ascii="Arial" w:cs="Arial" w:eastAsia="Arial" w:hAnsi="Arial"/>
          <w:sz w:val="18"/>
          <w:szCs w:val="18"/>
          <w:b w:val="1"/>
          <w:bCs w:val="1"/>
          <w:color w:val="auto"/>
        </w:rPr>
        <w:t>Vesting Date</w:t>
      </w:r>
      <w:r>
        <w:rPr>
          <w:sz w:val="20"/>
          <w:szCs w:val="20"/>
          <w:color w:val="auto"/>
        </w:rPr>
        <w:tab/>
      </w:r>
      <w:r>
        <w:rPr>
          <w:rFonts w:ascii="Arial" w:cs="Arial" w:eastAsia="Arial" w:hAnsi="Arial"/>
          <w:sz w:val="18"/>
          <w:szCs w:val="18"/>
          <w:b w:val="1"/>
          <w:bCs w:val="1"/>
          <w:color w:val="auto"/>
        </w:rPr>
        <w:t>Number of Purchasable Shares</w:t>
      </w:r>
      <w:r>
        <w:rPr>
          <w:sz w:val="20"/>
          <w:szCs w:val="20"/>
          <w:color w:val="auto"/>
        </w:rPr>
        <w:tab/>
      </w:r>
      <w:r>
        <w:rPr>
          <w:rFonts w:ascii="Arial" w:cs="Arial" w:eastAsia="Arial" w:hAnsi="Arial"/>
          <w:sz w:val="16"/>
          <w:szCs w:val="16"/>
          <w:b w:val="1"/>
          <w:bCs w:val="1"/>
          <w:color w:val="auto"/>
        </w:rPr>
        <w:t>Total Number of Purchasable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Notwithstanding the foregoing, the Restricted Shares shall become fully vested upon a “change in control” (as this term is defined in the Plan).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signature below acknowledges your agreement that the Restricted Shares granted to you are subject to all of the terms and conditions contained in the Plan and in Appendix A. PLEASE BE SURE TO READ APPENDIX A, WHICH CONTAINS THE SPECIFIC TERMS AND CONDITIONS OF YOUR RESTRICTED SHARES.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sign one copy of this Restricted Stock Award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760" w:type="dxa"/>
            <w:vAlign w:val="bottom"/>
          </w:tcPr>
          <w:p>
            <w:pPr>
              <w:spacing w:after="0"/>
              <w:rPr>
                <w:sz w:val="20"/>
                <w:szCs w:val="20"/>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w:t>
            </w:r>
          </w:p>
        </w:tc>
        <w:tc>
          <w:tcPr>
            <w:tcW w:w="6760" w:type="dxa"/>
            <w:vAlign w:val="bottom"/>
          </w:tcPr>
          <w:p>
            <w:pPr>
              <w:ind w:left="198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6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6760" w:type="dxa"/>
            <w:vAlign w:val="bottom"/>
          </w:tcPr>
          <w:p>
            <w:pPr>
              <w:spacing w:after="0"/>
              <w:rPr>
                <w:sz w:val="24"/>
                <w:szCs w:val="24"/>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60" w:type="dxa"/>
            <w:vAlign w:val="bottom"/>
          </w:tcPr>
          <w:p>
            <w:pPr>
              <w:ind w:left="60"/>
              <w:spacing w:after="0"/>
              <w:rPr>
                <w:sz w:val="20"/>
                <w:szCs w:val="20"/>
                <w:color w:val="auto"/>
              </w:rPr>
            </w:pPr>
            <w:r>
              <w:rPr>
                <w:rFonts w:ascii="Arial" w:cs="Arial" w:eastAsia="Arial" w:hAnsi="Arial"/>
                <w:sz w:val="18"/>
                <w:szCs w:val="18"/>
                <w:color w:val="auto"/>
              </w:rPr>
              <w:t>Print name:____________________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Date</w:t>
            </w:r>
          </w:p>
        </w:tc>
      </w:tr>
      <w:tr>
        <w:trPr>
          <w:trHeight w:val="659"/>
        </w:trPr>
        <w:tc>
          <w:tcPr>
            <w:tcW w:w="46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Participant:______________Restricted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this Restricted Stock Award Agreement, TapImmune Inc. (the “Company”) has granted the key employee of the Company named in the first page of this Award Agreement (the “Participant”) shares of the common stock, par value $0.001 per share, of the Company under the TapImmune Inc. 2014 Omnibus Stock Ownership Plan (the “Plan”). This award will give the Participant the right to receive the number of shares of the Company’s Common Stock indicated on the first page of this Award Agreement, subject to and conditioned upon, the vesting requirements and other conditions set forth in this Award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Restricted Shares are as follows:</w:t>
      </w:r>
    </w:p>
    <w:p>
      <w:pPr>
        <w:spacing w:after="0" w:line="248" w:lineRule="exact"/>
        <w:rPr>
          <w:sz w:val="20"/>
          <w:szCs w:val="20"/>
          <w:color w:val="auto"/>
        </w:rPr>
      </w:pPr>
    </w:p>
    <w:p>
      <w:pPr>
        <w:jc w:val="both"/>
        <w:ind w:firstLine="656"/>
        <w:spacing w:after="0" w:line="261" w:lineRule="auto"/>
        <w:tabs>
          <w:tab w:leader="none" w:pos="1278"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grants to the Participant the number of shares of the common stock, $0.001 par value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the Company specified on the first page of this Award Agreement, subject to satisfaction of the vesting schedule set forth on the first page of this Award Agreement and the other conditions set forth in this Agreement and the terms of the Plan. The Restricted Shares shall be subject to the risk of forfeiture and other restrictions imposed by Sections 3 and 8 of these Terms and Conditions.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Participant shall not be required to provide the Company with any payment in exchange for such Restricted Shares, other than the Participant’s past and future services to the Company.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the terms of the Plan related to Restricted Shares are incorporated into this Award Agreement by reference. Defined terms not explicitly defined in this Award Agreement but defined in the Plan shall have the same definitions as in the Plan.</w:t>
      </w:r>
    </w:p>
    <w:p>
      <w:pPr>
        <w:spacing w:after="0" w:line="193" w:lineRule="exact"/>
        <w:rPr>
          <w:sz w:val="20"/>
          <w:szCs w:val="20"/>
          <w:color w:val="auto"/>
        </w:rPr>
      </w:pPr>
    </w:p>
    <w:p>
      <w:pPr>
        <w:ind w:left="1280" w:hanging="624"/>
        <w:spacing w:after="0"/>
        <w:tabs>
          <w:tab w:leader="none" w:pos="1280"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Continued Employment and Other Covenants of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for the Restricted Shares, the Participant agrees to:</w:t>
      </w:r>
    </w:p>
    <w:p>
      <w:pPr>
        <w:spacing w:after="0" w:line="279" w:lineRule="exact"/>
        <w:rPr>
          <w:sz w:val="20"/>
          <w:szCs w:val="20"/>
          <w:color w:val="auto"/>
        </w:rPr>
      </w:pPr>
    </w:p>
    <w:p>
      <w:pPr>
        <w:ind w:left="660" w:hanging="4"/>
        <w:spacing w:after="0" w:line="277" w:lineRule="auto"/>
        <w:tabs>
          <w:tab w:leader="none" w:pos="14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providing services to the Company as an employee or as a consultant through the latest Vesting Date in the vesting schedule set forth on the first page of this Award Agreement; and</w:t>
      </w:r>
    </w:p>
    <w:p>
      <w:pPr>
        <w:spacing w:after="0" w:line="197" w:lineRule="exact"/>
        <w:rPr>
          <w:rFonts w:ascii="Arial" w:cs="Arial" w:eastAsia="Arial" w:hAnsi="Arial"/>
          <w:sz w:val="18"/>
          <w:szCs w:val="18"/>
          <w:color w:val="auto"/>
        </w:rPr>
      </w:pPr>
    </w:p>
    <w:p>
      <w:pPr>
        <w:ind w:left="660" w:firstLine="645"/>
        <w:spacing w:after="0" w:line="277" w:lineRule="auto"/>
        <w:tabs>
          <w:tab w:leader="none" w:pos="221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execute a non-competition agreement with the Company and be bound by the covenant not to compete and other restrictive covenants set forth in such non-competition agreement, as described in Section 12 of this Agreement.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agrees that his/her execution of a non-competition agreement is a condition to the Company’s obligation to issue any Restricted Shares to the Participant under this Agreement.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jc w:val="both"/>
        <w:ind w:firstLine="656"/>
        <w:spacing w:after="0" w:line="281" w:lineRule="auto"/>
        <w:tabs>
          <w:tab w:leader="none" w:pos="1386"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shall have the rights and privileges of a stockholder of the Company with respect to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issued under this Award Agreement, including voting rights and the right to receive any dividends paid with respect to such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until such time as the Restricted Shares vest under the vesting schedule set forth on the first page of this Award Agreement, the Restricted Shares shall be subject to forfeiture upon termination of the Participant’s employment with the Company to the extent set forth in Section 8 below.</w:t>
      </w:r>
    </w:p>
    <w:p>
      <w:pPr>
        <w:spacing w:after="0" w:line="191" w:lineRule="exact"/>
        <w:rPr>
          <w:rFonts w:ascii="Arial" w:cs="Arial" w:eastAsia="Arial" w:hAnsi="Arial"/>
          <w:sz w:val="17"/>
          <w:szCs w:val="17"/>
          <w:color w:val="auto"/>
        </w:rPr>
      </w:pPr>
    </w:p>
    <w:p>
      <w:pPr>
        <w:jc w:val="both"/>
        <w:ind w:firstLine="656"/>
        <w:spacing w:after="0" w:line="266" w:lineRule="auto"/>
        <w:tabs>
          <w:tab w:leader="none" w:pos="1319"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When the Restricted Shares Vest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Shares granted to the Participant under this Agreement shall vest at the times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vesting schedule set forth on the first page of this Award Agreement (the “Vesting Date”), or at such earlier time as the restrictions may lapse pursuant to Subsection 4(b).</w:t>
      </w:r>
    </w:p>
    <w:p>
      <w:pPr>
        <w:spacing w:after="0" w:line="207" w:lineRule="exact"/>
        <w:rPr>
          <w:rFonts w:ascii="Arial" w:cs="Arial" w:eastAsia="Arial" w:hAnsi="Arial"/>
          <w:sz w:val="18"/>
          <w:szCs w:val="18"/>
          <w:color w:val="auto"/>
        </w:rPr>
      </w:pPr>
    </w:p>
    <w:p>
      <w:pPr>
        <w:ind w:left="660" w:right="20" w:firstLine="645"/>
        <w:spacing w:after="0" w:line="277" w:lineRule="auto"/>
        <w:tabs>
          <w:tab w:leader="none" w:pos="2251"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Notwithstanding the preceding paragraph, the Restricted Shares shall become vested earlier than the date provided in such paragraph if any of the following circumstances apply:</w:t>
      </w:r>
    </w:p>
    <w:p>
      <w:pPr>
        <w:spacing w:after="0" w:line="197" w:lineRule="exact"/>
        <w:rPr>
          <w:rFonts w:ascii="Arial" w:cs="Arial" w:eastAsia="Arial" w:hAnsi="Arial"/>
          <w:sz w:val="18"/>
          <w:szCs w:val="18"/>
          <w:color w:val="auto"/>
        </w:rPr>
      </w:pPr>
    </w:p>
    <w:p>
      <w:pPr>
        <w:ind w:left="2100" w:hanging="471"/>
        <w:spacing w:after="0"/>
        <w:tabs>
          <w:tab w:leader="none" w:pos="2100"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Participant dies while providing services to the Company as an employee;</w:t>
      </w:r>
    </w:p>
    <w:p>
      <w:pPr>
        <w:spacing w:after="0" w:line="252" w:lineRule="exact"/>
        <w:rPr>
          <w:rFonts w:ascii="Arial" w:cs="Arial" w:eastAsia="Arial" w:hAnsi="Arial"/>
          <w:sz w:val="18"/>
          <w:szCs w:val="18"/>
          <w:color w:val="auto"/>
        </w:rPr>
      </w:pPr>
    </w:p>
    <w:p>
      <w:pPr>
        <w:ind w:left="980" w:firstLine="649"/>
        <w:spacing w:after="0" w:line="277" w:lineRule="auto"/>
        <w:tabs>
          <w:tab w:leader="none" w:pos="2122"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Participant becomes permanently and totally disabled while providing services to the Company as an employee, as described in Section 9 below;</w:t>
      </w:r>
    </w:p>
    <w:p>
      <w:pPr>
        <w:spacing w:after="0" w:line="197" w:lineRule="exact"/>
        <w:rPr>
          <w:rFonts w:ascii="Arial" w:cs="Arial" w:eastAsia="Arial" w:hAnsi="Arial"/>
          <w:sz w:val="18"/>
          <w:szCs w:val="18"/>
          <w:color w:val="auto"/>
        </w:rPr>
      </w:pPr>
    </w:p>
    <w:p>
      <w:pPr>
        <w:ind w:left="980" w:right="20" w:firstLine="649"/>
        <w:spacing w:after="0" w:line="277" w:lineRule="auto"/>
        <w:tabs>
          <w:tab w:leader="none" w:pos="2135"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A Change in Control of the Company occurs while the Participant is providing services to the Company as an employee or consultant.</w:t>
      </w:r>
    </w:p>
    <w:p>
      <w:pPr>
        <w:spacing w:after="0" w:line="193" w:lineRule="exact"/>
        <w:rPr>
          <w:rFonts w:ascii="Arial" w:cs="Arial" w:eastAsia="Arial" w:hAnsi="Arial"/>
          <w:sz w:val="18"/>
          <w:szCs w:val="18"/>
          <w:color w:val="auto"/>
        </w:rPr>
      </w:pPr>
    </w:p>
    <w:p>
      <w:pPr>
        <w:jc w:val="both"/>
        <w:ind w:firstLine="656"/>
        <w:spacing w:after="0" w:line="277" w:lineRule="auto"/>
        <w:tabs>
          <w:tab w:leader="none" w:pos="1332"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Upon execution of the Award Agreement by the Participant, assuming all of the covenants and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Award Agreement have been met, the Company shall issue the appropriate number of shares of common stock in the Participant’s name promptly. The stock certificates representing these Restricted Shares shall be deposited with the Secretary of the Company and held in escrow until the Restricted Shares become vested. Upon request, the Participant shall also provide the Company with a signed stock power, authorizing the transfer of the Restricted Shares in the event the Restricted Shares are forfeited by the Participant pursuant to Section 8 below.</w:t>
      </w:r>
    </w:p>
    <w:p>
      <w:pPr>
        <w:spacing w:after="0" w:line="195" w:lineRule="exact"/>
        <w:rPr>
          <w:rFonts w:ascii="Arial" w:cs="Arial" w:eastAsia="Arial" w:hAnsi="Arial"/>
          <w:sz w:val="17"/>
          <w:szCs w:val="17"/>
          <w:color w:val="auto"/>
        </w:rPr>
      </w:pPr>
    </w:p>
    <w:p>
      <w:pPr>
        <w:ind w:firstLine="656"/>
        <w:spacing w:after="0" w:line="282" w:lineRule="auto"/>
        <w:tabs>
          <w:tab w:leader="none" w:pos="1427"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Certificates</w:t>
      </w:r>
      <w:r>
        <w:rPr>
          <w:rFonts w:ascii="Arial" w:cs="Arial" w:eastAsia="Arial" w:hAnsi="Arial"/>
          <w:sz w:val="18"/>
          <w:szCs w:val="18"/>
          <w:color w:val="auto"/>
        </w:rPr>
        <w:t>. The stock certificate or certificates representing the Restricted Shares issued under this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legended in the following manner:</w:t>
      </w:r>
    </w:p>
    <w:p>
      <w:pPr>
        <w:spacing w:after="0" w:line="193"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6"/>
          <w:szCs w:val="16"/>
          <w:color w:val="auto"/>
        </w:rPr>
        <w:t>“The shares of TapImmune Inc. common stock evidenced by this stock certificate are subject to the terms and restrictions of a Restricted Stock Award Agreement between the holder and TapImmune, Inc.; such shares are subject to forfeiture or repurchase under the terms of said Agreement; and such shares cannot be sold, transferred, assigned, pledged, encumbered or otherwise alienated or hypothecated pursuant to the provisions of said Agreement, a copy of which is available from TapImmune Inc. upon request.”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5" w:name="page66"/>
    <w:bookmarkEnd w:id="65"/>
    <w:p>
      <w:pPr>
        <w:jc w:val="both"/>
        <w:ind w:firstLine="648"/>
        <w:spacing w:after="0" w:line="264" w:lineRule="auto"/>
        <w:rPr>
          <w:sz w:val="20"/>
          <w:szCs w:val="20"/>
          <w:color w:val="auto"/>
        </w:rPr>
      </w:pPr>
      <w:r>
        <w:rPr>
          <w:rFonts w:ascii="Arial" w:cs="Arial" w:eastAsia="Arial" w:hAnsi="Arial"/>
          <w:sz w:val="18"/>
          <w:szCs w:val="18"/>
          <w:color w:val="auto"/>
        </w:rPr>
        <w:t>After the Restricted Shares vest under Section 4 above, the Company shall issue a new stock certificate or certificates evidencing the newly vested portion of the Restricted Shares issued to the Participant, which certificates shall include in place of the legend referenced in the preceding paragraph a legend in substantially the following form:</w:t>
      </w:r>
    </w:p>
    <w:p>
      <w:pPr>
        <w:spacing w:after="0" w:line="20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0" w:lineRule="exact"/>
        <w:rPr>
          <w:sz w:val="20"/>
          <w:szCs w:val="20"/>
          <w:color w:val="auto"/>
        </w:rPr>
      </w:pPr>
    </w:p>
    <w:p>
      <w:pPr>
        <w:jc w:val="both"/>
        <w:ind w:firstLine="656"/>
        <w:spacing w:after="0" w:line="291" w:lineRule="auto"/>
        <w:tabs>
          <w:tab w:leader="none" w:pos="1413"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 and 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Participant is a common law employee of the Company at the time the Restricted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the Participant under the terms of this Agreement, or whenever the Restricted Shares become vested under the terms of this Agreement, the Company shall notify the Participant of the amount of tax (if any) that must be withheld by the Company under all applicable federal, state and local tax laws with respect to the Restricted Shares (the “Withholding Tax”). The Participant agrees to make arrangements satisfactory to the Company to (a) remit the required amount of Withholding Tax to the Company in cash, (b) authorize the Company to withhold a portion of the Restricted Shares otherwise issuable with a value equal to the amount of Withholding Tax, (c) deliver to the Company shares of Common Stock the Participant already owns with a value equal to the required amount of Withholding Tax, (d) authorize the deduction of the required amount of Withholding Tax from the Participant’s regular cash compensation from the Company, or (e) otherwise provide for payment of the required amount in any other manner satisfactory to the Company.</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Participant acknowledges and agrees that the Participant is aware that he may promptly file an election with the Internal Revenue Service under Section 83(b) of the Internal Revenue Code, electing to be taxed immediately on the current value of the Restricted Shares, regardless of the fact that the restrictions imposed on the Restricted Shares by the terms of this Agreement would otherwise amount to a “substantial risk of forfeiture” delaying taxation under Section 83 of the Code. The Participant agrees that any Section 83(b) election he may choose to file with the Internal Revenue Service will be filed in a form substantially similar to the Section 83(b) election attached hereto as Exhibit A.</w:t>
      </w:r>
    </w:p>
    <w:p>
      <w:pPr>
        <w:spacing w:after="0" w:line="196" w:lineRule="exact"/>
        <w:rPr>
          <w:sz w:val="20"/>
          <w:szCs w:val="20"/>
          <w:color w:val="auto"/>
        </w:rPr>
      </w:pPr>
    </w:p>
    <w:p>
      <w:pPr>
        <w:jc w:val="both"/>
        <w:ind w:firstLine="656"/>
        <w:spacing w:after="0" w:line="261" w:lineRule="auto"/>
        <w:tabs>
          <w:tab w:leader="none" w:pos="1521"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Shares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Participant’s employment or consulting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terminates prior to the time the Restricted Shares issued to the Participant pursuant to this Agreement have become fully vested pursuant to the vesting schedule set forth on page 1 of this Agreement, the unvested portion of the Restricted Shares shall be subject to forfeiture to the Company, as set forth below.</w:t>
      </w:r>
    </w:p>
    <w:p>
      <w:pPr>
        <w:spacing w:after="0" w:line="211" w:lineRule="exact"/>
        <w:rPr>
          <w:rFonts w:ascii="Arial" w:cs="Arial" w:eastAsia="Arial" w:hAnsi="Arial"/>
          <w:sz w:val="18"/>
          <w:szCs w:val="18"/>
          <w:color w:val="auto"/>
        </w:rPr>
      </w:pPr>
    </w:p>
    <w:p>
      <w:pPr>
        <w:jc w:val="both"/>
        <w:ind w:left="660" w:firstLine="645"/>
        <w:spacing w:after="0" w:line="264" w:lineRule="auto"/>
        <w:tabs>
          <w:tab w:leader="none" w:pos="205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If the Participant’s services for the Company are terminated by the Company for Cause (as defined below), or the Participant voluntarily terminates his employment or consulting relationship with the Company prior to the Vesting Date, the Restricted Shares shall be forfeited and deemed to be transferred to the Company.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6" w:name="page67"/>
    <w:bookmarkEnd w:id="66"/>
    <w:p>
      <w:pPr>
        <w:jc w:val="both"/>
        <w:ind w:left="660" w:firstLine="645"/>
        <w:spacing w:after="0" w:line="264" w:lineRule="auto"/>
        <w:tabs>
          <w:tab w:leader="none" w:pos="216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If the Participant’s services are terminated by the Company without Cause, the unvested portion of the Restricted Shares shall be forfeited and deemed to be transferred to the Company, but the Participant shall retain the vested portion of the Restricted Shares.</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2044"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Participant</w:t>
      </w:r>
      <w:r>
        <w:rPr>
          <w:rFonts w:ascii="Arial" w:cs="Arial" w:eastAsia="Arial" w:hAnsi="Arial"/>
          <w:sz w:val="18"/>
          <w:szCs w:val="18"/>
          <w:color w:val="auto"/>
        </w:rPr>
        <w:t>. If the Participant resigns or otherwise voluntarily terminates his services for the Company after the Vesting Date, the unvested portion of the Restricted Shares shall be forfeited and deemed to be transferred to the Company, but the Participant shall retain the vested portion of the Restricted Shares.</w:t>
      </w:r>
    </w:p>
    <w:p>
      <w:pPr>
        <w:spacing w:after="0" w:line="208" w:lineRule="exact"/>
        <w:rPr>
          <w:rFonts w:ascii="Arial" w:cs="Arial" w:eastAsia="Arial" w:hAnsi="Arial"/>
          <w:sz w:val="18"/>
          <w:szCs w:val="18"/>
          <w:color w:val="auto"/>
        </w:rPr>
      </w:pPr>
    </w:p>
    <w:p>
      <w:pPr>
        <w:jc w:val="both"/>
        <w:ind w:left="660" w:firstLine="645"/>
        <w:spacing w:after="0" w:line="269" w:lineRule="auto"/>
        <w:tabs>
          <w:tab w:leader="none" w:pos="2162"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For purposes of this Agreement, the Company shall have “Cause” to terminate the Participant’s services upon; (i) the Participant’s conviction of any felony, (ii) the Participant’s conviction of any lesser crime or offense committed in connection with the performance of his duties hereunder or involving dishonesty, fraud or moral turpitude, (iii) the Participant’s alcoholism or drug addiction which materially impairs his ability to perform his duties to the Company, (iv) the Participant’s failure or refusal to substantially and materially perform his duties to the Company (other than absences due to illness or vacation) after the Company provides the Participant a written notice specifically identifying the manner in which the Participant has failed to materially perform his duties), (v) the Participant’s misconduct, malfeasance or dishonesty that results, or is reasonably likely to result, in material and demonstrative harm to the Company or any of its subsidiaries or affiliates, (vi) any action by the Participant involving willful disloyalty to the Company, such as embezzlement, fraud, or misappropriation of corporation assets; or (viii) the Participant breaching in any material respect any provision of this Agreement or the terms of any confidentiality agreement or any other non-disclosure agreement with the Company. However, if the Participant is providing services under an employment agreement or consulting agreement with the Company which defines the term “Cause,” the definition of the term “Cause” set forth in such other agreement shall be instead be applied to the Participant for purposes of this Agreement.</w:t>
      </w:r>
    </w:p>
    <w:p>
      <w:pPr>
        <w:spacing w:after="0" w:line="202" w:lineRule="exact"/>
        <w:rPr>
          <w:rFonts w:ascii="Arial" w:cs="Arial" w:eastAsia="Arial" w:hAnsi="Arial"/>
          <w:sz w:val="17"/>
          <w:szCs w:val="17"/>
          <w:color w:val="auto"/>
        </w:rPr>
      </w:pPr>
    </w:p>
    <w:p>
      <w:pPr>
        <w:ind w:firstLine="656"/>
        <w:spacing w:after="0" w:line="282" w:lineRule="auto"/>
        <w:tabs>
          <w:tab w:leader="none" w:pos="1548"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Death or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Participant’s employment terminates prior to the Vesting Date as a result of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and total disability, the Restricted Shares shall become vested immediately.</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of the Participant’s death while employed by or performing consulting services for the Company or within three months after termination of such services (if such termination was neither (i) for cause nor (ii) voluntary on the part of the Participant and without the written consent of the Company), before the Restricted Shares have become fully vested under the vesting schedule set forth on page 1 of this Award Agreement, the unvested Restricted Shares shall become vested immediately, provided that stock certificates for the Restricted Shares shall be delivered to the Participant’s executor, administrator, or any person to whom the Restricted Shares may be transferred by the Participant’s will or by the laws of descent and distribution. .</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7" w:name="page68"/>
    <w:bookmarkEnd w:id="67"/>
    <w:p>
      <w:pPr>
        <w:ind w:right="80" w:firstLine="656"/>
        <w:spacing w:after="0" w:line="313" w:lineRule="auto"/>
        <w:tabs>
          <w:tab w:leader="none" w:pos="1422"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of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represents, warrants, and agrees as follows, and the parties agree that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rely on the same in consummating the issuance of the Restricted Shares to the Participant under the terms of this Agreement:</w:t>
      </w:r>
    </w:p>
    <w:p>
      <w:pPr>
        <w:spacing w:after="0" w:line="169" w:lineRule="exact"/>
        <w:rPr>
          <w:sz w:val="20"/>
          <w:szCs w:val="20"/>
          <w:color w:val="auto"/>
        </w:rPr>
      </w:pPr>
    </w:p>
    <w:p>
      <w:pPr>
        <w:jc w:val="both"/>
        <w:ind w:left="660" w:right="80" w:hanging="4"/>
        <w:spacing w:after="0" w:line="312" w:lineRule="auto"/>
        <w:tabs>
          <w:tab w:leader="none" w:pos="150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The Participant is entering into this Agreement, and will acquire the Restricted Shares, solely on the basis of the Participant’s own familiarity with the Company and all relevant factors about the Company’s affairs, and neither the Company nor the officers or directors of the Company has made any express or implied representations, covenants, or warranties to the Participant with respect to such matters.</w:t>
      </w:r>
    </w:p>
    <w:p>
      <w:pPr>
        <w:spacing w:after="0" w:line="173" w:lineRule="exact"/>
        <w:rPr>
          <w:rFonts w:ascii="Arial" w:cs="Arial" w:eastAsia="Arial" w:hAnsi="Arial"/>
          <w:sz w:val="16"/>
          <w:szCs w:val="16"/>
          <w:color w:val="auto"/>
        </w:rPr>
      </w:pPr>
    </w:p>
    <w:p>
      <w:pPr>
        <w:ind w:left="660" w:hanging="4"/>
        <w:spacing w:after="0" w:line="277" w:lineRule="auto"/>
        <w:tabs>
          <w:tab w:leader="none" w:pos="143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Restricted Shares covered by this Agreement for his/her own account for investment and not with a view to the resale or distribution of the Restricted Shares.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9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Restricted Shares (in making this representation, attention has been given to whether Participant can afford to hold the Restricted Shares for an indefinite period of time and whether, at this time, the Participant can afford a complete loss of the investment).</w:t>
      </w:r>
    </w:p>
    <w:p>
      <w:pPr>
        <w:spacing w:after="0" w:line="208" w:lineRule="exact"/>
        <w:rPr>
          <w:rFonts w:ascii="Arial" w:cs="Arial" w:eastAsia="Arial" w:hAnsi="Arial"/>
          <w:sz w:val="18"/>
          <w:szCs w:val="18"/>
          <w:color w:val="auto"/>
        </w:rPr>
      </w:pPr>
    </w:p>
    <w:p>
      <w:pPr>
        <w:jc w:val="both"/>
        <w:ind w:left="660" w:right="80" w:hanging="4"/>
        <w:spacing w:after="0" w:line="312" w:lineRule="auto"/>
        <w:tabs>
          <w:tab w:leader="none" w:pos="147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Holding of Restricted Stock</w:t>
      </w:r>
      <w:r>
        <w:rPr>
          <w:rFonts w:ascii="Arial" w:cs="Arial" w:eastAsia="Arial" w:hAnsi="Arial"/>
          <w:sz w:val="16"/>
          <w:szCs w:val="16"/>
          <w:color w:val="auto"/>
        </w:rPr>
        <w:t>. The Participant acknowledges that the Restricted Shares to be issued under this Agreement have not been registered under the Securities Act of 1933, as amended (the “1933 Act”) and, therefore, cannot be resold unless they are subsequently registered under the 1933 Act or an exemption from such registration is available, as determined by an opinion of counsel rendered to the Company.</w:t>
      </w:r>
    </w:p>
    <w:p>
      <w:pPr>
        <w:spacing w:after="0" w:line="173" w:lineRule="exact"/>
        <w:rPr>
          <w:rFonts w:ascii="Arial" w:cs="Arial" w:eastAsia="Arial" w:hAnsi="Arial"/>
          <w:sz w:val="16"/>
          <w:szCs w:val="16"/>
          <w:color w:val="auto"/>
        </w:rPr>
      </w:pPr>
    </w:p>
    <w:p>
      <w:pPr>
        <w:ind w:left="1420" w:hanging="764"/>
        <w:spacing w:after="0"/>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State of Residence</w:t>
      </w:r>
      <w:r>
        <w:rPr>
          <w:rFonts w:ascii="Arial" w:cs="Arial" w:eastAsia="Arial" w:hAnsi="Arial"/>
          <w:sz w:val="16"/>
          <w:szCs w:val="16"/>
          <w:color w:val="auto"/>
        </w:rPr>
        <w:t>. The Participant is an individual residing in the State of Florida, and is not a resident or part-year resident of any 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w:t>
      </w:r>
    </w:p>
    <w:p>
      <w:pPr>
        <w:spacing w:after="0" w:line="234" w:lineRule="exact"/>
        <w:rPr>
          <w:sz w:val="20"/>
          <w:szCs w:val="20"/>
          <w:color w:val="auto"/>
        </w:rPr>
      </w:pPr>
    </w:p>
    <w:p>
      <w:pPr>
        <w:jc w:val="both"/>
        <w:ind w:right="80" w:firstLine="656"/>
        <w:spacing w:after="0" w:line="277" w:lineRule="auto"/>
        <w:tabs>
          <w:tab w:leader="none" w:pos="1524"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from time to time impose such conditions on the transfer of the Restricted Shares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pursuant to this Agreement as it deems necessary or advisable to ensure that any transfers of the Restricted Shares issued pursuant to this Agreement will satisfy the applicable requirements of federal and state securities laws. Such conditions to satisfy applicable federal and state securities laws may include, without limitation, the partial or complete suspension of the right to transfer the Restricted Shares issued under this Agreement until the Restricted Shares have been registered under the 1933 Act (as defined in Section 11(d) above).</w:t>
      </w:r>
    </w:p>
    <w:p>
      <w:pPr>
        <w:spacing w:after="0" w:line="19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Participant acknowledges that the issuance of capital stock of the Company is subject to limitations imposed by federal and state law, and the Consultant hereby agrees that he or she will provide the Company with such information as is reasonably requested by the Company or its counsel to determine whether the issuance of Common Stock complies with the provisions described by this Section 11.</w:t>
      </w: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00"/>
          </w:cols>
          <w:pgMar w:left="240" w:top="756" w:right="159" w:bottom="1440" w:gutter="0" w:footer="0" w:header="0"/>
        </w:sectPr>
      </w:pPr>
    </w:p>
    <w:bookmarkStart w:id="68" w:name="page69"/>
    <w:bookmarkEnd w:id="68"/>
    <w:p>
      <w:pPr>
        <w:jc w:val="both"/>
        <w:ind w:left="-20" w:firstLine="494"/>
        <w:spacing w:after="0" w:line="255" w:lineRule="auto"/>
        <w:tabs>
          <w:tab w:leader="none" w:pos="82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Compete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 has not already executed a non-competition agreement with the Company, the Participant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Company with a signed non-competition agreement simultaneously with the execution of this Award Agreement. The Participant’s execution and delivery of such a non-competition agreement in a form reasonably satisfactory to the Company shall be a condition to the Company’s obligation to issue any Restricted Shares to the Participant under this Agreement. In consideration of the Restricted Shares,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Restricted Shares issued to the Participant under this Agreement.</w:t>
      </w:r>
    </w:p>
    <w:p>
      <w:pPr>
        <w:spacing w:after="0" w:line="216" w:lineRule="exact"/>
        <w:rPr>
          <w:rFonts w:ascii="Arial" w:cs="Arial" w:eastAsia="Arial" w:hAnsi="Arial"/>
          <w:sz w:val="18"/>
          <w:szCs w:val="18"/>
          <w:color w:val="auto"/>
        </w:rPr>
      </w:pPr>
    </w:p>
    <w:p>
      <w:pPr>
        <w:jc w:val="both"/>
        <w:ind w:left="-20" w:firstLine="494"/>
        <w:spacing w:after="0" w:line="261" w:lineRule="auto"/>
        <w:tabs>
          <w:tab w:leader="none" w:pos="795"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The Restricted Shares granted to the Participant under this Agreement are subject to all the provisions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07" w:lineRule="exact"/>
        <w:rPr>
          <w:rFonts w:ascii="Arial" w:cs="Arial" w:eastAsia="Arial" w:hAnsi="Arial"/>
          <w:sz w:val="18"/>
          <w:szCs w:val="18"/>
          <w:color w:val="auto"/>
        </w:rPr>
      </w:pPr>
    </w:p>
    <w:p>
      <w:pPr>
        <w:ind w:left="780" w:hanging="30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u w:val="single" w:color="auto"/>
          <w:color w:val="auto"/>
        </w:rPr>
        <w:t>.</w:t>
      </w:r>
    </w:p>
    <w:p>
      <w:pPr>
        <w:spacing w:after="0" w:line="256" w:lineRule="exact"/>
        <w:rPr>
          <w:rFonts w:ascii="Arial" w:cs="Arial" w:eastAsia="Arial" w:hAnsi="Arial"/>
          <w:sz w:val="18"/>
          <w:szCs w:val="18"/>
          <w:color w:val="auto"/>
        </w:rPr>
      </w:pPr>
    </w:p>
    <w:p>
      <w:pPr>
        <w:ind w:left="1200" w:hanging="334"/>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Participant acknowledges and agrees that if he should become an executive officer of the Company, the Restricted Shares granted under this Agreement may be subject to the Company’s Policy on Recoupment of Executive Compensation, as it may be amended from time to time.</w:t>
      </w:r>
    </w:p>
    <w:p>
      <w:pPr>
        <w:spacing w:after="0" w:line="208" w:lineRule="exact"/>
        <w:rPr>
          <w:rFonts w:ascii="Arial" w:cs="Arial" w:eastAsia="Arial" w:hAnsi="Arial"/>
          <w:sz w:val="18"/>
          <w:szCs w:val="18"/>
          <w:color w:val="auto"/>
        </w:rPr>
      </w:pPr>
    </w:p>
    <w:p>
      <w:pPr>
        <w:ind w:left="1200" w:hanging="334"/>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93" w:lineRule="exact"/>
        <w:rPr>
          <w:rFonts w:ascii="Arial" w:cs="Arial" w:eastAsia="Arial" w:hAnsi="Arial"/>
          <w:sz w:val="18"/>
          <w:szCs w:val="18"/>
          <w:color w:val="auto"/>
        </w:rPr>
      </w:pPr>
    </w:p>
    <w:p>
      <w:pPr>
        <w:ind w:left="1200" w:hanging="334"/>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Neither this Agreement nor the Restricted Shares confer upon the Participant any right to continue to perform services for the Company as an employee or as a consultant, and this Agreement shall not in any way modify or restrict any rights the Company may have to terminate the Participant’s services under any employment or consulting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5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10.8</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2015 (the “Effective Date”),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Glynn Wilson,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has served as the Chief Executive Officer and Chairman of the Company, pursuant to the terms of an Employment Agreement entered into by the Company and the Executive as of March 16, 2011 (the “</w:t>
      </w:r>
      <w:r>
        <w:rPr>
          <w:rFonts w:ascii="Arial" w:cs="Arial" w:eastAsia="Arial" w:hAnsi="Arial"/>
          <w:sz w:val="18"/>
          <w:szCs w:val="18"/>
          <w:u w:val="single" w:color="auto"/>
          <w:color w:val="auto"/>
        </w:rPr>
        <w:t>Prior Employment Agreement</w:t>
      </w:r>
      <w:r>
        <w:rPr>
          <w:rFonts w:ascii="Arial" w:cs="Arial" w:eastAsia="Arial" w:hAnsi="Arial"/>
          <w:sz w:val="18"/>
          <w:szCs w:val="18"/>
          <w:color w:val="auto"/>
        </w:rPr>
        <w:t>”).</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continue to employ the Executive as its Chief Executive Officer, President and Chairman, and the Executive desires to accept such employment with the Company, in each case upon the terms and conditions set forth herein.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93" w:lineRule="exact"/>
        <w:rPr>
          <w:sz w:val="20"/>
          <w:szCs w:val="20"/>
          <w:color w:val="auto"/>
        </w:rPr>
      </w:pPr>
    </w:p>
    <w:p>
      <w:pPr>
        <w:ind w:firstLine="656"/>
        <w:spacing w:after="0" w:line="347" w:lineRule="auto"/>
        <w:tabs>
          <w:tab w:leader="none" w:pos="1332"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EMPLOYMENT. </w:t>
      </w:r>
      <w:r>
        <w:rPr>
          <w:rFonts w:ascii="Arial" w:cs="Arial" w:eastAsia="Arial" w:hAnsi="Arial"/>
          <w:sz w:val="16"/>
          <w:szCs w:val="16"/>
          <w:color w:val="auto"/>
        </w:rPr>
        <w:t>The Company will employ the Executive as the Chief Executive Officer, President and Chairman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agrees to continue to serve in such capacities and provide his services to the Company on the terms and conditions set forth in this Agreement.</w:t>
      </w:r>
    </w:p>
    <w:p>
      <w:pPr>
        <w:spacing w:after="0" w:line="143" w:lineRule="exact"/>
        <w:rPr>
          <w:rFonts w:ascii="Arial" w:cs="Arial" w:eastAsia="Arial" w:hAnsi="Arial"/>
          <w:sz w:val="16"/>
          <w:szCs w:val="16"/>
          <w:color w:val="auto"/>
        </w:rPr>
      </w:pPr>
    </w:p>
    <w:p>
      <w:pPr>
        <w:jc w:val="both"/>
        <w:ind w:firstLine="656"/>
        <w:spacing w:after="0" w:line="272" w:lineRule="auto"/>
        <w:tabs>
          <w:tab w:leader="none" w:pos="1278"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POSITION AND DUTIES. </w:t>
      </w:r>
      <w:r>
        <w:rPr>
          <w:rFonts w:ascii="Arial" w:cs="Arial" w:eastAsia="Arial" w:hAnsi="Arial"/>
          <w:sz w:val="17"/>
          <w:szCs w:val="17"/>
          <w:color w:val="auto"/>
        </w:rPr>
        <w:t>On and after the date of this Agreement, the Executive will serve as the Chief Executive Officer,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Company. The Executive agrees that during the Term (as defined below) he shall dedicate his full business time, attention and energies, consistent with historical past practices, to performing his duties to the Company, as prescribed by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The Executive will manage the business affairs of the Company and perform the duties typically assigned to the chief executive officer of a similarly situated company in the Company’s industry. The Executive shall also perform such other reasonable duties as may hereafter be assigned to him by the Board, consistent with his abilities and position as the Chief Executive Officer, President and Chairman, including serving as a member of the Board and providing such further services to the Company as may reasonably be requested of him. The Executive will report to the Board of the Company, and carry out the decisions and otherwise abide by and enforce the rules and policies of the Company.</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shall devote his best efforts to the business and affairs of the Company and, during the Term, shall observe at all times the covenants regarding non-competition, and confidentiality provided in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The Executive will be based in Jacksonville, Florida.</w:t>
      </w:r>
    </w:p>
    <w:p>
      <w:pPr>
        <w:spacing w:after="0" w:line="248" w:lineRule="exact"/>
        <w:rPr>
          <w:sz w:val="20"/>
          <w:szCs w:val="20"/>
          <w:color w:val="auto"/>
        </w:rPr>
      </w:pPr>
    </w:p>
    <w:p>
      <w:pPr>
        <w:jc w:val="both"/>
        <w:ind w:firstLine="818"/>
        <w:spacing w:after="0" w:line="255" w:lineRule="auto"/>
        <w:tabs>
          <w:tab w:leader="none" w:pos="1395"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shall start on the Effective Date and end on the day preceding the second anniversary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The term of the Agreement will be automatically extended for an additional twelve (12) months after the end of the Initial Term, unless terminated by the Company or the Executive by written notice to the other Party provided not later than twelve (12) months prior to the end of such Initial Term, and shall be further extended for an additional twelve (12) months after the end of each such extended term unless terminated by the Company or the Executive by written notice no later than ninety (90) days prior to the end of such term, subject to termination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However, the provisions of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shall continue in force in accordance with the provisions therein and shall survive the expiration or termination of the Term and this Agreement.</w:t>
      </w:r>
    </w:p>
    <w:p>
      <w:pPr>
        <w:spacing w:after="0" w:line="216" w:lineRule="exact"/>
        <w:rPr>
          <w:rFonts w:ascii="Arial" w:cs="Arial" w:eastAsia="Arial" w:hAnsi="Arial"/>
          <w:sz w:val="18"/>
          <w:szCs w:val="18"/>
          <w:color w:val="auto"/>
        </w:rPr>
      </w:pPr>
    </w:p>
    <w:p>
      <w:pPr>
        <w:ind w:left="1400" w:hanging="582"/>
        <w:spacing w:after="0"/>
        <w:tabs>
          <w:tab w:leader="none" w:pos="1400"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8"/>
        <w:spacing w:after="0" w:line="259" w:lineRule="auto"/>
        <w:tabs>
          <w:tab w:leader="none" w:pos="74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Executive’s annual base salary shall be two hundred and eighty thousand dollars ($280,000) per year, which shall be paid by the Company to the Executive monthly in accordance with the Company’s customary payroll practices,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w:t>
      </w:r>
    </w:p>
    <w:p>
      <w:pPr>
        <w:spacing w:after="0" w:line="213" w:lineRule="exact"/>
        <w:rPr>
          <w:rFonts w:ascii="Arial" w:cs="Arial" w:eastAsia="Arial" w:hAnsi="Arial"/>
          <w:sz w:val="18"/>
          <w:szCs w:val="18"/>
          <w:color w:val="auto"/>
        </w:rPr>
      </w:pPr>
    </w:p>
    <w:p>
      <w:pPr>
        <w:jc w:val="both"/>
        <w:ind w:firstLine="8"/>
        <w:spacing w:after="0" w:line="257" w:lineRule="auto"/>
        <w:tabs>
          <w:tab w:leader="none" w:pos="74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Annual Incentive Compensation</w:t>
      </w:r>
      <w:r>
        <w:rPr>
          <w:rFonts w:ascii="Arial" w:cs="Arial" w:eastAsia="Arial" w:hAnsi="Arial"/>
          <w:sz w:val="18"/>
          <w:szCs w:val="18"/>
          <w:color w:val="auto"/>
        </w:rPr>
        <w:t>. During the Term, the Executive shall be eligible for an annual performance bonus of up to fifty percent (50%) of the Executive’s annual base salary, based on goals and other conditions as the Board, in its sole discretion, shall determine on an annual basis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Bonus</w:t>
      </w:r>
      <w:r>
        <w:rPr>
          <w:rFonts w:ascii="Arial" w:cs="Arial" w:eastAsia="Arial" w:hAnsi="Arial"/>
          <w:sz w:val="18"/>
          <w:szCs w:val="18"/>
          <w:color w:val="auto"/>
        </w:rPr>
        <w:t>”). The Annual Performance Bonus will be payable in the form of cash, shares of the Company’s common stock or stock options, at the Board’s discretion, in any case to be paid or delivered as soon as practicable after the end of the year in which they are earned and in any event not less than sixty (60) days after the end of such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215" w:lineRule="exact"/>
        <w:rPr>
          <w:sz w:val="20"/>
          <w:szCs w:val="20"/>
          <w:color w:val="auto"/>
        </w:rPr>
      </w:pPr>
    </w:p>
    <w:p>
      <w:pPr>
        <w:jc w:val="both"/>
        <w:ind w:firstLine="8"/>
        <w:spacing w:after="0" w:line="277" w:lineRule="auto"/>
        <w:tabs>
          <w:tab w:leader="none" w:pos="73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The Executive will be granted equity awards under the Company’s 2014 Omnibus Stock Ownership Plan consisting of (i) 315,000 shares of unregistered, restricted common stock, all of which shall be immediately vested, and (ii) stock options to purchase 2,000,000 shares of the Company’s common stock at an exercise price equal to the fair market value of the common stock on the date of this Agreement, which options shall vest one-half (1 million) immediately and the remaining options shall vest in 23 equal monthly installments of 41,666 options on the last day of each of the 23 months following the grant date, and the remaining 41,682 options shall vest on the last day of the 24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1" w:name="page72"/>
    <w:bookmarkEnd w:id="71"/>
    <w:p>
      <w:pPr>
        <w:jc w:val="both"/>
        <w:ind w:firstLine="8"/>
        <w:spacing w:after="0" w:line="25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full time employees of the Company.</w:t>
      </w:r>
    </w:p>
    <w:p>
      <w:pPr>
        <w:spacing w:after="0" w:line="215" w:lineRule="exact"/>
        <w:rPr>
          <w:rFonts w:ascii="Arial" w:cs="Arial" w:eastAsia="Arial" w:hAnsi="Arial"/>
          <w:sz w:val="18"/>
          <w:szCs w:val="18"/>
          <w:color w:val="auto"/>
        </w:rPr>
      </w:pPr>
    </w:p>
    <w:p>
      <w:pPr>
        <w:ind w:firstLine="8"/>
        <w:spacing w:after="0" w:line="277" w:lineRule="auto"/>
        <w:tabs>
          <w:tab w:leader="none" w:pos="76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twenty-one (21) days paid vacation per calendar year plus such sick leave as he may reasonably and actually require.</w:t>
      </w:r>
    </w:p>
    <w:p>
      <w:pPr>
        <w:spacing w:after="0" w:line="197" w:lineRule="exact"/>
        <w:rPr>
          <w:rFonts w:ascii="Arial" w:cs="Arial" w:eastAsia="Arial" w:hAnsi="Arial"/>
          <w:sz w:val="18"/>
          <w:szCs w:val="18"/>
          <w:color w:val="auto"/>
        </w:rPr>
      </w:pPr>
    </w:p>
    <w:p>
      <w:pPr>
        <w:ind w:firstLine="8"/>
        <w:spacing w:after="0" w:line="308" w:lineRule="auto"/>
        <w:tabs>
          <w:tab w:leader="none" w:pos="74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Executive shall be entitled to receive reimbursement for all appropriate business expenses incurred by him in connection with his duties under this Agreement in accordance with the written policies of the Company as in effect from time to time.</w:t>
      </w:r>
    </w:p>
    <w:p>
      <w:pPr>
        <w:spacing w:after="0" w:line="17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Company shall use its commercially reasonable efforts to maintain a Directors and Officers Insurance policy with no less than $2 million coverage, and to list the Executive as one of the covered management employees under such policy.</w:t>
      </w:r>
    </w:p>
    <w:p>
      <w:pPr>
        <w:spacing w:after="0" w:line="193" w:lineRule="exact"/>
        <w:rPr>
          <w:sz w:val="20"/>
          <w:szCs w:val="20"/>
          <w:color w:val="auto"/>
        </w:rPr>
      </w:pPr>
    </w:p>
    <w:p>
      <w:pPr>
        <w:jc w:val="both"/>
        <w:ind w:firstLine="656"/>
        <w:spacing w:after="0" w:line="268" w:lineRule="auto"/>
        <w:tabs>
          <w:tab w:leader="none" w:pos="1373"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strictest 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employees’ rights to discuss the terms, wages, and working conditions of his employment, as protected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7"/>
          <w:szCs w:val="17"/>
          <w:color w:val="auto"/>
        </w:rPr>
        <w:t>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their confidential or proprietary information (“</w:t>
      </w:r>
      <w:r>
        <w:rPr>
          <w:rFonts w:ascii="Arial" w:cs="Arial" w:eastAsia="Arial" w:hAnsi="Arial"/>
          <w:sz w:val="17"/>
          <w:szCs w:val="17"/>
          <w:u w:val="single" w:color="auto"/>
          <w:color w:val="auto"/>
        </w:rPr>
        <w:t>Associated Third Party Confidential Information</w:t>
      </w:r>
      <w:r>
        <w:rPr>
          <w:rFonts w:ascii="Arial" w:cs="Arial" w:eastAsia="Arial" w:hAnsi="Arial"/>
          <w:sz w:val="17"/>
          <w:szCs w:val="17"/>
          <w:color w:val="auto"/>
        </w:rPr>
        <w:t>”).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if requested by the Company.</w:t>
      </w:r>
    </w:p>
    <w:p>
      <w:pPr>
        <w:spacing w:after="0" w:line="215" w:lineRule="exact"/>
        <w:rPr>
          <w:sz w:val="20"/>
          <w:szCs w:val="20"/>
          <w:color w:val="auto"/>
        </w:rPr>
      </w:pPr>
    </w:p>
    <w:p>
      <w:pPr>
        <w:jc w:val="both"/>
        <w:ind w:firstLine="656"/>
        <w:spacing w:after="0" w:line="272" w:lineRule="auto"/>
        <w:tabs>
          <w:tab w:leader="none" w:pos="1481"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Any and all concepts, improvements, computer software, articles, pamphlets, brochures,</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3" w:name="page74"/>
    <w:bookmarkEnd w:id="73"/>
    <w:p>
      <w:pPr>
        <w:ind w:left="-656" w:right="20" w:firstLine="656"/>
        <w:spacing w:after="0" w:line="282" w:lineRule="auto"/>
        <w:tabs>
          <w:tab w:leader="none" w:pos="811"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92" w:lineRule="exact"/>
        <w:rPr>
          <w:rFonts w:ascii="Arial" w:cs="Arial" w:eastAsia="Arial" w:hAnsi="Arial"/>
          <w:sz w:val="18"/>
          <w:szCs w:val="18"/>
          <w:color w:val="auto"/>
        </w:rPr>
      </w:pPr>
    </w:p>
    <w:p>
      <w:pPr>
        <w:jc w:val="both"/>
        <w:ind w:left="4" w:firstLine="645"/>
        <w:spacing w:after="0" w:line="268" w:lineRule="auto"/>
        <w:tabs>
          <w:tab w:leader="none" w:pos="1443" w:val="left"/>
        </w:tabs>
        <w:numPr>
          <w:ilvl w:val="1"/>
          <w:numId w:val="88"/>
        </w:numPr>
        <w:rPr>
          <w:rFonts w:ascii="Arial" w:cs="Arial" w:eastAsia="Arial" w:hAnsi="Arial"/>
          <w:sz w:val="17"/>
          <w:szCs w:val="17"/>
          <w:color w:val="auto"/>
        </w:rPr>
      </w:pPr>
      <w:r>
        <w:rPr>
          <w:rFonts w:ascii="Arial" w:cs="Arial" w:eastAsia="Arial" w:hAnsi="Arial"/>
          <w:sz w:val="17"/>
          <w:szCs w:val="17"/>
          <w:color w:val="auto"/>
        </w:rPr>
        <w:t>compete against the Company, or any subsidiary or affiliate of the Company that is engaged in the Business (as defined below) (collectively, the “</w:t>
      </w:r>
      <w:r>
        <w:rPr>
          <w:rFonts w:ascii="Arial" w:cs="Arial" w:eastAsia="Arial" w:hAnsi="Arial"/>
          <w:sz w:val="17"/>
          <w:szCs w:val="17"/>
          <w:u w:val="single" w:color="auto"/>
          <w:color w:val="auto"/>
        </w:rPr>
        <w:t>Applicable Entities</w:t>
      </w:r>
      <w:r>
        <w:rPr>
          <w:rFonts w:ascii="Arial" w:cs="Arial" w:eastAsia="Arial" w:hAnsi="Arial"/>
          <w:sz w:val="17"/>
          <w:szCs w:val="17"/>
          <w:color w:val="auto"/>
        </w:rPr>
        <w:t xml:space="preserve">”), either directly or indirectly, by taking employment, gratuitously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vaccines and related applications (i) which the Applicable Entities currently anticipate developing, producing, designing, providing, marketing, distributing or selling,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as long as the Executive is not actively involved in such entity’s business.</w:t>
      </w:r>
    </w:p>
    <w:p>
      <w:pPr>
        <w:spacing w:after="0" w:line="207" w:lineRule="exact"/>
        <w:rPr>
          <w:rFonts w:ascii="Arial" w:cs="Arial" w:eastAsia="Arial" w:hAnsi="Arial"/>
          <w:sz w:val="17"/>
          <w:szCs w:val="17"/>
          <w:color w:val="auto"/>
        </w:rPr>
      </w:pPr>
    </w:p>
    <w:p>
      <w:pPr>
        <w:jc w:val="both"/>
        <w:ind w:left="4" w:firstLine="645"/>
        <w:spacing w:after="0" w:line="273" w:lineRule="auto"/>
        <w:tabs>
          <w:tab w:leader="none" w:pos="1482"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not be interpreted as preventing the Executive from conducting a business that does not consist of the Business conducted by the Applicable Entities with any customers or vendors of the Applicable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549275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74" w:name="page75"/>
    <w:bookmarkEnd w:id="74"/>
    <w:p>
      <w:pPr>
        <w:jc w:val="both"/>
        <w:ind w:left="660" w:firstLine="645"/>
        <w:spacing w:after="0" w:line="255" w:lineRule="auto"/>
        <w:tabs>
          <w:tab w:leader="none" w:pos="2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general solicitations not specifically targeted to employees of the Company or any of the Applicable Entities shall not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breach of this </w:t>
      </w:r>
      <w:r>
        <w:rPr>
          <w:rFonts w:ascii="Arial" w:cs="Arial" w:eastAsia="Arial" w:hAnsi="Arial"/>
          <w:sz w:val="18"/>
          <w:szCs w:val="18"/>
          <w:u w:val="single" w:color="auto"/>
          <w:color w:val="auto"/>
        </w:rPr>
        <w:t>Section 7(c)</w:t>
      </w:r>
      <w:r>
        <w:rPr>
          <w:rFonts w:ascii="Arial" w:cs="Arial" w:eastAsia="Arial" w:hAnsi="Arial"/>
          <w:sz w:val="18"/>
          <w:szCs w:val="18"/>
          <w:color w:val="auto"/>
        </w:rPr>
        <w:t>.</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xml:space="preserve">”). In the event of a breach by the Executive of any of the covenants in this </w:t>
      </w:r>
      <w:r>
        <w:rPr>
          <w:rFonts w:ascii="Arial" w:cs="Arial" w:eastAsia="Arial" w:hAnsi="Arial"/>
          <w:sz w:val="17"/>
          <w:szCs w:val="17"/>
          <w:u w:val="single" w:color="auto"/>
          <w:color w:val="auto"/>
        </w:rPr>
        <w:t>Section 7</w:t>
      </w:r>
      <w:r>
        <w:rPr>
          <w:rFonts w:ascii="Arial" w:cs="Arial" w:eastAsia="Arial" w:hAnsi="Arial"/>
          <w:sz w:val="17"/>
          <w:szCs w:val="17"/>
          <w:color w:val="auto"/>
        </w:rPr>
        <w:t>, the term of the Restricted Period will be extended by the period of the duration of such breach.</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Executive and the Company agree that the restrictions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not prevent the Executive from serving as a member of the board of directors or board of managers of any organization after the Executive’s employment with the Company ends provided that: (a) the Executive does not provide services to such organization other than through Executive’s role as a member of its board of directors or board of managers; and (b) the Executive does not violate his confidentiality and intellectual property obligations set forth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Agreement.</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If any restriction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5" w:name="page76"/>
    <w:bookmarkEnd w:id="75"/>
    <w:p>
      <w:pPr>
        <w:jc w:val="both"/>
        <w:ind w:left="-656" w:firstLine="656"/>
        <w:spacing w:after="0" w:line="255"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Notwithstanding anything else contained in this Agreement, the Term of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may be terminated prior to the end of the Term stated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upon the earliest to occur of the events described in </w:t>
      </w:r>
      <w:r>
        <w:rPr>
          <w:rFonts w:ascii="Arial" w:cs="Arial" w:eastAsia="Arial" w:hAnsi="Arial"/>
          <w:sz w:val="18"/>
          <w:szCs w:val="18"/>
          <w:u w:val="single" w:color="auto"/>
          <w:color w:val="auto"/>
        </w:rPr>
        <w:t>Subsections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8(b)</w:t>
      </w:r>
      <w:r>
        <w:rPr>
          <w:rFonts w:ascii="Arial" w:cs="Arial" w:eastAsia="Arial" w:hAnsi="Arial"/>
          <w:sz w:val="18"/>
          <w:szCs w:val="18"/>
          <w:color w:val="auto"/>
        </w:rPr>
        <w:t xml:space="preserve"> below. To terminate the Executive's employment with the Company and the Term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the terminating party shall provide to the other party a written notice of termination (a “</w:t>
      </w:r>
      <w:r>
        <w:rPr>
          <w:rFonts w:ascii="Arial" w:cs="Arial" w:eastAsia="Arial" w:hAnsi="Arial"/>
          <w:sz w:val="18"/>
          <w:szCs w:val="18"/>
          <w:u w:val="single" w:color="auto"/>
          <w:color w:val="auto"/>
        </w:rPr>
        <w:t>Termination Notice</w:t>
      </w:r>
      <w:r>
        <w:rPr>
          <w:rFonts w:ascii="Arial" w:cs="Arial" w:eastAsia="Arial" w:hAnsi="Arial"/>
          <w:sz w:val="18"/>
          <w:szCs w:val="18"/>
          <w:color w:val="auto"/>
        </w:rPr>
        <w:t>”), which shall (i) indicate the specific termination provision of this Agreement relied upon, (ii) 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220" w:lineRule="exact"/>
        <w:rPr>
          <w:rFonts w:ascii="Arial" w:cs="Arial" w:eastAsia="Arial" w:hAnsi="Arial"/>
          <w:sz w:val="18"/>
          <w:szCs w:val="18"/>
          <w:color w:val="auto"/>
        </w:rPr>
      </w:pPr>
    </w:p>
    <w:p>
      <w:pPr>
        <w:ind w:left="1164" w:hanging="515"/>
        <w:spacing w:after="0"/>
        <w:tabs>
          <w:tab w:leader="none" w:pos="116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with the Company and the Term under this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8" w:lineRule="exact"/>
        <w:rPr>
          <w:sz w:val="20"/>
          <w:szCs w:val="20"/>
          <w:color w:val="auto"/>
        </w:rPr>
      </w:pPr>
    </w:p>
    <w:p>
      <w:pPr>
        <w:jc w:val="both"/>
        <w:ind w:left="1304" w:hanging="655"/>
        <w:spacing w:after="0" w:line="264"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Cause (as defined below), which termination shall be effective on the date specified in the Termination Notice;</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Board determines in good faith that Company is unable to continue to pay the level of compensation due to the Executive under Section 4 of this Agreement, whether as a result of the Company’s failure to obtain additional equity funding as needed to sustain its operations, or otherwise; or</w:t>
      </w:r>
    </w:p>
    <w:p>
      <w:pPr>
        <w:spacing w:after="0" w:line="208"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By the Company for any reason other than under </w:t>
      </w:r>
      <w:r>
        <w:rPr>
          <w:rFonts w:ascii="Arial" w:cs="Arial" w:eastAsia="Arial" w:hAnsi="Arial"/>
          <w:sz w:val="18"/>
          <w:szCs w:val="18"/>
          <w:u w:val="single" w:color="auto"/>
          <w:color w:val="auto"/>
        </w:rPr>
        <w:t>Subsections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(2),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w:t>
      </w:r>
      <w:r>
        <w:rPr>
          <w:rFonts w:ascii="Arial" w:cs="Arial" w:eastAsia="Arial" w:hAnsi="Arial"/>
          <w:sz w:val="18"/>
          <w:szCs w:val="18"/>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214" w:lineRule="exact"/>
        <w:rPr>
          <w:sz w:val="20"/>
          <w:szCs w:val="20"/>
          <w:color w:val="auto"/>
        </w:rPr>
      </w:pPr>
    </w:p>
    <w:p>
      <w:pPr>
        <w:jc w:val="both"/>
        <w:ind w:left="4" w:firstLine="645"/>
        <w:spacing w:after="0" w:line="264" w:lineRule="auto"/>
        <w:tabs>
          <w:tab w:leader="none" w:pos="161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his employment with the Company and the Term under this Agreement either (i) for Good Reason (as defined below) by providing a Termination Notice to the Company as described above; or (ii) without Good Reason by written notice of termination of his employment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551180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76" w:name="page77"/>
    <w:bookmarkEnd w:id="76"/>
    <w:p>
      <w:pPr>
        <w:jc w:val="both"/>
        <w:ind w:left="-540" w:firstLine="645"/>
        <w:spacing w:after="0" w:line="255" w:lineRule="auto"/>
        <w:tabs>
          <w:tab w:leader="none" w:pos="100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Definition of "Disability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 determined to be entitled to Social Security disability benefits by the Social Security Administration. The Executive hereby consents to a medical examination and consultation, at the Company’s sole expense, regarding his health and ability to perform as aforesaid.</w:t>
      </w:r>
    </w:p>
    <w:p>
      <w:pPr>
        <w:spacing w:after="0" w:line="216" w:lineRule="exact"/>
        <w:rPr>
          <w:rFonts w:ascii="Arial" w:cs="Arial" w:eastAsia="Arial" w:hAnsi="Arial"/>
          <w:sz w:val="18"/>
          <w:szCs w:val="18"/>
          <w:color w:val="auto"/>
        </w:rPr>
      </w:pPr>
    </w:p>
    <w:p>
      <w:pPr>
        <w:ind w:left="800" w:hanging="695"/>
        <w:spacing w:after="0"/>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The Company shall have “Cause” to terminate the Executive only for any of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-37465</wp:posOffset>
            </wp:positionV>
            <wp:extent cx="196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 cy="8890"/>
                    </a:xfrm>
                    <a:prstGeom prst="rect">
                      <a:avLst/>
                    </a:prstGeom>
                    <a:noFill/>
                  </pic:spPr>
                </pic:pic>
              </a:graphicData>
            </a:graphic>
          </wp:anchor>
        </w:drawing>
      </w:r>
    </w:p>
    <w:p>
      <w:pPr>
        <w:spacing w:after="0" w:line="244" w:lineRule="exact"/>
        <w:rPr>
          <w:sz w:val="20"/>
          <w:szCs w:val="20"/>
          <w:color w:val="auto"/>
        </w:rPr>
      </w:pPr>
    </w:p>
    <w:p>
      <w:pPr>
        <w:jc w:val="both"/>
        <w:ind w:left="760" w:hanging="655"/>
        <w:spacing w:after="0" w:line="286" w:lineRule="auto"/>
        <w:tabs>
          <w:tab w:leader="none" w:pos="7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Executive’s fraudulent, dishonest or illegal conduct in the performance of services for or on behalf of the Company or any of its subsidiaries or affiliates or other conduct in violation of Company policy or detrimental to the business, operations or reputation of the Company or any of its subsidiaries or affiliates, as determined by the Board in good faith;</w:t>
      </w:r>
    </w:p>
    <w:p>
      <w:pPr>
        <w:spacing w:after="0" w:line="192" w:lineRule="exact"/>
        <w:rPr>
          <w:rFonts w:ascii="Arial" w:cs="Arial" w:eastAsia="Arial" w:hAnsi="Arial"/>
          <w:sz w:val="17"/>
          <w:szCs w:val="17"/>
          <w:color w:val="auto"/>
        </w:rPr>
      </w:pPr>
    </w:p>
    <w:p>
      <w:pPr>
        <w:ind w:left="760" w:hanging="655"/>
        <w:spacing w:after="0"/>
        <w:tabs>
          <w:tab w:leader="none" w:pos="7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Executive’s embezzlement, misappropriation of funds or fraud, whether or not related to his employment with the Company;</w:t>
      </w:r>
    </w:p>
    <w:p>
      <w:pPr>
        <w:spacing w:after="0" w:line="275" w:lineRule="exact"/>
        <w:rPr>
          <w:rFonts w:ascii="Arial" w:cs="Arial" w:eastAsia="Arial" w:hAnsi="Arial"/>
          <w:sz w:val="16"/>
          <w:szCs w:val="16"/>
          <w:color w:val="auto"/>
        </w:rPr>
      </w:pPr>
    </w:p>
    <w:p>
      <w:pPr>
        <w:ind w:left="760" w:hanging="655"/>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Executive’s engaging in conduct involving an act of moral turpitude;</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Insubordination, negligence, willful misconduct or failure to comply with directions of the Board;</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252"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Executive’s violation of any Company policy, including but not limited to the Company’s Code of Ethics, and its policies regarding discrimination, harassment and retaliation;</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Executive’s gross misconduct or intentional failure to comply with any lawful direction of the Board consistent with his duties hereunder;</w:t>
      </w:r>
    </w:p>
    <w:p>
      <w:pPr>
        <w:spacing w:after="0" w:line="197"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77" w:name="page78"/>
    <w:bookmarkEnd w:id="77"/>
    <w:p>
      <w:pPr>
        <w:ind w:left="1304" w:hanging="655"/>
        <w:spacing w:after="0" w:line="277" w:lineRule="auto"/>
        <w:tabs>
          <w:tab w:leader="none" w:pos="13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determination by the Board that the Executive has committed an act of fraud, embezzlement or conversion of property related to the Company or any of its customers or suppliers; or</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intentional breach of the Executive’s obligations under this Agreement which is not promptly cured after notice and demand by the Board.</w:t>
      </w:r>
    </w:p>
    <w:p>
      <w:pPr>
        <w:spacing w:after="0" w:line="200" w:lineRule="exact"/>
        <w:rPr>
          <w:sz w:val="20"/>
          <w:szCs w:val="20"/>
          <w:color w:val="auto"/>
        </w:rPr>
      </w:pPr>
    </w:p>
    <w:p>
      <w:pPr>
        <w:spacing w:after="0" w:line="214" w:lineRule="exact"/>
        <w:rPr>
          <w:sz w:val="20"/>
          <w:szCs w:val="20"/>
          <w:color w:val="auto"/>
        </w:rPr>
      </w:pPr>
    </w:p>
    <w:p>
      <w:pPr>
        <w:ind w:left="1384" w:hanging="735"/>
        <w:spacing w:after="0"/>
        <w:tabs>
          <w:tab w:leader="none" w:pos="138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the purposes of this Agreement, "Good Reason" shall mean without the prior written consent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the Executive:</w:t>
      </w:r>
    </w:p>
    <w:p>
      <w:pPr>
        <w:spacing w:after="0" w:line="238" w:lineRule="exact"/>
        <w:rPr>
          <w:sz w:val="20"/>
          <w:szCs w:val="20"/>
          <w:color w:val="auto"/>
        </w:rPr>
      </w:pPr>
    </w:p>
    <w:p>
      <w:pPr>
        <w:jc w:val="both"/>
        <w:ind w:left="1304" w:hanging="655"/>
        <w:spacing w:after="0" w:line="302" w:lineRule="auto"/>
        <w:tabs>
          <w:tab w:leader="none" w:pos="1304"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 reduction by the Company of the Executive's annual base salary from the amount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 reduction shall not be considered “Good Reason” if the reduction results from a determination by the Board in good faith that Company is unable to continue to pay the level of executive compensation due to the Executive and similarly situated executives, whether as a result of the Company’s failure to obtain additional equity funding as needed to sustain its operations, or otherwise;</w:t>
      </w:r>
    </w:p>
    <w:p>
      <w:pPr>
        <w:spacing w:after="0" w:line="181" w:lineRule="exact"/>
        <w:rPr>
          <w:rFonts w:ascii="Arial" w:cs="Arial" w:eastAsia="Arial" w:hAnsi="Arial"/>
          <w:sz w:val="16"/>
          <w:szCs w:val="16"/>
          <w:color w:val="auto"/>
        </w:rPr>
      </w:pPr>
    </w:p>
    <w:p>
      <w:pPr>
        <w:ind w:left="1304" w:hanging="655"/>
        <w:spacing w:after="0" w:line="277" w:lineRule="auto"/>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Company in the Executive's authority, duties, or responsibilities from those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 change by the Company of the principal location at which the Executive is required to perform his duties for Company to a new location that is at least fifty (50) miles from </w:t>
      </w:r>
      <w:r>
        <w:rPr>
          <w:rFonts w:ascii="Arial" w:cs="Arial" w:eastAsia="Arial" w:hAnsi="Arial"/>
          <w:sz w:val="18"/>
          <w:szCs w:val="18"/>
          <w:color w:val="222222"/>
        </w:rPr>
        <w:t>the Company’s headquarters in Jacksonville, Florida;</w:t>
      </w:r>
      <w:r>
        <w:rPr>
          <w:rFonts w:ascii="Arial" w:cs="Arial" w:eastAsia="Arial" w:hAnsi="Arial"/>
          <w:sz w:val="18"/>
          <w:szCs w:val="18"/>
          <w:color w:val="auto"/>
        </w:rPr>
        <w:t xml:space="preserve"> or</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52" w:lineRule="exact"/>
        <w:rPr>
          <w:rFonts w:ascii="Arial" w:cs="Arial" w:eastAsia="Arial" w:hAnsi="Arial"/>
          <w:sz w:val="18"/>
          <w:szCs w:val="18"/>
          <w:color w:val="auto"/>
        </w:rPr>
      </w:pPr>
    </w:p>
    <w:p>
      <w:pPr>
        <w:jc w:val="both"/>
        <w:ind w:left="4" w:right="60" w:hanging="4"/>
        <w:spacing w:after="0" w:line="290" w:lineRule="auto"/>
        <w:tabs>
          <w:tab w:leader="none" w:pos="72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Termination Notice and Cure</w:t>
      </w:r>
      <w:r>
        <w:rPr>
          <w:rFonts w:ascii="Arial" w:cs="Arial" w:eastAsia="Arial" w:hAnsi="Arial"/>
          <w:sz w:val="16"/>
          <w:szCs w:val="16"/>
          <w:color w:val="auto"/>
        </w:rPr>
        <w:t xml:space="preserve">. Notwithstanding the foregoing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541655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60" w:right="239" w:bottom="1440" w:gutter="0" w:footer="0" w:header="0"/>
        </w:sectPr>
      </w:pPr>
    </w:p>
    <w:bookmarkStart w:id="78" w:name="page79"/>
    <w:bookmarkEnd w:id="78"/>
    <w:p>
      <w:pPr>
        <w:jc w:val="both"/>
        <w:ind w:left="660"/>
        <w:spacing w:after="0" w:line="284" w:lineRule="auto"/>
        <w:rPr>
          <w:sz w:val="20"/>
          <w:szCs w:val="20"/>
          <w:color w:val="auto"/>
        </w:rPr>
      </w:pPr>
      <w:r>
        <w:rPr>
          <w:rFonts w:ascii="Arial" w:cs="Arial" w:eastAsia="Arial" w:hAnsi="Arial"/>
          <w:sz w:val="16"/>
          <w:szCs w:val="16"/>
          <w:color w:val="auto"/>
        </w:rPr>
        <w:t xml:space="preserve">Similarly, notwithstanding the foregoing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as soon as reasonably practicable, but in no event later than one hundred fifty (150) days after the Board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nine</w:t>
      </w:r>
    </w:p>
    <w:p>
      <w:pPr>
        <w:spacing w:after="0" w:line="5" w:lineRule="exact"/>
        <w:rPr>
          <w:sz w:val="20"/>
          <w:szCs w:val="20"/>
          <w:color w:val="auto"/>
        </w:rPr>
      </w:pPr>
    </w:p>
    <w:p>
      <w:pPr>
        <w:ind w:left="920" w:hanging="264"/>
        <w:spacing w:after="0"/>
        <w:tabs>
          <w:tab w:leader="none" w:pos="9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months from the date on which the Board first received notice of the event constituting Cause.</w:t>
      </w:r>
    </w:p>
    <w:p>
      <w:pPr>
        <w:spacing w:after="0" w:line="233" w:lineRule="exact"/>
        <w:rPr>
          <w:rFonts w:ascii="Arial" w:cs="Arial" w:eastAsia="Arial" w:hAnsi="Arial"/>
          <w:sz w:val="18"/>
          <w:szCs w:val="18"/>
          <w:color w:val="auto"/>
        </w:rPr>
      </w:pPr>
    </w:p>
    <w:p>
      <w:pPr>
        <w:ind w:left="640" w:hanging="632"/>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SEVERANCE PAY</w:t>
      </w:r>
      <w:r>
        <w:rPr>
          <w:rFonts w:ascii="Arial" w:cs="Arial" w:eastAsia="Arial" w:hAnsi="Arial"/>
          <w:sz w:val="18"/>
          <w:szCs w:val="18"/>
          <w:color w:val="auto"/>
        </w:rPr>
        <w:t>.</w:t>
      </w:r>
    </w:p>
    <w:p>
      <w:pPr>
        <w:spacing w:after="0" w:line="256" w:lineRule="exact"/>
        <w:rPr>
          <w:sz w:val="20"/>
          <w:szCs w:val="20"/>
          <w:color w:val="auto"/>
        </w:rPr>
      </w:pPr>
    </w:p>
    <w:p>
      <w:pPr>
        <w:jc w:val="both"/>
        <w:ind w:left="660" w:hanging="652"/>
        <w:spacing w:after="0" w:line="264"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In the event the Executive’s employment with the Company is terminated by the Company during the Term for Cause (as defined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above), or by the Executive other than for Good Reason (as defined in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above), the compensation and benefits the Executive shall be entitled to receive from the Company shall be limited to:</w:t>
      </w:r>
    </w:p>
    <w:p>
      <w:pPr>
        <w:spacing w:after="0" w:line="208" w:lineRule="exact"/>
        <w:rPr>
          <w:sz w:val="20"/>
          <w:szCs w:val="20"/>
          <w:color w:val="auto"/>
        </w:rPr>
      </w:pPr>
    </w:p>
    <w:p>
      <w:pPr>
        <w:ind w:firstLine="8"/>
        <w:spacing w:after="0" w:line="277" w:lineRule="auto"/>
        <w:tabs>
          <w:tab w:leader="none" w:pos="6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reimbursable expenses for which the Executive has not yet been reimbursed as of the date of termination; and</w:t>
      </w:r>
    </w:p>
    <w:p>
      <w:pPr>
        <w:spacing w:after="0" w:line="252" w:lineRule="exact"/>
        <w:rPr>
          <w:rFonts w:ascii="Arial" w:cs="Arial" w:eastAsia="Arial" w:hAnsi="Arial"/>
          <w:sz w:val="18"/>
          <w:szCs w:val="18"/>
          <w:color w:val="auto"/>
        </w:rPr>
      </w:pPr>
    </w:p>
    <w:p>
      <w:pPr>
        <w:ind w:firstLine="656"/>
        <w:spacing w:after="0" w:line="277" w:lineRule="auto"/>
        <w:tabs>
          <w:tab w:leader="none" w:pos="167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other rights and vested benefits (if any) provided under employee benefit plans and programs of the Company, determined in accordance with the applicable terms and provisions of such plans and programs.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Any annual performance bonus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earned for a prior year but not yet paid by the Company shall be forfeited if the Executive’s employment with the Company is terminated by the Company for Cause or is terminated by the Executive for other than Good Reason.</w:t>
      </w:r>
    </w:p>
    <w:p>
      <w:pPr>
        <w:spacing w:after="0" w:line="197" w:lineRule="exact"/>
        <w:rPr>
          <w:sz w:val="20"/>
          <w:szCs w:val="20"/>
          <w:color w:val="auto"/>
        </w:rPr>
      </w:pPr>
    </w:p>
    <w:p>
      <w:pPr>
        <w:jc w:val="both"/>
        <w:ind w:left="660" w:hanging="652"/>
        <w:spacing w:after="0" w:line="271"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Executive shall also be entitled to receive severance pay equal to eight (8) months of his annual base salary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at the rate in effect on the date of termination.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In addition, the Executive shall also receive upon termination any annual performance bonus that, as of the date of termination, has been earned by the Executive but has not yet been paid by the Company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9" w:name="page80"/>
    <w:bookmarkEnd w:id="79"/>
    <w:p>
      <w:pPr>
        <w:jc w:val="both"/>
        <w:ind w:left="652" w:hanging="652"/>
        <w:spacing w:after="0" w:line="302"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it will be a condition to the Executive’s right to receive any severance benefits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that he execute and deliver the Release to the Company upon his separation from service, and that he does not revoke the Release during the fifteen (15) day period thereafter.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below, the severance payments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be made no earlier than fifteen (15) days after the Executive has executed, delivered and not revoked the Release as required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ind w:left="1332" w:hanging="720"/>
        <w:spacing w:after="0"/>
        <w:tabs>
          <w:tab w:leader="none" w:pos="1332"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56" w:lineRule="exact"/>
        <w:rPr>
          <w:rFonts w:ascii="Arial" w:cs="Arial" w:eastAsia="Arial" w:hAnsi="Arial"/>
          <w:sz w:val="18"/>
          <w:szCs w:val="18"/>
          <w:b w:val="1"/>
          <w:bCs w:val="1"/>
          <w:color w:val="auto"/>
        </w:rPr>
      </w:pPr>
    </w:p>
    <w:p>
      <w:pPr>
        <w:jc w:val="both"/>
        <w:ind w:left="652" w:firstLine="645"/>
        <w:spacing w:after="0" w:line="288" w:lineRule="auto"/>
        <w:tabs>
          <w:tab w:leader="none" w:pos="2129" w:val="left"/>
        </w:tabs>
        <w:numPr>
          <w:ilvl w:val="2"/>
          <w:numId w:val="104"/>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either by the Company without Cause or by the Executive for Good Reason during the period of ninety (90) days following a Change in Control of the Company (as that term is defined below),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but in lieu of any severance payments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Executive shall be entitled to receive a severance payment equal to the sum of (i) eight (8) months of his annual base salary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at the higher of the base salary rate in effect on the date of termination or the base salary rate in effect immediately before the effective date of the Change of Control, and (ii) the Executive’s Annual Performance Bonus for the year which includes the effective date of the Change in Control, payable at the target level of performance. This severance pay shall be paid to the Executive in cash in a single lump sum payment, within sixty (60)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w:t>
      </w:r>
    </w:p>
    <w:p>
      <w:pPr>
        <w:spacing w:after="0" w:line="196" w:lineRule="exact"/>
        <w:rPr>
          <w:rFonts w:ascii="Arial" w:cs="Arial" w:eastAsia="Arial" w:hAnsi="Arial"/>
          <w:sz w:val="16"/>
          <w:szCs w:val="16"/>
          <w:color w:val="auto"/>
        </w:rPr>
      </w:pPr>
    </w:p>
    <w:p>
      <w:pPr>
        <w:jc w:val="both"/>
        <w:ind w:left="652" w:firstLine="645"/>
        <w:spacing w:after="0" w:line="286" w:lineRule="auto"/>
        <w:tabs>
          <w:tab w:leader="none" w:pos="2183" w:val="left"/>
        </w:tabs>
        <w:numPr>
          <w:ilvl w:val="2"/>
          <w:numId w:val="104"/>
        </w:numPr>
        <w:rPr>
          <w:rFonts w:ascii="Arial" w:cs="Arial" w:eastAsia="Arial" w:hAnsi="Arial"/>
          <w:sz w:val="17"/>
          <w:szCs w:val="17"/>
          <w:color w:val="auto"/>
        </w:rPr>
      </w:pPr>
      <w:r>
        <w:rPr>
          <w:rFonts w:ascii="Arial" w:cs="Arial" w:eastAsia="Arial" w:hAnsi="Arial"/>
          <w:sz w:val="17"/>
          <w:szCs w:val="17"/>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ninety (90) days following a Change in Control, such equity awards shall become fully vested as of the termination date.</w:t>
      </w:r>
    </w:p>
    <w:p>
      <w:pPr>
        <w:spacing w:after="0" w:line="192" w:lineRule="exact"/>
        <w:rPr>
          <w:rFonts w:ascii="Arial" w:cs="Arial" w:eastAsia="Arial" w:hAnsi="Arial"/>
          <w:sz w:val="17"/>
          <w:szCs w:val="17"/>
          <w:color w:val="auto"/>
        </w:rPr>
      </w:pPr>
    </w:p>
    <w:p>
      <w:pPr>
        <w:jc w:val="both"/>
        <w:ind w:left="652" w:right="20" w:firstLine="645"/>
        <w:spacing w:after="0" w:line="279" w:lineRule="auto"/>
        <w:tabs>
          <w:tab w:leader="none" w:pos="2028" w:val="left"/>
        </w:tabs>
        <w:numPr>
          <w:ilvl w:val="2"/>
          <w:numId w:val="104"/>
        </w:numPr>
        <w:rPr>
          <w:rFonts w:ascii="Arial" w:cs="Arial" w:eastAsia="Arial" w:hAnsi="Arial"/>
          <w:sz w:val="17"/>
          <w:szCs w:val="17"/>
          <w:color w:val="auto"/>
        </w:rPr>
      </w:pPr>
      <w:r>
        <w:rPr>
          <w:rFonts w:ascii="Arial" w:cs="Arial" w:eastAsia="Arial" w:hAnsi="Arial"/>
          <w:sz w:val="17"/>
          <w:szCs w:val="17"/>
          <w:color w:val="auto"/>
        </w:rPr>
        <w:t>For purposes of this Agreement, the term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98" w:lineRule="exact"/>
        <w:rPr>
          <w:rFonts w:ascii="Arial" w:cs="Arial" w:eastAsia="Arial" w:hAnsi="Arial"/>
          <w:sz w:val="17"/>
          <w:szCs w:val="17"/>
          <w:color w:val="auto"/>
        </w:rPr>
      </w:pPr>
    </w:p>
    <w:p>
      <w:pPr>
        <w:jc w:val="both"/>
        <w:ind w:left="652" w:firstLine="645"/>
        <w:spacing w:after="0" w:line="264" w:lineRule="auto"/>
        <w:tabs>
          <w:tab w:leader="none" w:pos="2169"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80" w:name="page81"/>
    <w:bookmarkEnd w:id="80"/>
    <w:p>
      <w:pPr>
        <w:jc w:val="both"/>
        <w:ind w:left="49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Parachute 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such extent which would result in no portion of such severance benefits being subject to the Excise Tax under Section 4999 of the Code (the “</w:t>
      </w:r>
      <w:r>
        <w:rPr>
          <w:rFonts w:ascii="Arial" w:cs="Arial" w:eastAsia="Arial" w:hAnsi="Arial"/>
          <w:sz w:val="17"/>
          <w:szCs w:val="17"/>
          <w:u w:val="single" w:color="auto"/>
          <w:color w:val="auto"/>
        </w:rPr>
        <w:t>Reduced Amount</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of the Excise Tax or the Reduced Amount required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w:t>
      </w:r>
    </w:p>
    <w:p>
      <w:pPr>
        <w:spacing w:after="0" w:line="201" w:lineRule="exact"/>
        <w:rPr>
          <w:sz w:val="20"/>
          <w:szCs w:val="20"/>
          <w:color w:val="auto"/>
        </w:rPr>
      </w:pPr>
    </w:p>
    <w:p>
      <w:pPr>
        <w:jc w:val="both"/>
        <w:ind w:left="10"/>
        <w:spacing w:after="0" w:line="273" w:lineRule="auto"/>
        <w:rPr>
          <w:sz w:val="20"/>
          <w:szCs w:val="20"/>
          <w:color w:val="auto"/>
        </w:rPr>
      </w:pPr>
      <w:r>
        <w:rPr>
          <w:rFonts w:ascii="Arial" w:cs="Arial" w:eastAsia="Arial" w:hAnsi="Arial"/>
          <w:sz w:val="17"/>
          <w:szCs w:val="17"/>
          <w:color w:val="auto"/>
        </w:rPr>
        <w:t>11</w:t>
      </w:r>
      <w:r>
        <w:rPr>
          <w:rFonts w:ascii="Arial" w:cs="Arial" w:eastAsia="Arial" w:hAnsi="Arial"/>
          <w:sz w:val="17"/>
          <w:szCs w:val="17"/>
          <w:b w:val="1"/>
          <w:bCs w:val="1"/>
          <w:color w:val="auto"/>
        </w:rPr>
        <w:t>. NO BREACH.</w:t>
      </w:r>
      <w:r>
        <w:rPr>
          <w:rFonts w:ascii="Arial" w:cs="Arial" w:eastAsia="Arial" w:hAnsi="Arial"/>
          <w:sz w:val="17"/>
          <w:szCs w:val="17"/>
          <w:color w:val="auto"/>
        </w:rPr>
        <w:t xml:space="preserve"> 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otherwise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99" w:lineRule="exact"/>
        <w:rPr>
          <w:sz w:val="20"/>
          <w:szCs w:val="20"/>
          <w:color w:val="auto"/>
        </w:rPr>
      </w:pPr>
    </w:p>
    <w:p>
      <w:pPr>
        <w:jc w:val="both"/>
        <w:ind w:left="10" w:hanging="10"/>
        <w:spacing w:after="0" w:line="224" w:lineRule="auto"/>
        <w:tabs>
          <w:tab w:leader="none" w:pos="811"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communications required by or bearing upon this Agreement or between the Parties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duly given (i) on the date of delivery if delivered personally, (ii) on the first (1</w:t>
      </w:r>
      <w:r>
        <w:rPr>
          <w:rFonts w:ascii="Arial" w:cs="Arial" w:eastAsia="Arial" w:hAnsi="Arial"/>
          <w:sz w:val="25"/>
          <w:szCs w:val="25"/>
          <w:color w:val="auto"/>
          <w:vertAlign w:val="superscript"/>
        </w:rPr>
        <w:t>st</w:t>
      </w:r>
      <w:r>
        <w:rPr>
          <w:rFonts w:ascii="Arial" w:cs="Arial" w:eastAsia="Arial" w:hAnsi="Arial"/>
          <w:sz w:val="18"/>
          <w:szCs w:val="18"/>
          <w:color w:val="auto"/>
        </w:rPr>
        <w:t>) business day following the date of dispatch if delivered using a next-day service by a recognized next-day courier or (iii) on the earlier of confirmed receipt or the fifth (5</w:t>
      </w:r>
      <w:r>
        <w:rPr>
          <w:rFonts w:ascii="Arial" w:cs="Arial" w:eastAsia="Arial" w:hAnsi="Arial"/>
          <w:sz w:val="25"/>
          <w:szCs w:val="25"/>
          <w:color w:val="auto"/>
          <w:vertAlign w:val="superscript"/>
        </w:rPr>
        <w:t>th</w:t>
      </w:r>
      <w:r>
        <w:rPr>
          <w:rFonts w:ascii="Arial" w:cs="Arial" w:eastAsia="Arial" w:hAnsi="Arial"/>
          <w:sz w:val="18"/>
          <w:szCs w:val="18"/>
          <w:color w:val="auto"/>
        </w:rPr>
        <w:t>)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567690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760" w:right="239" w:bottom="1440" w:gutter="0" w:footer="0" w:header="0"/>
        </w:sectPr>
      </w:pPr>
    </w:p>
    <w:bookmarkStart w:id="81" w:name="page82"/>
    <w:bookmarkEnd w:id="81"/>
    <w:p>
      <w:pPr>
        <w:ind w:left="2020" w:hanging="553"/>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420 E. Bay St.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Jacksonville, Florida 32202</w:t>
      </w:r>
    </w:p>
    <w:p>
      <w:pPr>
        <w:spacing w:after="0" w:line="238" w:lineRule="exact"/>
        <w:rPr>
          <w:sz w:val="20"/>
          <w:szCs w:val="20"/>
          <w:color w:val="auto"/>
        </w:rPr>
      </w:pPr>
    </w:p>
    <w:p>
      <w:pPr>
        <w:ind w:left="2040" w:hanging="573"/>
        <w:spacing w:after="0"/>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50 N. Laura St. - Suite 2500</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Attn: Chairman of the Board</w:t>
      </w:r>
    </w:p>
    <w:p>
      <w:pPr>
        <w:spacing w:after="0" w:line="234" w:lineRule="exact"/>
        <w:rPr>
          <w:sz w:val="20"/>
          <w:szCs w:val="20"/>
          <w:color w:val="auto"/>
        </w:rPr>
      </w:pPr>
    </w:p>
    <w:p>
      <w:pPr>
        <w:jc w:val="both"/>
        <w:ind w:firstLine="8"/>
        <w:spacing w:after="0" w:line="295" w:lineRule="auto"/>
        <w:tabs>
          <w:tab w:leader="none" w:pos="828"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NON-ASSIGNMENT. </w:t>
      </w:r>
      <w:r>
        <w:rPr>
          <w:rFonts w:ascii="Arial" w:cs="Arial" w:eastAsia="Arial" w:hAnsi="Arial"/>
          <w:sz w:val="16"/>
          <w:szCs w:val="16"/>
          <w:color w:val="auto"/>
        </w:rPr>
        <w:t>The Executive and the Company acknowledge the unique nature of services to be provided by the Executive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high degree of responsibility borne by him and the personal nature of his relationship to the Company’s business and 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182" w:lineRule="exact"/>
        <w:rPr>
          <w:rFonts w:ascii="Arial" w:cs="Arial" w:eastAsia="Arial" w:hAnsi="Arial"/>
          <w:sz w:val="16"/>
          <w:szCs w:val="16"/>
          <w:color w:val="auto"/>
        </w:rPr>
      </w:pPr>
    </w:p>
    <w:p>
      <w:pPr>
        <w:jc w:val="both"/>
        <w:ind w:firstLine="8"/>
        <w:spacing w:after="0" w:line="287" w:lineRule="auto"/>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The Executive and the Company acknowledge that each of the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promised to Executive under this Agreement must either comply with the requirements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and the regulations thereunder or qualify for an exception from compliance. To that end, the Executive and the Company agree that the severance payments described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are intended to be excepted from compliance with Section 409A as either short-term deferrals pursuant to Treasury Regulation Section 1.409A-1(b)</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 or separation pay pursuant to Treasury Regulation Section 1.409A-1(b)(9).</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1.409A-1(i))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2" w:name="page83"/>
    <w:bookmarkEnd w:id="82"/>
    <w:p>
      <w:pPr>
        <w:jc w:val="both"/>
        <w:ind w:left="-656" w:firstLine="656"/>
        <w:spacing w:after="0" w:line="274" w:lineRule="auto"/>
        <w:tabs>
          <w:tab w:leader="none" w:pos="753"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200" w:lineRule="exact"/>
        <w:rPr>
          <w:rFonts w:ascii="Arial" w:cs="Arial" w:eastAsia="Arial" w:hAnsi="Arial"/>
          <w:sz w:val="17"/>
          <w:szCs w:val="17"/>
          <w:color w:val="auto"/>
        </w:rPr>
      </w:pPr>
    </w:p>
    <w:p>
      <w:pPr>
        <w:jc w:val="both"/>
        <w:ind w:left="-656" w:firstLine="656"/>
        <w:spacing w:after="0" w:line="261" w:lineRule="auto"/>
        <w:tabs>
          <w:tab w:leader="none" w:pos="109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ENFORCEABILITY. </w:t>
      </w:r>
      <w:r>
        <w:rPr>
          <w:rFonts w:ascii="Arial" w:cs="Arial" w:eastAsia="Arial" w:hAnsi="Arial"/>
          <w:sz w:val="18"/>
          <w:szCs w:val="18"/>
          <w:color w:val="auto"/>
        </w:rPr>
        <w:t>If any provision of this Agreement shall be found by a court with proper jurisdiction to be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then such provision shall be deemed to be modified, narrowed, or restricted only to the limited extent and 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207" w:lineRule="exact"/>
        <w:rPr>
          <w:rFonts w:ascii="Arial" w:cs="Arial" w:eastAsia="Arial" w:hAnsi="Arial"/>
          <w:sz w:val="18"/>
          <w:szCs w:val="18"/>
          <w:color w:val="auto"/>
        </w:rPr>
      </w:pPr>
    </w:p>
    <w:p>
      <w:pPr>
        <w:ind w:left="724" w:hanging="724"/>
        <w:spacing w:after="0"/>
        <w:tabs>
          <w:tab w:leader="none" w:pos="724"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56" w:lineRule="exact"/>
        <w:rPr>
          <w:rFonts w:ascii="Arial" w:cs="Arial" w:eastAsia="Arial" w:hAnsi="Arial"/>
          <w:sz w:val="18"/>
          <w:szCs w:val="18"/>
          <w:color w:val="auto"/>
        </w:rPr>
      </w:pPr>
    </w:p>
    <w:p>
      <w:pPr>
        <w:ind w:left="4" w:firstLine="645"/>
        <w:spacing w:after="0" w:line="277" w:lineRule="auto"/>
        <w:tabs>
          <w:tab w:leader="none" w:pos="144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197" w:lineRule="exact"/>
        <w:rPr>
          <w:rFonts w:ascii="Arial" w:cs="Arial" w:eastAsia="Arial" w:hAnsi="Arial"/>
          <w:sz w:val="18"/>
          <w:szCs w:val="18"/>
          <w:color w:val="auto"/>
        </w:rPr>
      </w:pPr>
    </w:p>
    <w:p>
      <w:pPr>
        <w:jc w:val="both"/>
        <w:ind w:left="4" w:firstLine="645"/>
        <w:spacing w:after="0" w:line="264" w:lineRule="auto"/>
        <w:tabs>
          <w:tab w:leader="none" w:pos="157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Agreement represents the sole agreement of the Executive and the Company concerning the subject matter hereof and supersedes all prior communications, representations and negotiations, whether oral or written, concerning such subject matter, including the Prior Employment Agreement.</w:t>
      </w:r>
    </w:p>
    <w:p>
      <w:pPr>
        <w:spacing w:after="0" w:line="208" w:lineRule="exact"/>
        <w:rPr>
          <w:rFonts w:ascii="Arial" w:cs="Arial" w:eastAsia="Arial" w:hAnsi="Arial"/>
          <w:sz w:val="18"/>
          <w:szCs w:val="18"/>
          <w:color w:val="auto"/>
        </w:rPr>
      </w:pPr>
    </w:p>
    <w:p>
      <w:pPr>
        <w:ind w:left="4" w:right="20" w:firstLine="645"/>
        <w:spacing w:after="0" w:line="277" w:lineRule="auto"/>
        <w:tabs>
          <w:tab w:leader="none" w:pos="137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97" w:lineRule="exact"/>
        <w:rPr>
          <w:rFonts w:ascii="Arial" w:cs="Arial" w:eastAsia="Arial" w:hAnsi="Arial"/>
          <w:sz w:val="18"/>
          <w:szCs w:val="18"/>
          <w:color w:val="auto"/>
        </w:rPr>
      </w:pPr>
    </w:p>
    <w:p>
      <w:pPr>
        <w:jc w:val="both"/>
        <w:ind w:left="4" w:firstLine="645"/>
        <w:spacing w:after="0" w:line="276" w:lineRule="auto"/>
        <w:tabs>
          <w:tab w:leader="none" w:pos="1357" w:val="left"/>
        </w:tabs>
        <w:numPr>
          <w:ilvl w:val="1"/>
          <w:numId w:val="109"/>
        </w:numPr>
        <w:rPr>
          <w:rFonts w:ascii="Arial" w:cs="Arial" w:eastAsia="Arial" w:hAnsi="Arial"/>
          <w:sz w:val="17"/>
          <w:szCs w:val="17"/>
          <w:color w:val="auto"/>
        </w:rPr>
      </w:pPr>
      <w:r>
        <w:rPr>
          <w:rFonts w:ascii="Arial" w:cs="Arial" w:eastAsia="Arial" w:hAnsi="Arial"/>
          <w:sz w:val="17"/>
          <w:szCs w:val="17"/>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545465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83" w:name="page84"/>
    <w:bookmarkEnd w:id="83"/>
    <w:p>
      <w:pPr>
        <w:ind w:left="800" w:hanging="695"/>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52" w:lineRule="exact"/>
        <w:rPr>
          <w:rFonts w:ascii="Arial" w:cs="Arial" w:eastAsia="Arial" w:hAnsi="Arial"/>
          <w:sz w:val="18"/>
          <w:szCs w:val="18"/>
          <w:color w:val="auto"/>
        </w:rPr>
      </w:pPr>
    </w:p>
    <w:p>
      <w:pPr>
        <w:ind w:left="-540" w:firstLine="645"/>
        <w:spacing w:after="0" w:line="277" w:lineRule="auto"/>
        <w:tabs>
          <w:tab w:leader="none" w:pos="8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97" w:lineRule="exact"/>
        <w:rPr>
          <w:rFonts w:ascii="Arial" w:cs="Arial" w:eastAsia="Arial" w:hAnsi="Arial"/>
          <w:sz w:val="18"/>
          <w:szCs w:val="18"/>
          <w:color w:val="auto"/>
        </w:rPr>
      </w:pPr>
    </w:p>
    <w:p>
      <w:pPr>
        <w:jc w:val="both"/>
        <w:ind w:left="-540" w:firstLine="645"/>
        <w:spacing w:after="0" w:line="312" w:lineRule="auto"/>
        <w:tabs>
          <w:tab w:leader="none" w:pos="8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1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581660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84" w:name="page85"/>
    <w:bookmarkEnd w:id="8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COMPANY – TapImmune, Inc.</w:t>
            </w:r>
          </w:p>
        </w:tc>
        <w:tc>
          <w:tcPr>
            <w:tcW w:w="1760" w:type="dxa"/>
            <w:vAlign w:val="bottom"/>
          </w:tcPr>
          <w:p>
            <w:pPr>
              <w:spacing w:after="0"/>
              <w:rPr>
                <w:sz w:val="20"/>
                <w:szCs w:val="20"/>
                <w:color w:val="auto"/>
              </w:rPr>
            </w:pPr>
          </w:p>
        </w:tc>
        <w:tc>
          <w:tcPr>
            <w:tcW w:w="5460" w:type="dxa"/>
            <w:vAlign w:val="bottom"/>
            <w:gridSpan w:val="2"/>
          </w:tcPr>
          <w:p>
            <w:pPr>
              <w:ind w:left="800"/>
              <w:spacing w:after="0"/>
              <w:rPr>
                <w:sz w:val="20"/>
                <w:szCs w:val="20"/>
                <w:color w:val="auto"/>
              </w:rPr>
            </w:pPr>
            <w:r>
              <w:rPr>
                <w:rFonts w:ascii="Arial" w:cs="Arial" w:eastAsia="Arial" w:hAnsi="Arial"/>
                <w:sz w:val="18"/>
                <w:szCs w:val="18"/>
                <w:b w:val="1"/>
                <w:bCs w:val="1"/>
                <w:color w:val="auto"/>
              </w:rPr>
              <w:t>EXECUTIVE</w:t>
            </w:r>
          </w:p>
        </w:tc>
      </w:tr>
      <w:tr>
        <w:trPr>
          <w:trHeight w:val="662"/>
        </w:trPr>
        <w:tc>
          <w:tcPr>
            <w:tcW w:w="4200" w:type="dxa"/>
            <w:vAlign w:val="bottom"/>
            <w:gridSpan w:val="3"/>
          </w:tcPr>
          <w:p>
            <w:pPr>
              <w:spacing w:after="0"/>
              <w:rPr>
                <w:sz w:val="20"/>
                <w:szCs w:val="20"/>
                <w:color w:val="auto"/>
              </w:rPr>
            </w:pPr>
            <w:r>
              <w:rPr>
                <w:rFonts w:ascii="Arial" w:cs="Arial" w:eastAsia="Arial" w:hAnsi="Arial"/>
                <w:sz w:val="18"/>
                <w:szCs w:val="18"/>
                <w:color w:val="auto"/>
              </w:rPr>
              <w:t>By: /s/ David Laskow-Pooley</w:t>
            </w:r>
          </w:p>
        </w:tc>
        <w:tc>
          <w:tcPr>
            <w:tcW w:w="7220" w:type="dxa"/>
            <w:vAlign w:val="bottom"/>
            <w:gridSpan w:val="3"/>
          </w:tcPr>
          <w:p>
            <w:pPr>
              <w:ind w:left="1760"/>
              <w:spacing w:after="0"/>
              <w:rPr>
                <w:sz w:val="20"/>
                <w:szCs w:val="20"/>
                <w:color w:val="auto"/>
              </w:rPr>
            </w:pPr>
            <w:r>
              <w:rPr>
                <w:rFonts w:ascii="Arial" w:cs="Arial" w:eastAsia="Arial" w:hAnsi="Arial"/>
                <w:sz w:val="18"/>
                <w:szCs w:val="18"/>
                <w:color w:val="auto"/>
              </w:rPr>
              <w:t>/s/ Glynn Wilson</w:t>
            </w: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37"/>
        </w:trPr>
        <w:tc>
          <w:tcPr>
            <w:tcW w:w="4200" w:type="dxa"/>
            <w:vAlign w:val="bottom"/>
            <w:gridSpan w:val="3"/>
          </w:tcPr>
          <w:p>
            <w:pPr>
              <w:spacing w:after="0"/>
              <w:rPr>
                <w:sz w:val="20"/>
                <w:szCs w:val="20"/>
                <w:color w:val="auto"/>
              </w:rPr>
            </w:pPr>
            <w:r>
              <w:rPr>
                <w:rFonts w:ascii="Arial" w:cs="Arial" w:eastAsia="Arial" w:hAnsi="Arial"/>
                <w:sz w:val="18"/>
                <w:szCs w:val="18"/>
                <w:color w:val="auto"/>
              </w:rPr>
              <w:t>David Laskow-Pooley, Director</w:t>
            </w:r>
          </w:p>
        </w:tc>
        <w:tc>
          <w:tcPr>
            <w:tcW w:w="1760" w:type="dxa"/>
            <w:vAlign w:val="bottom"/>
          </w:tcPr>
          <w:p>
            <w:pPr>
              <w:spacing w:after="0"/>
              <w:rPr>
                <w:sz w:val="20"/>
                <w:szCs w:val="20"/>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Glynn Wilson</w:t>
            </w:r>
          </w:p>
        </w:tc>
      </w:tr>
      <w:tr>
        <w:trPr>
          <w:trHeight w:val="4251"/>
        </w:trPr>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71"/>
        </w:trPr>
        <w:tc>
          <w:tcPr>
            <w:tcW w:w="320" w:type="dxa"/>
            <w:vAlign w:val="bottom"/>
            <w:shd w:val="clear" w:color="auto" w:fill="808080"/>
          </w:tcPr>
          <w:p>
            <w:pPr>
              <w:spacing w:after="0"/>
              <w:rPr>
                <w:sz w:val="6"/>
                <w:szCs w:val="6"/>
                <w:color w:val="auto"/>
              </w:rPr>
            </w:pPr>
          </w:p>
        </w:tc>
        <w:tc>
          <w:tcPr>
            <w:tcW w:w="1820" w:type="dxa"/>
            <w:vAlign w:val="bottom"/>
            <w:shd w:val="clear" w:color="auto" w:fill="808080"/>
          </w:tcPr>
          <w:p>
            <w:pPr>
              <w:spacing w:after="0"/>
              <w:rPr>
                <w:sz w:val="6"/>
                <w:szCs w:val="6"/>
                <w:color w:val="auto"/>
              </w:rPr>
            </w:pPr>
          </w:p>
        </w:tc>
        <w:tc>
          <w:tcPr>
            <w:tcW w:w="206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1240" w:type="dxa"/>
            <w:vAlign w:val="bottom"/>
            <w:shd w:val="clear" w:color="auto" w:fill="808080"/>
          </w:tcPr>
          <w:p>
            <w:pPr>
              <w:spacing w:after="0"/>
              <w:rPr>
                <w:sz w:val="6"/>
                <w:szCs w:val="6"/>
                <w:color w:val="auto"/>
              </w:rPr>
            </w:pPr>
          </w:p>
        </w:tc>
        <w:tc>
          <w:tcPr>
            <w:tcW w:w="4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99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00" w:lineRule="exact"/>
        <w:rPr>
          <w:sz w:val="20"/>
          <w:szCs w:val="20"/>
          <w:color w:val="auto"/>
        </w:rPr>
      </w:pPr>
    </w:p>
    <w:p>
      <w:pPr>
        <w:spacing w:after="0" w:line="299" w:lineRule="exact"/>
        <w:rPr>
          <w:sz w:val="20"/>
          <w:szCs w:val="20"/>
          <w:color w:val="auto"/>
        </w:rPr>
      </w:pPr>
    </w:p>
    <w:p>
      <w:pPr>
        <w:ind w:left="420" w:hanging="412"/>
        <w:spacing w:after="0"/>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w:t>
      </w:r>
    </w:p>
    <w:p>
      <w:pPr>
        <w:spacing w:after="0" w:line="248"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color w:val="auto"/>
        </w:rPr>
        <w:t>1.1 The Board of Directors of TapImmune Inc.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has adopted this Code of Ethics and Business Conduct (the "</w:t>
      </w:r>
      <w:r>
        <w:rPr>
          <w:rFonts w:ascii="Arial" w:cs="Arial" w:eastAsia="Arial" w:hAnsi="Arial"/>
          <w:sz w:val="18"/>
          <w:szCs w:val="18"/>
          <w:b w:val="1"/>
          <w:bCs w:val="1"/>
          <w:color w:val="auto"/>
        </w:rPr>
        <w:t>Code</w:t>
      </w:r>
      <w:r>
        <w:rPr>
          <w:rFonts w:ascii="Arial" w:cs="Arial" w:eastAsia="Arial" w:hAnsi="Arial"/>
          <w:sz w:val="18"/>
          <w:szCs w:val="18"/>
          <w:color w:val="auto"/>
        </w:rPr>
        <w:t>") in order to:</w:t>
      </w:r>
    </w:p>
    <w:p>
      <w:pPr>
        <w:spacing w:after="0" w:line="193" w:lineRule="exact"/>
        <w:rPr>
          <w:sz w:val="20"/>
          <w:szCs w:val="20"/>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w:t>
      </w:r>
    </w:p>
    <w:p>
      <w:pPr>
        <w:spacing w:after="0" w:line="252" w:lineRule="exact"/>
        <w:rPr>
          <w:rFonts w:ascii="Arial" w:cs="Arial" w:eastAsia="Arial" w:hAnsi="Arial"/>
          <w:sz w:val="18"/>
          <w:szCs w:val="18"/>
          <w:color w:val="auto"/>
        </w:rPr>
      </w:pPr>
    </w:p>
    <w:p>
      <w:pPr>
        <w:ind w:right="160" w:firstLine="818"/>
        <w:spacing w:after="0" w:line="277" w:lineRule="auto"/>
        <w:tabs>
          <w:tab w:leader="none" w:pos="1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full, fair, accurate, timely and understandable disclosure in reports and documents that the Company files with, or submits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in other public communications made by the Company;</w:t>
      </w:r>
    </w:p>
    <w:p>
      <w:pPr>
        <w:spacing w:after="0" w:line="197"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the protection of Company assets, including corporate opportunities and confidential information;</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promote fair dealing practices;</w:t>
      </w:r>
    </w:p>
    <w:p>
      <w:pPr>
        <w:spacing w:after="0" w:line="252" w:lineRule="exact"/>
        <w:rPr>
          <w:rFonts w:ascii="Arial" w:cs="Arial" w:eastAsia="Arial" w:hAnsi="Arial"/>
          <w:sz w:val="18"/>
          <w:szCs w:val="18"/>
          <w:color w:val="auto"/>
        </w:rPr>
      </w:pPr>
    </w:p>
    <w:p>
      <w:pPr>
        <w:ind w:left="1320" w:hanging="502"/>
        <w:spacing w:after="0"/>
        <w:tabs>
          <w:tab w:leader="none" w:pos="1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ensure accountability for adherence to the Code.</w:t>
      </w:r>
    </w:p>
    <w:p>
      <w:pPr>
        <w:spacing w:after="0" w:line="252" w:lineRule="exact"/>
        <w:rPr>
          <w:sz w:val="20"/>
          <w:szCs w:val="20"/>
          <w:color w:val="auto"/>
        </w:rPr>
      </w:pPr>
    </w:p>
    <w:p>
      <w:pPr>
        <w:ind w:right="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1.2 All directors, officers and employees are required to be familiar with the Code, comply with its provisions and report any suspected violations as described below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hyperlink w:anchor="page88">
        <w:r>
          <w:rPr>
            <w:rFonts w:ascii="Arial" w:cs="Arial" w:eastAsia="Arial" w:hAnsi="Arial"/>
            <w:sz w:val="18"/>
            <w:szCs w:val="18"/>
            <w:b w:val="1"/>
            <w:bCs w:val="1"/>
            <w:u w:val="single" w:color="auto"/>
            <w:color w:val="0000EE"/>
          </w:rPr>
          <w:t>10</w:t>
        </w:r>
      </w:hyperlink>
      <w:r>
        <w:rPr>
          <w:rFonts w:ascii="Arial" w:cs="Arial" w:eastAsia="Arial" w:hAnsi="Arial"/>
          <w:sz w:val="18"/>
          <w:szCs w:val="18"/>
          <w:color w:val="auto"/>
        </w:rPr>
        <w:t>., Reporting and Enforcement.</w:t>
      </w:r>
    </w:p>
    <w:p>
      <w:pPr>
        <w:spacing w:after="0" w:line="197" w:lineRule="exact"/>
        <w:rPr>
          <w:sz w:val="20"/>
          <w:szCs w:val="20"/>
          <w:color w:val="auto"/>
        </w:rPr>
      </w:pPr>
    </w:p>
    <w:p>
      <w:pPr>
        <w:ind w:left="420" w:hanging="412"/>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Honest and Ethical Conduct</w:t>
      </w:r>
      <w:r>
        <w:rPr>
          <w:rFonts w:ascii="Arial" w:cs="Arial" w:eastAsia="Arial" w:hAnsi="Arial"/>
          <w:sz w:val="18"/>
          <w:szCs w:val="18"/>
          <w:color w:val="auto"/>
        </w:rPr>
        <w:t>.</w:t>
      </w:r>
    </w:p>
    <w:p>
      <w:pPr>
        <w:spacing w:after="0" w:line="25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Company's policy is to promote high standards of integrity by conducting its affairs honestly and ethically.</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2.2 Each director, officer and employee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6" w:name="page87"/>
    <w:bookmarkEnd w:id="86"/>
    <w:p>
      <w:pPr>
        <w:ind w:left="420" w:hanging="412"/>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3.1 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pPr>
        <w:spacing w:after="0" w:line="21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3.2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pPr>
        <w:spacing w:after="0" w:line="193" w:lineRule="exact"/>
        <w:rPr>
          <w:sz w:val="20"/>
          <w:szCs w:val="20"/>
          <w:color w:val="auto"/>
        </w:rPr>
      </w:pPr>
    </w:p>
    <w:p>
      <w:pPr>
        <w:ind w:right="1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3.3 Whether or not a conflict of interest exists or will exist can be unclear. Conflicts of interest should be avoided unless specifically authorized as described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hyperlink w:anchor="page87">
        <w:r>
          <w:rPr>
            <w:rFonts w:ascii="Arial" w:cs="Arial" w:eastAsia="Arial" w:hAnsi="Arial"/>
            <w:sz w:val="18"/>
            <w:szCs w:val="18"/>
            <w:b w:val="1"/>
            <w:bCs w:val="1"/>
            <w:u w:val="single" w:color="auto"/>
            <w:color w:val="0000EE"/>
          </w:rPr>
          <w:t>3.4</w:t>
        </w:r>
      </w:hyperlink>
      <w:r>
        <w:rPr>
          <w:rFonts w:ascii="Arial" w:cs="Arial" w:eastAsia="Arial" w:hAnsi="Arial"/>
          <w:sz w:val="18"/>
          <w:szCs w:val="18"/>
          <w:color w:val="auto"/>
        </w:rPr>
        <w:t>.</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3.4 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Executive Officer. A supervisor may not authorize or approve conflict of interest matters or make determinations as to whether a problematic conflict of interest exists without first providing the Chief Executive Officer with a written description of the activity and seeking the Chief Executive Officer's written approval. If the Chief Executive Officer is himself involved in the potential or actual conflict, the matter should instead be discussed directly with the Chairman of the Audit Committee.</w:t>
      </w: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Directors and executive officers must seek determinations and prior authorizations or approvals of potential conflicts of interest exclusively from the Audit Committee.</w:t>
      </w:r>
    </w:p>
    <w:p>
      <w:pPr>
        <w:spacing w:after="0" w:line="197" w:lineRule="exact"/>
        <w:rPr>
          <w:sz w:val="20"/>
          <w:szCs w:val="20"/>
          <w:color w:val="auto"/>
        </w:rPr>
      </w:pPr>
    </w:p>
    <w:p>
      <w:pPr>
        <w:ind w:left="420" w:hanging="412"/>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4.1 Employees, officers and directors should comply, both in letter and spirit, with all applicable laws, rules and regulations in the cities, states and countries in which the Company operates.</w:t>
      </w:r>
    </w:p>
    <w:p>
      <w:pPr>
        <w:spacing w:after="0" w:line="19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4.2 Although not all employees, officers and directors are expected to know the details of all applicable laws, rules and regulations, it is important to know enough to determine when to seek advice from appropriate personnel. Questions about compliance should be addressed to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87" w:name="page88"/>
    <w:bookmarkEnd w:id="87"/>
    <w:p>
      <w:pPr>
        <w:jc w:val="both"/>
        <w:ind w:right="80" w:firstLine="324"/>
        <w:spacing w:after="0" w:line="259" w:lineRule="auto"/>
        <w:rPr>
          <w:sz w:val="20"/>
          <w:szCs w:val="20"/>
          <w:color w:val="auto"/>
        </w:rPr>
      </w:pPr>
      <w:r>
        <w:rPr>
          <w:rFonts w:ascii="Arial" w:cs="Arial" w:eastAsia="Arial" w:hAnsi="Arial"/>
          <w:sz w:val="18"/>
          <w:szCs w:val="18"/>
          <w:color w:val="auto"/>
        </w:rPr>
        <w:t>4.3 No director, officer or employee may purchase or sell any Company securities while in possession of material non-public information regarding the Company, nor may any director, officer or employee purchase or sell another company's securities while in possession of material non-public information regarding that company. It is against Company policies and illegal for any director, officer or employee to use material non-public information regarding the Company or any other company to:</w:t>
      </w:r>
    </w:p>
    <w:p>
      <w:pPr>
        <w:spacing w:after="0" w:line="214" w:lineRule="exact"/>
        <w:rPr>
          <w:sz w:val="20"/>
          <w:szCs w:val="20"/>
          <w:color w:val="auto"/>
        </w:rPr>
      </w:pPr>
    </w:p>
    <w:p>
      <w:pPr>
        <w:ind w:left="1340" w:hanging="522"/>
        <w:spacing w:after="0"/>
        <w:tabs>
          <w:tab w:leader="none" w:pos="13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obtain profit for himself or herself; or</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directly or indirectly "tip" others who might make an investment decision on the basis of that information.</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5.1 The Company's periodic reports and other documents filed with the SEC, including all financial statements and other financial information, must comply with applicable federal securities laws and SEC rules.</w:t>
      </w:r>
    </w:p>
    <w:p>
      <w:pPr>
        <w:spacing w:after="0" w:line="19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5.2 Each director, officer and employee who contributes in any way to the preparation or verification of the Company's financial statements and other financial information must ensure that the Company's books, records and accounts are accurately maintained. Each director, officer and employee must cooperate fully with the Company's accounting and internal audit departments, as well as the Company's independent public accountants and counsel.</w:t>
      </w:r>
    </w:p>
    <w:p>
      <w:pPr>
        <w:spacing w:after="0" w:line="174"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Each director, officer and employee who is involved in the Company's disclosure process must:</w:t>
      </w:r>
    </w:p>
    <w:p>
      <w:pPr>
        <w:spacing w:after="0" w:line="252" w:lineRule="exact"/>
        <w:rPr>
          <w:sz w:val="20"/>
          <w:szCs w:val="20"/>
          <w:color w:val="auto"/>
        </w:rPr>
      </w:pPr>
    </w:p>
    <w:p>
      <w:pPr>
        <w:ind w:left="1340" w:hanging="522"/>
        <w:spacing w:after="0"/>
        <w:tabs>
          <w:tab w:leader="none" w:pos="13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be familiar with and comply with the Company's disclosure controls and procedures and its internal control over financial reporting; and</w:t>
      </w:r>
    </w:p>
    <w:p>
      <w:pPr>
        <w:spacing w:after="0" w:line="275" w:lineRule="exact"/>
        <w:rPr>
          <w:rFonts w:ascii="Arial" w:cs="Arial" w:eastAsia="Arial" w:hAnsi="Arial"/>
          <w:sz w:val="16"/>
          <w:szCs w:val="16"/>
          <w:color w:val="auto"/>
        </w:rPr>
      </w:pPr>
    </w:p>
    <w:p>
      <w:pPr>
        <w:ind w:right="640" w:firstLine="818"/>
        <w:spacing w:after="0" w:line="277" w:lineRule="auto"/>
        <w:tabs>
          <w:tab w:leader="none" w:pos="133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take all necessary steps to ensure that all filings with the SEC and all other public communications about the financial and business condition of the Company provide full, fair, accurate, timely and understandable disclosure.</w:t>
      </w:r>
    </w:p>
    <w:p>
      <w:pPr>
        <w:spacing w:after="0" w:line="197" w:lineRule="exact"/>
        <w:rPr>
          <w:rFonts w:ascii="Arial" w:cs="Arial" w:eastAsia="Arial" w:hAnsi="Arial"/>
          <w:sz w:val="18"/>
          <w:szCs w:val="18"/>
          <w:color w:val="auto"/>
        </w:rPr>
      </w:pPr>
    </w:p>
    <w:p>
      <w:pPr>
        <w:ind w:left="420" w:hanging="412"/>
        <w:spacing w:after="0"/>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Protection and Proper Use of Company Assets</w:t>
      </w:r>
      <w:r>
        <w:rPr>
          <w:rFonts w:ascii="Arial" w:cs="Arial" w:eastAsia="Arial" w:hAnsi="Arial"/>
          <w:sz w:val="18"/>
          <w:szCs w:val="18"/>
          <w:color w:val="auto"/>
        </w:rPr>
        <w:t>.</w:t>
      </w:r>
    </w:p>
    <w:p>
      <w:pPr>
        <w:spacing w:after="0" w:line="25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6.1 All directors, officers and employees should protect the Company's assets and ensure their efficient use. Theft, carelessness and waste have a direct impact on the Company's profitability and are prohibited.</w:t>
      </w:r>
    </w:p>
    <w:p>
      <w:pPr>
        <w:spacing w:after="0" w:line="19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6.2 All Company assets should be used only for legitimate business purposes. Any suspected incident of fraud or theft should be reported for investigation immediately.</w:t>
      </w:r>
    </w:p>
    <w:p>
      <w:pPr>
        <w:spacing w:after="0" w:line="19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6.3 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spacing w:after="0" w:line="214" w:lineRule="exact"/>
        <w:rPr>
          <w:sz w:val="20"/>
          <w:szCs w:val="20"/>
          <w:color w:val="auto"/>
        </w:rPr>
      </w:pPr>
    </w:p>
    <w:p>
      <w:pPr>
        <w:ind w:right="40" w:firstLine="8"/>
        <w:spacing w:after="0" w:line="257" w:lineRule="auto"/>
        <w:tabs>
          <w:tab w:leader="none" w:pos="4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 All directors, officers and employees owe a duty to the Company to advance its interests when the opportunity arises. Directors, officers and employees are prohibited from taking for themselves personally (or for the benefit of friends or family members) opportunities that are discovered through the use of Company assets, property, information or position. Directors, officers and employees may not use Company assets, property, information or position for personal gain (including gain of friends or family members). In addition, no director, officer or employee may compete with the Company.</w:t>
      </w:r>
    </w:p>
    <w:p>
      <w:pPr>
        <w:spacing w:after="0" w:line="215" w:lineRule="exact"/>
        <w:rPr>
          <w:rFonts w:ascii="Arial" w:cs="Arial" w:eastAsia="Arial" w:hAnsi="Arial"/>
          <w:sz w:val="18"/>
          <w:szCs w:val="18"/>
          <w:color w:val="auto"/>
        </w:rPr>
      </w:pPr>
    </w:p>
    <w:p>
      <w:pPr>
        <w:ind w:right="80" w:firstLine="8"/>
        <w:spacing w:after="0" w:line="259" w:lineRule="auto"/>
        <w:tabs>
          <w:tab w:leader="none" w:pos="4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Directors, officers and employees should maintain the confidentiality of information entrusted to them by the Company or by its customers, suppliers or partners, except when disclosure is expressly authorized or is required or permitted by law. Confidential information includes all non-public information (regardless of its source) that might be of use to the Company's competitors or harmful to the Company or its customers, suppliers or partners if disclosed.</w:t>
      </w:r>
    </w:p>
    <w:p>
      <w:pPr>
        <w:spacing w:after="0" w:line="213" w:lineRule="exact"/>
        <w:rPr>
          <w:rFonts w:ascii="Arial" w:cs="Arial" w:eastAsia="Arial" w:hAnsi="Arial"/>
          <w:sz w:val="18"/>
          <w:szCs w:val="18"/>
          <w:color w:val="auto"/>
        </w:rPr>
      </w:pPr>
    </w:p>
    <w:p>
      <w:pPr>
        <w:ind w:right="300" w:firstLine="8"/>
        <w:spacing w:after="0" w:line="312" w:lineRule="auto"/>
        <w:tabs>
          <w:tab w:leader="none" w:pos="405"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Fair Dealing</w:t>
      </w:r>
      <w:r>
        <w:rPr>
          <w:rFonts w:ascii="Arial" w:cs="Arial" w:eastAsia="Arial" w:hAnsi="Arial"/>
          <w:sz w:val="16"/>
          <w:szCs w:val="16"/>
          <w:color w:val="auto"/>
        </w:rPr>
        <w:t>. Each director, officer and employee must deal fairly with the Company's customers, suppliers, partners, service providers, competitors, employees and anyone else with whom he or she has contact in the course of performing his or her job. No director, officer or employee may take unfair advantage of anyone through manipulation, concealment, abuse or privileged information, misrepresentation of facts or any other unfair dealing practice.</w:t>
      </w:r>
    </w:p>
    <w:p>
      <w:pPr>
        <w:spacing w:after="0" w:line="173" w:lineRule="exact"/>
        <w:rPr>
          <w:rFonts w:ascii="Arial" w:cs="Arial" w:eastAsia="Arial" w:hAnsi="Arial"/>
          <w:sz w:val="16"/>
          <w:szCs w:val="16"/>
          <w:color w:val="auto"/>
        </w:rPr>
      </w:pPr>
    </w:p>
    <w:p>
      <w:pPr>
        <w:ind w:left="500" w:hanging="492"/>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Reporting and Enforcement</w:t>
      </w:r>
      <w:r>
        <w:rPr>
          <w:rFonts w:ascii="Arial" w:cs="Arial" w:eastAsia="Arial" w:hAnsi="Arial"/>
          <w:sz w:val="18"/>
          <w:szCs w:val="18"/>
          <w:color w:val="auto"/>
        </w:rPr>
        <w:t>.</w:t>
      </w:r>
    </w:p>
    <w:p>
      <w:pPr>
        <w:spacing w:after="0" w:line="252"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Reporting and Investigation of Violations.</w:t>
      </w:r>
    </w:p>
    <w:p>
      <w:pPr>
        <w:spacing w:after="0" w:line="252" w:lineRule="exact"/>
        <w:rPr>
          <w:sz w:val="20"/>
          <w:szCs w:val="20"/>
          <w:color w:val="auto"/>
        </w:rPr>
      </w:pPr>
    </w:p>
    <w:p>
      <w:pPr>
        <w:ind w:left="1320" w:hanging="502"/>
        <w:spacing w:after="0"/>
        <w:tabs>
          <w:tab w:leader="none" w:pos="1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Actions prohibited by this code involving directors or executive officers must be reported to the Audit Committee.</w:t>
      </w:r>
    </w:p>
    <w:p>
      <w:pPr>
        <w:spacing w:after="0" w:line="252" w:lineRule="exact"/>
        <w:rPr>
          <w:rFonts w:ascii="Arial" w:cs="Arial" w:eastAsia="Arial" w:hAnsi="Arial"/>
          <w:sz w:val="18"/>
          <w:szCs w:val="18"/>
          <w:color w:val="auto"/>
        </w:rPr>
      </w:pPr>
    </w:p>
    <w:p>
      <w:pPr>
        <w:ind w:right="240" w:firstLine="818"/>
        <w:spacing w:after="0" w:line="277" w:lineRule="auto"/>
        <w:tabs>
          <w:tab w:leader="none" w:pos="13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Actions prohibited by this code involving anyone other than a director or executive officer must be reported to person’s supervisor or the Chief Executive Officer.</w:t>
      </w:r>
    </w:p>
    <w:p>
      <w:pPr>
        <w:spacing w:after="0" w:line="197" w:lineRule="exact"/>
        <w:rPr>
          <w:rFonts w:ascii="Arial" w:cs="Arial" w:eastAsia="Arial" w:hAnsi="Arial"/>
          <w:sz w:val="18"/>
          <w:szCs w:val="18"/>
          <w:color w:val="auto"/>
        </w:rPr>
      </w:pPr>
    </w:p>
    <w:p>
      <w:pPr>
        <w:ind w:right="160" w:firstLine="818"/>
        <w:spacing w:after="0" w:line="277" w:lineRule="auto"/>
        <w:tabs>
          <w:tab w:leader="none" w:pos="13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After receiving a report of an alleged prohibited action, Chief Executive Officer (or the Audit Committee if the Chief Executive Officer is involved in the conflict) must promptly take all appropriate actions necessary to 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098" w:gutter="0" w:footer="0" w:header="0"/>
        </w:sectPr>
      </w:pPr>
    </w:p>
    <w:bookmarkStart w:id="88" w:name="page89"/>
    <w:bookmarkEnd w:id="88"/>
    <w:p>
      <w:pPr>
        <w:ind w:left="1340" w:hanging="522"/>
        <w:spacing w:after="0"/>
        <w:tabs>
          <w:tab w:leader="none" w:pos="1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directors, officers and employees are expected to cooperate in any internal investigation of misconduct.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6"/>
          <w:szCs w:val="16"/>
          <w:color w:val="auto"/>
        </w:rPr>
        <w:t>Enforcement.</w:t>
      </w:r>
    </w:p>
    <w:p>
      <w:pPr>
        <w:spacing w:after="0" w:line="252" w:lineRule="exact"/>
        <w:rPr>
          <w:sz w:val="20"/>
          <w:szCs w:val="20"/>
          <w:color w:val="auto"/>
        </w:rPr>
      </w:pPr>
    </w:p>
    <w:p>
      <w:pPr>
        <w:ind w:left="1320" w:hanging="502"/>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must ensure prompt and consistent action against violations of this Code.</w:t>
      </w:r>
    </w:p>
    <w:p>
      <w:pPr>
        <w:spacing w:after="0" w:line="252" w:lineRule="exact"/>
        <w:rPr>
          <w:rFonts w:ascii="Arial" w:cs="Arial" w:eastAsia="Arial" w:hAnsi="Arial"/>
          <w:sz w:val="18"/>
          <w:szCs w:val="18"/>
          <w:color w:val="auto"/>
        </w:rPr>
      </w:pPr>
    </w:p>
    <w:p>
      <w:pPr>
        <w:ind w:right="420" w:firstLine="818"/>
        <w:spacing w:after="0" w:line="277" w:lineRule="auto"/>
        <w:tabs>
          <w:tab w:leader="none" w:pos="1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after investigating a report of an alleged prohibited action by a director or executive officer, the Audit Committee determines that a violation of this Code has occurred, the Audit Committee will report such determination to the Board of Directors.</w:t>
      </w:r>
    </w:p>
    <w:p>
      <w:pPr>
        <w:spacing w:after="0" w:line="197" w:lineRule="exact"/>
        <w:rPr>
          <w:rFonts w:ascii="Arial" w:cs="Arial" w:eastAsia="Arial" w:hAnsi="Arial"/>
          <w:sz w:val="18"/>
          <w:szCs w:val="18"/>
          <w:color w:val="auto"/>
        </w:rPr>
      </w:pPr>
    </w:p>
    <w:p>
      <w:pPr>
        <w:ind w:right="140" w:firstLine="818"/>
        <w:spacing w:after="0" w:line="342" w:lineRule="auto"/>
        <w:tabs>
          <w:tab w:leader="none" w:pos="13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after investigating a report of an alleged prohibited action by any other person, the relevant supervisor or the Chief Executive Officer determines that a violation of this Code has occurred, the supervisor or the Chief Executive Officer will report such determination to the Board of Directors.</w:t>
      </w:r>
    </w:p>
    <w:p>
      <w:pPr>
        <w:spacing w:after="0" w:line="150" w:lineRule="exact"/>
        <w:rPr>
          <w:rFonts w:ascii="Arial" w:cs="Arial" w:eastAsia="Arial" w:hAnsi="Arial"/>
          <w:sz w:val="16"/>
          <w:szCs w:val="16"/>
          <w:color w:val="auto"/>
        </w:rPr>
      </w:pPr>
    </w:p>
    <w:p>
      <w:pPr>
        <w:ind w:right="380" w:firstLine="818"/>
        <w:spacing w:after="0" w:line="264" w:lineRule="auto"/>
        <w:tabs>
          <w:tab w:leader="none" w:pos="1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receipt of a determination that there has been a violation of this Code, the Board of Directors will take such preventative or disciplinary action as it deems appropriate, including, but not limited to, reassignment, demotion, dismissal and, in the event of criminal conduct or other serious violations of the law, notification of appropriate governmental authorities.</w:t>
      </w:r>
    </w:p>
    <w:p>
      <w:pPr>
        <w:spacing w:after="0" w:line="208"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Waivers.</w:t>
      </w:r>
    </w:p>
    <w:p>
      <w:pPr>
        <w:spacing w:after="0" w:line="252" w:lineRule="exact"/>
        <w:rPr>
          <w:sz w:val="20"/>
          <w:szCs w:val="20"/>
          <w:color w:val="auto"/>
        </w:rPr>
      </w:pPr>
    </w:p>
    <w:p>
      <w:pPr>
        <w:ind w:right="60" w:firstLine="818"/>
        <w:spacing w:after="0" w:line="277" w:lineRule="auto"/>
        <w:tabs>
          <w:tab w:leader="none" w:pos="13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of the Chief Executive Officer or Audit Committee (in the case of a violation by a director or executive officer) may, in its discretion, waive any violation of this Code.</w:t>
      </w:r>
    </w:p>
    <w:p>
      <w:pPr>
        <w:spacing w:after="0" w:line="197" w:lineRule="exact"/>
        <w:rPr>
          <w:rFonts w:ascii="Arial" w:cs="Arial" w:eastAsia="Arial" w:hAnsi="Arial"/>
          <w:sz w:val="18"/>
          <w:szCs w:val="18"/>
          <w:color w:val="auto"/>
        </w:rPr>
      </w:pPr>
    </w:p>
    <w:p>
      <w:pPr>
        <w:ind w:right="360" w:firstLine="818"/>
        <w:spacing w:after="0" w:line="277" w:lineRule="auto"/>
        <w:tabs>
          <w:tab w:leader="none" w:pos="13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waiver for a director or an executive officer shall be disclosed as required by the applicable rules of the SEC and any exchange on which the Company’s stock is listed.</w:t>
      </w:r>
    </w:p>
    <w:p>
      <w:pPr>
        <w:spacing w:after="0" w:line="197"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Prohibition on Retaliation.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does not tolerate acts of retaliation against any director, officer or employee who makes a good faith report of known or suspected acts of misconduct or other violations of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9" w:name="page90"/>
    <w:bookmarkEnd w:id="89"/>
    <w:p>
      <w:pPr>
        <w:ind w:left="660" w:right="3420" w:firstLine="2923"/>
        <w:spacing w:after="0" w:line="534" w:lineRule="auto"/>
        <w:rPr>
          <w:sz w:val="20"/>
          <w:szCs w:val="20"/>
          <w:color w:val="auto"/>
        </w:rPr>
      </w:pPr>
      <w:r>
        <w:rPr>
          <w:rFonts w:ascii="Arial" w:cs="Arial" w:eastAsia="Arial" w:hAnsi="Arial"/>
          <w:sz w:val="18"/>
          <w:szCs w:val="18"/>
          <w:b w:val="1"/>
          <w:bCs w:val="1"/>
          <w:color w:val="auto"/>
        </w:rPr>
        <w:t xml:space="preserve">ACKNOWLEDGMENT OF RECEIPT AND REVIEW </w:t>
      </w:r>
      <w:r>
        <w:rPr>
          <w:rFonts w:ascii="Arial" w:cs="Arial" w:eastAsia="Arial" w:hAnsi="Arial"/>
          <w:sz w:val="18"/>
          <w:szCs w:val="18"/>
          <w:color w:val="auto"/>
        </w:rPr>
        <w:t>[To be signed and returned to the Chief Executive Officer.]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 acknowledge that I have received and read a copy of the TapImmune Inc. Code of Ethics and Business Conduct.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understand the contents of the Code and I agree to comply with the policies and procedures set out in the Code.</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understand that I should approach the Chief Executive Officer if I have any questions about the Code generally or any questions about reporting a suspected conflict of interest or other violation of the Code.</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[PRINTED NAME]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3476625</wp:posOffset>
            </wp:positionV>
            <wp:extent cx="7250430" cy="45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260"/>
          </w:cols>
          <w:pgMar w:left="240" w:top="756" w:right="3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2015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40" w:type="dxa"/>
            <w:vAlign w:val="bottom"/>
            <w:gridSpan w:val="2"/>
          </w:tcPr>
          <w:p>
            <w:pPr>
              <w:ind w:left="320"/>
              <w:spacing w:after="0"/>
              <w:rPr>
                <w:sz w:val="20"/>
                <w:szCs w:val="20"/>
                <w:color w:val="auto"/>
              </w:rPr>
            </w:pPr>
            <w:r>
              <w:rPr>
                <w:rFonts w:ascii="Arial" w:cs="Arial" w:eastAsia="Arial" w:hAnsi="Arial"/>
                <w:sz w:val="18"/>
                <w:szCs w:val="18"/>
                <w:color w:val="auto"/>
              </w:rPr>
              <w:t>November 16, 2015</w:t>
            </w:r>
          </w:p>
        </w:tc>
      </w:tr>
      <w:tr>
        <w:trPr>
          <w:trHeight w:val="419"/>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/s/ Glynn Wilson</w:t>
            </w:r>
          </w:p>
        </w:tc>
        <w:tc>
          <w:tcPr>
            <w:tcW w:w="1022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ind w:left="180"/>
              <w:spacing w:after="0"/>
              <w:rPr>
                <w:sz w:val="20"/>
                <w:szCs w:val="20"/>
                <w:color w:val="auto"/>
              </w:rPr>
            </w:pPr>
            <w:r>
              <w:rPr>
                <w:rFonts w:ascii="Arial" w:cs="Arial" w:eastAsia="Arial" w:hAnsi="Arial"/>
                <w:sz w:val="18"/>
                <w:szCs w:val="18"/>
                <w:b w:val="1"/>
                <w:bCs w:val="1"/>
                <w:color w:val="auto"/>
              </w:rPr>
              <w:t>Glynn Wilson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Chairman, Chief Executive Officer, Principal Executive Officer and Acting Principal Accounting Officer</w:t>
            </w:r>
          </w:p>
        </w:tc>
      </w:tr>
      <w:tr>
        <w:trPr>
          <w:trHeight w:val="605"/>
        </w:trPr>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71"/>
        </w:trPr>
        <w:tc>
          <w:tcPr>
            <w:tcW w:w="5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0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688"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the Report on Form 10-Q of TapImmune Inc., for the quarterly period ended September 30,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2550795</wp:posOffset>
            </wp:positionV>
            <wp:extent cx="7250430" cy="45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lowerRoman"/>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1."/>
      <w:numFmt w:val="decimal"/>
      <w:start w:val="3"/>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2"/>
    </w:lvl>
  </w:abstractNum>
  <w:abstractNum w:abstractNumId="10">
    <w:nsid w:val="5DB70AE5"/>
    <w:multiLevelType w:val="hybridMultilevel"/>
    <w:lvl w:ilvl="0">
      <w:lvlJc w:val="left"/>
      <w:lvlText w:val="(%1)"/>
      <w:numFmt w:val="decimal"/>
      <w:start w:val="2"/>
    </w:lvl>
  </w:abstractNum>
  <w:abstractNum w:abstractNumId="11">
    <w:nsid w:val="100F8FCA"/>
    <w:multiLevelType w:val="hybridMultilevel"/>
    <w:lvl w:ilvl="0">
      <w:lvlJc w:val="left"/>
      <w:lvlText w:val="%1"/>
      <w:numFmt w:val="decimal"/>
      <w:start w:val="1"/>
    </w:lvl>
    <w:lvl w:ilvl="1">
      <w:lvlJc w:val="left"/>
      <w:lvlText w:val="(%2)"/>
      <w:numFmt w:val="lowerLetter"/>
      <w:start w:val="41"/>
    </w:lvl>
  </w:abstractNum>
  <w:abstractNum w:abstractNumId="12">
    <w:nsid w:val="6590700B"/>
    <w:multiLevelType w:val="hybridMultilevel"/>
    <w:lvl w:ilvl="0">
      <w:lvlJc w:val="left"/>
      <w:lvlText w:val="%1."/>
      <w:numFmt w:val="decimal"/>
      <w:start w:val="3"/>
    </w:lvl>
    <w:lvl w:ilvl="1">
      <w:lvlJc w:val="left"/>
      <w:lvlText w:val="%2"/>
      <w:numFmt w:val="lowerLetter"/>
      <w:start w:val="1"/>
    </w:lvl>
  </w:abstractNum>
  <w:abstractNum w:abstractNumId="13">
    <w:nsid w:val="15014ACB"/>
    <w:multiLevelType w:val="hybridMultilevel"/>
    <w:lvl w:ilvl="0">
      <w:lvlJc w:val="left"/>
      <w:lvlText w:val="%1."/>
      <w:numFmt w:val="decimal"/>
      <w:start w:val="5"/>
    </w:lvl>
  </w:abstractNum>
  <w:abstractNum w:abstractNumId="14">
    <w:nsid w:val="5F5E7FD0"/>
    <w:multiLevelType w:val="hybridMultilevel"/>
    <w:lvl w:ilvl="0">
      <w:lvlJc w:val="left"/>
      <w:lvlText w:val="%1."/>
      <w:numFmt w:val="decimal"/>
      <w:start w:val="6"/>
    </w:lvl>
  </w:abstractNum>
  <w:abstractNum w:abstractNumId="15">
    <w:nsid w:val="98A3148"/>
    <w:multiLevelType w:val="hybridMultilevel"/>
    <w:lvl w:ilvl="0">
      <w:lvlJc w:val="left"/>
      <w:lvlText w:val="%1."/>
      <w:numFmt w:val="decimal"/>
      <w:start w:val="7"/>
    </w:lvl>
  </w:abstractNum>
  <w:abstractNum w:abstractNumId="16">
    <w:nsid w:val="799D0247"/>
    <w:multiLevelType w:val="hybridMultilevel"/>
    <w:lvl w:ilvl="0">
      <w:lvlJc w:val="left"/>
      <w:lvlText w:val="%1."/>
      <w:numFmt w:val="decimal"/>
      <w:start w:val="8"/>
    </w:lvl>
  </w:abstractNum>
  <w:abstractNum w:abstractNumId="17">
    <w:nsid w:val="6B94764"/>
    <w:multiLevelType w:val="hybridMultilevel"/>
    <w:lvl w:ilvl="0">
      <w:lvlJc w:val="left"/>
      <w:lvlText w:val="%1."/>
      <w:numFmt w:val="decimal"/>
      <w:start w:val="9"/>
    </w:lvl>
  </w:abstractNum>
  <w:abstractNum w:abstractNumId="18">
    <w:nsid w:val="42C296BD"/>
    <w:multiLevelType w:val="hybridMultilevel"/>
    <w:lvl w:ilvl="0">
      <w:lvlJc w:val="left"/>
      <w:lvlText w:val="%1."/>
      <w:numFmt w:val="decimal"/>
      <w:start w:val="10"/>
    </w:lvl>
  </w:abstractNum>
  <w:abstractNum w:abstractNumId="19">
    <w:nsid w:val="168E121F"/>
    <w:multiLevelType w:val="hybridMultilevel"/>
    <w:lvl w:ilvl="0">
      <w:lvlJc w:val="left"/>
      <w:lvlText w:val="%1."/>
      <w:numFmt w:val="decimal"/>
      <w:start w:val="11"/>
    </w:lvl>
  </w:abstractNum>
  <w:abstractNum w:abstractNumId="20">
    <w:nsid w:val="1EBA5D23"/>
    <w:multiLevelType w:val="hybridMultilevel"/>
    <w:lvl w:ilvl="0">
      <w:lvlJc w:val="left"/>
      <w:lvlText w:val="%1."/>
      <w:numFmt w:val="decimal"/>
      <w:start w:val="12"/>
    </w:lvl>
  </w:abstractNum>
  <w:abstractNum w:abstractNumId="21">
    <w:nsid w:val="661E3F1E"/>
    <w:multiLevelType w:val="hybridMultilevel"/>
    <w:lvl w:ilvl="0">
      <w:lvlJc w:val="left"/>
      <w:lvlText w:val="%1."/>
      <w:numFmt w:val="decimal"/>
      <w:start w:val="13"/>
    </w:lvl>
  </w:abstractNum>
  <w:abstractNum w:abstractNumId="22">
    <w:nsid w:val="5DC79EA8"/>
    <w:multiLevelType w:val="hybridMultilevel"/>
    <w:lvl w:ilvl="0">
      <w:lvlJc w:val="left"/>
      <w:lvlText w:val="%1."/>
      <w:numFmt w:val="decimal"/>
      <w:start w:val="14"/>
    </w:lvl>
  </w:abstractNum>
  <w:abstractNum w:abstractNumId="23">
    <w:nsid w:val="540A471C"/>
    <w:multiLevelType w:val="hybridMultilevel"/>
    <w:lvl w:ilvl="0">
      <w:lvlJc w:val="left"/>
      <w:lvlText w:val="%1."/>
      <w:numFmt w:val="decimal"/>
      <w:start w:val="15"/>
    </w:lvl>
  </w:abstractNum>
  <w:abstractNum w:abstractNumId="24">
    <w:nsid w:val="7BD3EE7B"/>
    <w:multiLevelType w:val="hybridMultilevel"/>
    <w:lvl w:ilvl="0">
      <w:lvlJc w:val="left"/>
      <w:lvlText w:val="%1."/>
      <w:numFmt w:val="decimal"/>
      <w:start w:val="16"/>
    </w:lvl>
  </w:abstractNum>
  <w:abstractNum w:abstractNumId="25">
    <w:nsid w:val="51D9C564"/>
    <w:multiLevelType w:val="hybridMultilevel"/>
    <w:lvl w:ilvl="0">
      <w:lvlJc w:val="left"/>
      <w:lvlText w:val="%1."/>
      <w:numFmt w:val="decimal"/>
      <w:start w:val="17"/>
    </w:lvl>
  </w:abstractNum>
  <w:abstractNum w:abstractNumId="26">
    <w:nsid w:val="613EFDC5"/>
    <w:multiLevelType w:val="hybridMultilevel"/>
    <w:lvl w:ilvl="0">
      <w:lvlJc w:val="left"/>
      <w:lvlText w:val="%1."/>
      <w:numFmt w:val="decimal"/>
      <w:start w:val="18"/>
    </w:lvl>
  </w:abstractNum>
  <w:abstractNum w:abstractNumId="27">
    <w:nsid w:val="BF72B14"/>
    <w:multiLevelType w:val="hybridMultilevel"/>
    <w:lvl w:ilvl="0">
      <w:lvlJc w:val="left"/>
      <w:lvlText w:val="%1."/>
      <w:numFmt w:val="decimal"/>
      <w:start w:val="19"/>
    </w:lvl>
  </w:abstractNum>
  <w:abstractNum w:abstractNumId="28">
    <w:nsid w:val="11447B73"/>
    <w:multiLevelType w:val="hybridMultilevel"/>
    <w:lvl w:ilvl="0">
      <w:lvlJc w:val="left"/>
      <w:lvlText w:val="(%1)"/>
      <w:numFmt w:val="lowerLetter"/>
      <w:start w:val="2"/>
    </w:lvl>
  </w:abstractNum>
  <w:abstractNum w:abstractNumId="29">
    <w:nsid w:val="42963E5A"/>
    <w:multiLevelType w:val="hybridMultilevel"/>
    <w:lvl w:ilvl="0">
      <w:lvlJc w:val="left"/>
      <w:lvlText w:val="%1."/>
      <w:numFmt w:val="decimal"/>
      <w:start w:val="20"/>
    </w:lvl>
  </w:abstractNum>
  <w:abstractNum w:abstractNumId="30">
    <w:nsid w:val="A0382C5"/>
    <w:multiLevelType w:val="hybridMultilevel"/>
    <w:lvl w:ilvl="0">
      <w:lvlJc w:val="left"/>
      <w:lvlText w:val="%1."/>
      <w:numFmt w:val="decimal"/>
      <w:start w:val="21"/>
    </w:lvl>
  </w:abstractNum>
  <w:abstractNum w:abstractNumId="31">
    <w:nsid w:val="8F2B15E"/>
    <w:multiLevelType w:val="hybridMultilevel"/>
    <w:lvl w:ilvl="0">
      <w:lvlJc w:val="left"/>
      <w:lvlText w:val="%1."/>
      <w:numFmt w:val="decimal"/>
      <w:start w:val="23"/>
    </w:lvl>
  </w:abstractNum>
  <w:abstractNum w:abstractNumId="32">
    <w:nsid w:val="1A32234B"/>
    <w:multiLevelType w:val="hybridMultilevel"/>
    <w:lvl w:ilvl="0">
      <w:lvlJc w:val="left"/>
      <w:lvlText w:val="%1."/>
      <w:numFmt w:val="decimal"/>
      <w:start w:val="24"/>
    </w:lvl>
  </w:abstractNum>
  <w:abstractNum w:abstractNumId="33">
    <w:nsid w:val="3B0FD379"/>
    <w:multiLevelType w:val="hybridMultilevel"/>
    <w:lvl w:ilvl="0">
      <w:lvlJc w:val="left"/>
      <w:lvlText w:val="%1."/>
      <w:numFmt w:val="decimal"/>
      <w:start w:val="25"/>
    </w:lvl>
  </w:abstractNum>
  <w:abstractNum w:abstractNumId="34">
    <w:nsid w:val="68EB2F63"/>
    <w:multiLevelType w:val="hybridMultilevel"/>
    <w:lvl w:ilvl="0">
      <w:lvlJc w:val="left"/>
      <w:lvlText w:val="%1."/>
      <w:numFmt w:val="decimal"/>
      <w:start w:val="26"/>
    </w:lvl>
  </w:abstractNum>
  <w:abstractNum w:abstractNumId="35">
    <w:nsid w:val="4962813B"/>
    <w:multiLevelType w:val="hybridMultilevel"/>
    <w:lvl w:ilvl="0">
      <w:lvlJc w:val="left"/>
      <w:lvlText w:val="%1."/>
      <w:numFmt w:val="decimal"/>
      <w:start w:val="27"/>
    </w:lvl>
  </w:abstractNum>
  <w:abstractNum w:abstractNumId="36">
    <w:nsid w:val="60B6DF70"/>
    <w:multiLevelType w:val="hybridMultilevel"/>
    <w:lvl w:ilvl="0">
      <w:lvlJc w:val="left"/>
      <w:lvlText w:val="%1."/>
      <w:numFmt w:val="decimal"/>
      <w:start w:val="28"/>
    </w:lvl>
  </w:abstractNum>
  <w:abstractNum w:abstractNumId="37">
    <w:nsid w:val="6A5EE64"/>
    <w:multiLevelType w:val="hybridMultilevel"/>
    <w:lvl w:ilvl="0">
      <w:lvlJc w:val="left"/>
      <w:lvlText w:val="%1."/>
      <w:numFmt w:val="decimal"/>
      <w:start w:val="29"/>
    </w:lvl>
  </w:abstractNum>
  <w:abstractNum w:abstractNumId="38">
    <w:nsid w:val="14330624"/>
    <w:multiLevelType w:val="hybridMultilevel"/>
    <w:lvl w:ilvl="0">
      <w:lvlJc w:val="left"/>
      <w:lvlText w:val="%1."/>
      <w:numFmt w:val="decimal"/>
      <w:start w:val="1"/>
    </w:lvl>
    <w:lvl w:ilvl="1">
      <w:lvlJc w:val="left"/>
      <w:lvlText w:val="(%2)"/>
      <w:numFmt w:val="lowerLetter"/>
      <w:start w:val="42"/>
    </w:lvl>
  </w:abstractNum>
  <w:abstractNum w:abstractNumId="39">
    <w:nsid w:val="7FFFCA11"/>
    <w:multiLevelType w:val="hybridMultilevel"/>
    <w:lvl w:ilvl="0">
      <w:lvlJc w:val="left"/>
      <w:lvlText w:val="%1"/>
      <w:numFmt w:val="decimal"/>
      <w:start w:val="1"/>
    </w:lvl>
    <w:lvl w:ilvl="1">
      <w:lvlJc w:val="left"/>
      <w:lvlText w:val="(%2)"/>
      <w:numFmt w:val="lowerLetter"/>
      <w:start w:val="41"/>
    </w:lvl>
  </w:abstractNum>
  <w:abstractNum w:abstractNumId="40">
    <w:nsid w:val="1A27709E"/>
    <w:multiLevelType w:val="hybridMultilevel"/>
    <w:lvl w:ilvl="0">
      <w:lvlJc w:val="left"/>
      <w:lvlText w:val="%1."/>
      <w:numFmt w:val="decimal"/>
      <w:start w:val="3"/>
    </w:lvl>
    <w:lvl w:ilvl="1">
      <w:lvlJc w:val="left"/>
      <w:lvlText w:val="%2"/>
      <w:numFmt w:val="lowerLetter"/>
      <w:start w:val="1"/>
    </w:lvl>
  </w:abstractNum>
  <w:abstractNum w:abstractNumId="41">
    <w:nsid w:val="71EA1109"/>
    <w:multiLevelType w:val="hybridMultilevel"/>
    <w:lvl w:ilvl="0">
      <w:lvlJc w:val="left"/>
      <w:lvlText w:val="%1."/>
      <w:numFmt w:val="decimal"/>
      <w:start w:val="4"/>
    </w:lvl>
  </w:abstractNum>
  <w:abstractNum w:abstractNumId="42">
    <w:nsid w:val="100F59DC"/>
    <w:multiLevelType w:val="hybridMultilevel"/>
    <w:lvl w:ilvl="0">
      <w:lvlJc w:val="left"/>
      <w:lvlText w:val="%1."/>
      <w:numFmt w:val="decimal"/>
      <w:start w:val="5"/>
    </w:lvl>
  </w:abstractNum>
  <w:abstractNum w:abstractNumId="43">
    <w:nsid w:val="7FB7E0AA"/>
    <w:multiLevelType w:val="hybridMultilevel"/>
    <w:lvl w:ilvl="0">
      <w:lvlJc w:val="left"/>
      <w:lvlText w:val="%1."/>
      <w:numFmt w:val="decimal"/>
      <w:start w:val="1"/>
    </w:lvl>
  </w:abstractNum>
  <w:abstractNum w:abstractNumId="44">
    <w:nsid w:val="6EB5BD4"/>
    <w:multiLevelType w:val="hybridMultilevel"/>
    <w:lvl w:ilvl="0">
      <w:lvlJc w:val="left"/>
      <w:lvlText w:val="%1."/>
      <w:numFmt w:val="decimal"/>
      <w:start w:val="3"/>
    </w:lvl>
  </w:abstractNum>
  <w:abstractNum w:abstractNumId="45">
    <w:nsid w:val="6F6DD9AC"/>
    <w:multiLevelType w:val="hybridMultilevel"/>
    <w:lvl w:ilvl="0">
      <w:lvlJc w:val="left"/>
      <w:lvlText w:val="%1."/>
      <w:numFmt w:val="decimal"/>
      <w:start w:val="4"/>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decimal"/>
      <w:start w:val="2"/>
    </w:lvl>
  </w:abstractNum>
  <w:abstractNum w:abstractNumId="48">
    <w:nsid w:val="76272110"/>
    <w:multiLevelType w:val="hybridMultilevel"/>
    <w:lvl w:ilvl="0">
      <w:lvlJc w:val="left"/>
      <w:lvlText w:val="(%1)"/>
      <w:numFmt w:val="lowerLetter"/>
      <w:start w:val="1"/>
    </w:lvl>
  </w:abstractNum>
  <w:abstractNum w:abstractNumId="49">
    <w:nsid w:val="4C04A8AF"/>
    <w:multiLevelType w:val="hybridMultilevel"/>
    <w:lvl w:ilvl="0">
      <w:lvlJc w:val="left"/>
      <w:lvlText w:val="%1."/>
      <w:numFmt w:val="decimal"/>
      <w:start w:val="6"/>
    </w:lvl>
    <w:lvl w:ilvl="1">
      <w:lvlJc w:val="left"/>
      <w:lvlText w:val="(%2)"/>
      <w:numFmt w:val="lowerLetter"/>
      <w:start w:val="1"/>
    </w:lvl>
  </w:abstractNum>
  <w:abstractNum w:abstractNumId="50">
    <w:nsid w:val="1716703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1">
    <w:nsid w:val="14E17E3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2">
    <w:nsid w:val="3222E7CD"/>
    <w:multiLevelType w:val="hybridMultilevel"/>
    <w:lvl w:ilvl="0">
      <w:lvlJc w:val="left"/>
      <w:lvlText w:val="%1."/>
      <w:numFmt w:val="decimal"/>
      <w:start w:val="11"/>
    </w:lvl>
    <w:lvl w:ilvl="1">
      <w:lvlJc w:val="left"/>
      <w:lvlText w:val="(%2)"/>
      <w:numFmt w:val="lowerLetter"/>
      <w:start w:val="1"/>
    </w:lvl>
  </w:abstractNum>
  <w:abstractNum w:abstractNumId="53">
    <w:nsid w:val="74DE0EE3"/>
    <w:multiLevelType w:val="hybridMultilevel"/>
    <w:lvl w:ilvl="0">
      <w:lvlJc w:val="left"/>
      <w:lvlText w:val="%1."/>
      <w:numFmt w:val="decimal"/>
      <w:start w:val="14"/>
    </w:lvl>
    <w:lvl w:ilvl="1">
      <w:lvlJc w:val="left"/>
      <w:lvlText w:val="(%2)"/>
      <w:numFmt w:val="lowerLetter"/>
      <w:start w:val="1"/>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2"/>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1."/>
      <w:numFmt w:val="decimal"/>
      <w:start w:val="6"/>
    </w:lvl>
    <w:lvl w:ilvl="1">
      <w:lvlJc w:val="left"/>
      <w:lvlText w:val="(%2)"/>
      <w:numFmt w:val="lowerLetter"/>
      <w:start w:val="1"/>
    </w:lvl>
  </w:abstractNum>
  <w:abstractNum w:abstractNumId="58">
    <w:nsid w:val="39EE015C"/>
    <w:multiLevelType w:val="hybridMultilevel"/>
    <w:lvl w:ilvl="0">
      <w:lvlJc w:val="left"/>
      <w:lvlText w:val="%1."/>
      <w:numFmt w:val="decimal"/>
      <w:start w:val="8"/>
    </w:lvl>
    <w:lvl w:ilvl="1">
      <w:lvlJc w:val="left"/>
      <w:lvlText w:val="(%2)"/>
      <w:numFmt w:val="lowerLetter"/>
      <w:start w:val="1"/>
    </w:lvl>
  </w:abstractNum>
  <w:abstractNum w:abstractNumId="59">
    <w:nsid w:val="57FC4FBB"/>
    <w:multiLevelType w:val="hybridMultilevel"/>
    <w:lvl w:ilvl="0">
      <w:lvlJc w:val="left"/>
      <w:lvlText w:val="%1."/>
      <w:numFmt w:val="decimal"/>
      <w:start w:val="11"/>
    </w:lvl>
    <w:lvl w:ilvl="1">
      <w:lvlJc w:val="left"/>
      <w:lvlText w:val="(%2)"/>
      <w:numFmt w:val="lowerLetter"/>
      <w:start w:val="1"/>
    </w:lvl>
  </w:abstractNum>
  <w:abstractNum w:abstractNumId="60">
    <w:nsid w:val="CC1016F"/>
    <w:multiLevelType w:val="hybridMultilevel"/>
    <w:lvl w:ilvl="0">
      <w:lvlJc w:val="left"/>
      <w:lvlText w:val="%1."/>
      <w:numFmt w:val="decimal"/>
      <w:start w:val="14"/>
    </w:lvl>
    <w:lvl w:ilvl="1">
      <w:lvlJc w:val="left"/>
      <w:lvlText w:val="(%2)"/>
      <w:numFmt w:val="lowerLetter"/>
      <w:start w:val="1"/>
    </w:lvl>
  </w:abstractNum>
  <w:abstractNum w:abstractNumId="61">
    <w:nsid w:val="43F18422"/>
    <w:multiLevelType w:val="hybridMultilevel"/>
    <w:lvl w:ilvl="0">
      <w:lvlJc w:val="left"/>
      <w:lvlText w:val="%1."/>
      <w:numFmt w:val="decimal"/>
      <w:start w:val="1"/>
    </w:lvl>
  </w:abstractNum>
  <w:abstractNum w:abstractNumId="62">
    <w:nsid w:val="60EF0119"/>
    <w:multiLevelType w:val="hybridMultilevel"/>
    <w:lvl w:ilvl="0">
      <w:lvlJc w:val="left"/>
      <w:lvlText w:val="%1."/>
      <w:numFmt w:val="decimal"/>
      <w:start w:val="2"/>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decimal"/>
      <w:start w:val="6"/>
    </w:lvl>
    <w:lvl w:ilvl="1">
      <w:lvlJc w:val="left"/>
      <w:lvlText w:val="(%2)"/>
      <w:numFmt w:val="lowerLetter"/>
      <w:start w:val="1"/>
    </w:lvl>
  </w:abstractNum>
  <w:abstractNum w:abstractNumId="65">
    <w:nsid w:val="49DA307D"/>
    <w:multiLevelType w:val="hybridMultilevel"/>
    <w:lvl w:ilvl="0">
      <w:lvlJc w:val="left"/>
      <w:lvlText w:val="%1."/>
      <w:numFmt w:val="decimal"/>
      <w:start w:val="8"/>
    </w:lvl>
    <w:lvl w:ilvl="1">
      <w:lvlJc w:val="left"/>
      <w:lvlText w:val="(%2)"/>
      <w:numFmt w:val="lowerLetter"/>
      <w:start w:val="1"/>
    </w:lvl>
  </w:abstractNum>
  <w:abstractNum w:abstractNumId="66">
    <w:nsid w:val="7055A5F5"/>
    <w:multiLevelType w:val="hybridMultilevel"/>
    <w:lvl w:ilvl="0">
      <w:lvlJc w:val="left"/>
      <w:lvlText w:val="%1."/>
      <w:numFmt w:val="decimal"/>
      <w:start w:val="11"/>
    </w:lvl>
    <w:lvl w:ilvl="1">
      <w:lvlJc w:val="left"/>
      <w:lvlText w:val="(%2)"/>
      <w:numFmt w:val="lowerLetter"/>
      <w:start w:val="1"/>
    </w:lvl>
  </w:abstractNum>
  <w:abstractNum w:abstractNumId="67">
    <w:nsid w:val="5FB8370B"/>
    <w:multiLevelType w:val="hybridMultilevel"/>
    <w:lvl w:ilvl="0">
      <w:lvlJc w:val="left"/>
      <w:lvlText w:val="%1."/>
      <w:numFmt w:val="decimal"/>
      <w:start w:val="13"/>
    </w:lvl>
    <w:lvl w:ilvl="1">
      <w:lvlJc w:val="left"/>
      <w:lvlText w:val="(%2)"/>
      <w:numFmt w:val="lowerLetter"/>
      <w:start w:val="1"/>
    </w:lvl>
  </w:abstractNum>
  <w:abstractNum w:abstractNumId="68">
    <w:nsid w:val="50801EE1"/>
    <w:multiLevelType w:val="hybridMultilevel"/>
    <w:lvl w:ilvl="0">
      <w:lvlJc w:val="left"/>
      <w:lvlText w:val="%1."/>
      <w:numFmt w:val="decimal"/>
      <w:start w:val="1"/>
    </w:lvl>
  </w:abstractNum>
  <w:abstractNum w:abstractNumId="69">
    <w:nsid w:val="488AC1A"/>
    <w:multiLevelType w:val="hybridMultilevel"/>
    <w:lvl w:ilvl="0">
      <w:lvlJc w:val="left"/>
      <w:lvlText w:val="%1."/>
      <w:numFmt w:val="decimal"/>
      <w:start w:val="2"/>
    </w:lvl>
  </w:abstractNum>
  <w:abstractNum w:abstractNumId="70">
    <w:nsid w:val="5FB8011C"/>
    <w:multiLevelType w:val="hybridMultilevel"/>
    <w:lvl w:ilvl="0">
      <w:lvlJc w:val="left"/>
      <w:lvlText w:val="(%1)"/>
      <w:numFmt w:val="lowerLetter"/>
      <w:start w:val="1"/>
    </w:lvl>
    <w:lvl w:ilvl="1">
      <w:lvlJc w:val="left"/>
      <w:lvlText w:val="(%2)"/>
      <w:numFmt w:val="lowerLetter"/>
      <w:start w:val="2"/>
    </w:lvl>
  </w:abstractNum>
  <w:abstractNum w:abstractNumId="71">
    <w:nsid w:val="6AA78F7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2">
    <w:nsid w:val="7672BD23"/>
    <w:multiLevelType w:val="hybridMultilevel"/>
    <w:lvl w:ilvl="0">
      <w:lvlJc w:val="left"/>
      <w:lvlText w:val="%1."/>
      <w:numFmt w:val="decimal"/>
      <w:start w:val="7"/>
    </w:lvl>
  </w:abstractNum>
  <w:abstractNum w:abstractNumId="73">
    <w:nsid w:val="6FC75AF8"/>
    <w:multiLevelType w:val="hybridMultilevel"/>
    <w:lvl w:ilvl="0">
      <w:lvlJc w:val="left"/>
      <w:lvlText w:val="%1."/>
      <w:numFmt w:val="decimal"/>
      <w:start w:val="8"/>
    </w:lvl>
    <w:lvl w:ilvl="1">
      <w:lvlJc w:val="left"/>
      <w:lvlText w:val="(%2)"/>
      <w:numFmt w:val="lowerLetter"/>
      <w:start w:val="1"/>
    </w:lvl>
  </w:abstractNum>
  <w:abstractNum w:abstractNumId="74">
    <w:nsid w:val="6A5F7029"/>
    <w:multiLevelType w:val="hybridMultilevel"/>
    <w:lvl w:ilvl="0">
      <w:lvlJc w:val="left"/>
      <w:lvlText w:val="%1"/>
      <w:numFmt w:val="decimal"/>
      <w:start w:val="1"/>
    </w:lvl>
    <w:lvl w:ilvl="1">
      <w:lvlJc w:val="left"/>
      <w:lvlText w:val="(%2)"/>
      <w:numFmt w:val="lowerLetter"/>
      <w:start w:val="2"/>
    </w:lvl>
  </w:abstractNum>
  <w:abstractNum w:abstractNumId="75">
    <w:nsid w:val="7D5E18F8"/>
    <w:multiLevelType w:val="hybridMultilevel"/>
    <w:lvl w:ilvl="0">
      <w:lvlJc w:val="left"/>
      <w:lvlText w:val="%1."/>
      <w:numFmt w:val="decimal"/>
      <w:start w:val="9"/>
    </w:lvl>
    <w:lvl w:ilvl="1">
      <w:lvlJc w:val="left"/>
      <w:lvlText w:val="%2"/>
      <w:numFmt w:val="lowerLetter"/>
      <w:start w:val="1"/>
    </w:lvl>
  </w:abstractNum>
  <w:abstractNum w:abstractNumId="76">
    <w:nsid w:val="5F3534A4"/>
    <w:multiLevelType w:val="hybridMultilevel"/>
    <w:lvl w:ilvl="0">
      <w:lvlJc w:val="left"/>
      <w:lvlText w:val="%1."/>
      <w:numFmt w:val="decimal"/>
      <w:start w:val="10"/>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decimal"/>
      <w:start w:val="11"/>
    </w:lvl>
  </w:abstractNum>
  <w:abstractNum w:abstractNumId="79">
    <w:nsid w:val="555C55B5"/>
    <w:multiLevelType w:val="hybridMultilevel"/>
    <w:lvl w:ilvl="0">
      <w:lvlJc w:val="left"/>
      <w:lvlText w:val="%1."/>
      <w:numFmt w:val="decimal"/>
      <w:start w:val="12"/>
    </w:lvl>
    <w:lvl w:ilvl="1">
      <w:lvlJc w:val="left"/>
      <w:lvlText w:val="(%2)"/>
      <w:numFmt w:val="lowerLetter"/>
      <w:start w:val="1"/>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1"/>
      <w:numFmt w:val="lowerLetter"/>
      <w:start w:val="1"/>
    </w:lvl>
    <w:lvl w:ilvl="1">
      <w:lvlJc w:val="left"/>
      <w:lvlText w:val="%2."/>
      <w:numFmt w:val="decimal"/>
      <w:start w:val="3"/>
    </w:lvl>
  </w:abstractNum>
  <w:abstractNum w:abstractNumId="82">
    <w:nsid w:val="6A3DD3E8"/>
    <w:multiLevelType w:val="hybridMultilevel"/>
    <w:lvl w:ilvl="0">
      <w:lvlJc w:val="left"/>
      <w:lvlText w:val="(%1)"/>
      <w:numFmt w:val="lowerLetter"/>
      <w:start w:val="1"/>
    </w:lvl>
    <w:lvl w:ilvl="1">
      <w:lvlJc w:val="left"/>
      <w:lvlText w:val="%2"/>
      <w:numFmt w:val="decimal"/>
      <w:start w:val="1"/>
    </w:lvl>
  </w:abstractNum>
  <w:abstractNum w:abstractNumId="83">
    <w:nsid w:val="71C91298"/>
    <w:multiLevelType w:val="hybridMultilevel"/>
    <w:lvl w:ilvl="0">
      <w:lvlJc w:val="left"/>
      <w:lvlText w:val="(%1)"/>
      <w:numFmt w:val="lowerLetter"/>
      <w:start w:val="3"/>
    </w:lvl>
  </w:abstractNum>
  <w:abstractNum w:abstractNumId="84">
    <w:nsid w:val="9DAF632"/>
    <w:multiLevelType w:val="hybridMultilevel"/>
    <w:lvl w:ilvl="0">
      <w:lvlJc w:val="left"/>
      <w:lvlText w:val="(%1)"/>
      <w:numFmt w:val="lowerLetter"/>
      <w:start w:val="4"/>
    </w:lvl>
  </w:abstractNum>
  <w:abstractNum w:abstractNumId="85">
    <w:nsid w:val="53299938"/>
    <w:multiLevelType w:val="hybridMultilevel"/>
    <w:lvl w:ilvl="0">
      <w:lvlJc w:val="left"/>
      <w:lvlText w:val="%1."/>
      <w:numFmt w:val="decimal"/>
      <w:start w:val="5"/>
    </w:lvl>
  </w:abstractNum>
  <w:abstractNum w:abstractNumId="86">
    <w:nsid w:val="1FBFE8E0"/>
    <w:multiLevelType w:val="hybridMultilevel"/>
    <w:lvl w:ilvl="0">
      <w:lvlJc w:val="left"/>
      <w:lvlText w:val="%1."/>
      <w:numFmt w:val="decimal"/>
      <w:start w:val="6"/>
    </w:lvl>
  </w:abstractNum>
  <w:abstractNum w:abstractNumId="87">
    <w:nsid w:val="5092CA79"/>
    <w:multiLevelType w:val="hybridMultilevel"/>
    <w:lvl w:ilvl="0">
      <w:lvlJc w:val="left"/>
      <w:lvlText w:val="%1."/>
      <w:numFmt w:val="decimal"/>
      <w:start w:val="7"/>
    </w:lvl>
    <w:lvl w:ilvl="1">
      <w:lvlJc w:val="left"/>
      <w:lvlText w:val="(%2)"/>
      <w:numFmt w:val="lowerLetter"/>
      <w:start w:val="1"/>
    </w:lvl>
  </w:abstractNum>
  <w:abstractNum w:abstractNumId="88">
    <w:nsid w:val="1D545C4D"/>
    <w:multiLevelType w:val="hybridMultilevel"/>
    <w:lvl w:ilvl="0">
      <w:lvlJc w:val="left"/>
      <w:lvlText w:val="(%1)"/>
      <w:numFmt w:val="lowerLetter"/>
      <w:start w:val="3"/>
    </w:lvl>
  </w:abstractNum>
  <w:abstractNum w:abstractNumId="89">
    <w:nsid w:val="59ADEA3D"/>
    <w:multiLevelType w:val="hybridMultilevel"/>
    <w:lvl w:ilvl="0">
      <w:lvlJc w:val="left"/>
      <w:lvlText w:val="%1."/>
      <w:numFmt w:val="decimal"/>
      <w:start w:val="8"/>
    </w:lvl>
    <w:lvl w:ilvl="1">
      <w:lvlJc w:val="left"/>
      <w:lvlText w:val="(%2)"/>
      <w:numFmt w:val="lowerLetter"/>
      <w:start w:val="1"/>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lowerLetter"/>
      <w:start w:val="2"/>
    </w:lvl>
  </w:abstractNum>
  <w:abstractNum w:abstractNumId="92">
    <w:nsid w:val="1D9F6E5F"/>
    <w:multiLevelType w:val="hybridMultilevel"/>
    <w:lvl w:ilvl="0">
      <w:lvlJc w:val="left"/>
      <w:lvlText w:val="(%1)"/>
      <w:numFmt w:val="lowerLetter"/>
      <w:start w:val="3"/>
    </w:lvl>
  </w:abstractNum>
  <w:abstractNum w:abstractNumId="93">
    <w:nsid w:val="97E1B4E"/>
    <w:multiLevelType w:val="hybridMultilevel"/>
    <w:lvl w:ilvl="0">
      <w:lvlJc w:val="left"/>
      <w:lvlText w:val="(%1)"/>
      <w:numFmt w:val="decimal"/>
      <w:start w:val="1"/>
    </w:lvl>
  </w:abstractNum>
  <w:abstractNum w:abstractNumId="94">
    <w:nsid w:val="51088277"/>
    <w:multiLevelType w:val="hybridMultilevel"/>
    <w:lvl w:ilvl="0">
      <w:lvlJc w:val="left"/>
      <w:lvlText w:val="(%1)"/>
      <w:numFmt w:val="decimal"/>
      <w:start w:val="9"/>
    </w:lvl>
  </w:abstractNum>
  <w:abstractNum w:abstractNumId="95">
    <w:nsid w:val="1CA0C5FA"/>
    <w:multiLevelType w:val="hybridMultilevel"/>
    <w:lvl w:ilvl="0">
      <w:lvlJc w:val="left"/>
      <w:lvlText w:val="(%1)"/>
      <w:numFmt w:val="lowerLetter"/>
      <w:start w:val="5"/>
    </w:lvl>
  </w:abstractNum>
  <w:abstractNum w:abstractNumId="96">
    <w:nsid w:val="53584BCB"/>
    <w:multiLevelType w:val="hybridMultilevel"/>
    <w:lvl w:ilvl="0">
      <w:lvlJc w:val="left"/>
      <w:lvlText w:val="%1"/>
      <w:numFmt w:val="lowerLetter"/>
      <w:start w:val="1"/>
    </w:lvl>
    <w:lvl w:ilvl="1">
      <w:lvlJc w:val="left"/>
      <w:lvlText w:val="(%2)"/>
      <w:numFmt w:val="decimal"/>
      <w:start w:val="1"/>
    </w:lvl>
  </w:abstractNum>
  <w:abstractNum w:abstractNumId="97">
    <w:nsid w:val="415E286C"/>
    <w:multiLevelType w:val="hybridMultilevel"/>
    <w:lvl w:ilvl="0">
      <w:lvlJc w:val="left"/>
      <w:lvlText w:val="(%1)"/>
      <w:numFmt w:val="lowerLetter"/>
      <w:start w:val="6"/>
    </w:lvl>
    <w:lvl w:ilvl="1">
      <w:lvlJc w:val="left"/>
      <w:lvlText w:val="%2"/>
      <w:numFmt w:val="decimal"/>
      <w:start w:val="1"/>
    </w:lvl>
  </w:abstractNum>
  <w:abstractNum w:abstractNumId="98">
    <w:nsid w:val="7C58FD05"/>
    <w:multiLevelType w:val="hybridMultilevel"/>
    <w:lvl w:ilvl="0">
      <w:lvlJc w:val="left"/>
      <w:lvlText w:val="%1"/>
      <w:numFmt w:val="decimal"/>
      <w:start w:val="1"/>
    </w:lvl>
    <w:lvl w:ilvl="1">
      <w:lvlJc w:val="left"/>
      <w:lvlText w:val="(%2)"/>
      <w:numFmt w:val="decimal"/>
      <w:start w:val="9"/>
    </w:lvl>
  </w:abstractNum>
  <w:abstractNum w:abstractNumId="99">
    <w:nsid w:val="23D86AAC"/>
    <w:multiLevelType w:val="hybridMultilevel"/>
    <w:lvl w:ilvl="0">
      <w:lvlJc w:val="left"/>
      <w:lvlText w:val="%1."/>
      <w:numFmt w:val="decimal"/>
      <w:start w:val="9"/>
    </w:lvl>
    <w:lvl w:ilvl="1">
      <w:lvlJc w:val="left"/>
      <w:lvlText w:val="%2"/>
      <w:numFmt w:val="decimal"/>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Roman"/>
      <w:start w:val="1"/>
    </w:lvl>
    <w:lvl w:ilvl="1">
      <w:lvlJc w:val="left"/>
      <w:lvlText w:val="(%2)"/>
      <w:numFmt w:val="lowerRoman"/>
      <w:start w:val="2"/>
    </w:lvl>
  </w:abstractNum>
  <w:abstractNum w:abstractNumId="102">
    <w:nsid w:val="E7FFA2B"/>
    <w:multiLevelType w:val="hybridMultilevel"/>
    <w:lvl w:ilvl="0">
      <w:lvlJc w:val="left"/>
      <w:lvlText w:val="(%1)"/>
      <w:numFmt w:val="lowerLetter"/>
      <w:start w:val="2"/>
    </w:lvl>
  </w:abstractNum>
  <w:abstractNum w:abstractNumId="103">
    <w:nsid w:val="3C5991AA"/>
    <w:multiLevelType w:val="hybridMultilevel"/>
    <w:lvl w:ilvl="0">
      <w:lvlJc w:val="left"/>
      <w:lvlText w:val="(%1)"/>
      <w:numFmt w:val="lowerLetter"/>
      <w:start w:val="3"/>
    </w:lvl>
    <w:lvl w:ilvl="1">
      <w:lvlJc w:val="left"/>
      <w:lvlText w:val="%2."/>
      <w:numFmt w:val="decimal"/>
      <w:start w:val="10"/>
    </w:lvl>
    <w:lvl w:ilvl="2">
      <w:lvlJc w:val="left"/>
      <w:lvlText w:val="(%3)"/>
      <w:numFmt w:val="lowerLetter"/>
      <w:start w:val="1"/>
    </w:lvl>
  </w:abstractNum>
  <w:abstractNum w:abstractNumId="104">
    <w:nsid w:val="4BD8591A"/>
    <w:multiLevelType w:val="hybridMultilevel"/>
    <w:lvl w:ilvl="0">
      <w:lvlJc w:val="left"/>
      <w:lvlText w:val="%1."/>
      <w:numFmt w:val="decimal"/>
      <w:start w:val="12"/>
    </w:lvl>
  </w:abstractNum>
  <w:abstractNum w:abstractNumId="105">
    <w:nsid w:val="78DF6A55"/>
    <w:multiLevelType w:val="hybridMultilevel"/>
    <w:lvl w:ilvl="0">
      <w:lvlJc w:val="left"/>
      <w:lvlText w:val="(%1)"/>
      <w:numFmt w:val="lowerLetter"/>
      <w:start w:val="1"/>
    </w:lvl>
  </w:abstractNum>
  <w:abstractNum w:abstractNumId="106">
    <w:nsid w:val="39B7AAA2"/>
    <w:multiLevelType w:val="hybridMultilevel"/>
    <w:lvl w:ilvl="0">
      <w:lvlJc w:val="left"/>
      <w:lvlText w:val="(%1)"/>
      <w:numFmt w:val="lowerLetter"/>
      <w:start w:val="2"/>
    </w:lvl>
  </w:abstractNum>
  <w:abstractNum w:abstractNumId="107">
    <w:nsid w:val="2B0D8DBE"/>
    <w:multiLevelType w:val="hybridMultilevel"/>
    <w:lvl w:ilvl="0">
      <w:lvlJc w:val="left"/>
      <w:lvlText w:val="%1."/>
      <w:numFmt w:val="decimal"/>
      <w:start w:val="13"/>
    </w:lvl>
  </w:abstractNum>
  <w:abstractNum w:abstractNumId="108">
    <w:nsid w:val="6C80EC70"/>
    <w:multiLevelType w:val="hybridMultilevel"/>
    <w:lvl w:ilvl="0">
      <w:lvlJc w:val="left"/>
      <w:lvlText w:val="%1."/>
      <w:numFmt w:val="decimal"/>
      <w:start w:val="15"/>
    </w:lvl>
    <w:lvl w:ilvl="1">
      <w:lvlJc w:val="left"/>
      <w:lvlText w:val="(%2)"/>
      <w:numFmt w:val="lowerLetter"/>
      <w:start w:val="1"/>
    </w:lvl>
  </w:abstractNum>
  <w:abstractNum w:abstractNumId="109">
    <w:nsid w:val="379E21B5"/>
    <w:multiLevelType w:val="hybridMultilevel"/>
    <w:lvl w:ilvl="0">
      <w:lvlJc w:val="left"/>
      <w:lvlText w:val="(%1)"/>
      <w:numFmt w:val="lowerLetter"/>
      <w:start w:val="5"/>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1)"/>
      <w:numFmt w:val="lowerLetter"/>
      <w:start w:val="1"/>
    </w:lvl>
  </w:abstractNum>
  <w:abstractNum w:abstractNumId="112">
    <w:nsid w:val="4C9B0904"/>
    <w:multiLevelType w:val="hybridMultilevel"/>
    <w:lvl w:ilvl="0">
      <w:lvlJc w:val="left"/>
      <w:lvlText w:val="%1."/>
      <w:numFmt w:val="decimal"/>
      <w:start w:val="2"/>
    </w:lvl>
  </w:abstractNum>
  <w:abstractNum w:abstractNumId="113">
    <w:nsid w:val="6AA7B75C"/>
    <w:multiLevelType w:val="hybridMultilevel"/>
    <w:lvl w:ilvl="0">
      <w:lvlJc w:val="left"/>
      <w:lvlText w:val="%1."/>
      <w:numFmt w:val="decimal"/>
      <w:start w:val="3"/>
    </w:lvl>
  </w:abstractNum>
  <w:abstractNum w:abstractNumId="114">
    <w:nsid w:val="1DF029D3"/>
    <w:multiLevelType w:val="hybridMultilevel"/>
    <w:lvl w:ilvl="0">
      <w:lvlJc w:val="left"/>
      <w:lvlText w:val="%1."/>
      <w:numFmt w:val="decimal"/>
      <w:start w:val="4"/>
    </w:lvl>
  </w:abstractNum>
  <w:abstractNum w:abstractNumId="115">
    <w:nsid w:val="5675FF36"/>
    <w:multiLevelType w:val="hybridMultilevel"/>
    <w:lvl w:ilvl="0">
      <w:lvlJc w:val="left"/>
      <w:lvlText w:val="%1"/>
      <w:numFmt w:val="decimal"/>
      <w:start w:val="1"/>
    </w:lvl>
    <w:lvl w:ilvl="1">
      <w:lvlJc w:val="left"/>
      <w:lvlText w:val="(%2)"/>
      <w:numFmt w:val="lowerLetter"/>
      <w:start w:val="1"/>
    </w:lvl>
  </w:abstractNum>
  <w:abstractNum w:abstractNumId="116">
    <w:nsid w:val="3DD15094"/>
    <w:multiLevelType w:val="hybridMultilevel"/>
    <w:lvl w:ilvl="0">
      <w:lvlJc w:val="left"/>
      <w:lvlText w:val="%1."/>
      <w:numFmt w:val="decimal"/>
      <w:start w:val="5"/>
    </w:lvl>
    <w:lvl w:ilvl="1">
      <w:lvlJc w:val="left"/>
      <w:lvlText w:val="%2"/>
      <w:numFmt w:val="lowerLetter"/>
      <w:start w:val="1"/>
    </w:lvl>
  </w:abstractNum>
  <w:abstractNum w:abstractNumId="117">
    <w:nsid w:val="3DB012B3"/>
    <w:multiLevelType w:val="hybridMultilevel"/>
    <w:lvl w:ilvl="0">
      <w:lvlJc w:val="left"/>
      <w:lvlText w:val="%1"/>
      <w:numFmt w:val="decimal"/>
      <w:start w:val="1"/>
    </w:lvl>
    <w:lvl w:ilvl="1">
      <w:lvlJc w:val="left"/>
      <w:lvlText w:val="(%2)"/>
      <w:numFmt w:val="lowerLetter"/>
      <w:start w:val="1"/>
    </w:lvl>
  </w:abstractNum>
  <w:abstractNum w:abstractNumId="118">
    <w:nsid w:val="2708C9AF"/>
    <w:multiLevelType w:val="hybridMultilevel"/>
    <w:lvl w:ilvl="0">
      <w:lvlJc w:val="left"/>
      <w:lvlText w:val="%1."/>
      <w:numFmt w:val="decimal"/>
      <w:start w:val="6"/>
    </w:lvl>
    <w:lvl w:ilvl="1">
      <w:lvlJc w:val="left"/>
      <w:lvlText w:val="%2"/>
      <w:numFmt w:val="lowerLetter"/>
      <w:start w:val="1"/>
    </w:lvl>
  </w:abstractNum>
  <w:abstractNum w:abstractNumId="119">
    <w:nsid w:val="5B25ACE2"/>
    <w:multiLevelType w:val="hybridMultilevel"/>
    <w:lvl w:ilvl="0">
      <w:lvlJc w:val="left"/>
      <w:lvlText w:val="%1."/>
      <w:numFmt w:val="decimal"/>
      <w:start w:val="7"/>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4"/>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Letter"/>
      <w:start w:val="1"/>
    </w:lvl>
  </w:abstractNum>
  <w:abstractNum w:abstractNumId="124">
    <w:nsid w:val="5915FF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2020-01-25T07:05:39Z</dcterms:created>
  <dcterms:modified xsi:type="dcterms:W3CDTF">2020-01-25T07:05:39Z</dcterms:modified>
</cp:coreProperties>
</file>