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2582545</wp:posOffset>
            </wp:positionH>
            <wp:positionV relativeFrom="page">
              <wp:posOffset>294640</wp:posOffset>
            </wp:positionV>
            <wp:extent cx="2348865" cy="634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15,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20549-3628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Jessica Dickerson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Re: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Marker Therapeutics, Inc. (the “Company”)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333-284233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Request for Acceleration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undersigned registrant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respectfully requests that the Securities and Exchange Commission take appropriate action to cause the above referenced Registration Statement on Form S-3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to be declared effective at 4:00 p.m., Eastern Time, on Friday, January 17, 2025, or as soon thereafter as is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with Mark Catchur of Shumaker, Loop &amp; Kendrick, LLP at (813) 227-2264. Thank you for your assistance in this matter.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By: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/s/ Juan Vera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Juan Vera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Mark A. Catchur, Shumaker, Loop &amp; Kendrick,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2025-02-18T23:09:28Z</dcterms:created>
  <dcterms:modified xsi:type="dcterms:W3CDTF">2025-02-18T23:09:28Z</dcterms:modified>
</cp:coreProperties>
</file>