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v331578_sc13d.htm"/>
      <w:bookmarkStart w:id="1" w:name="ksv331578_sc13d"/>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13D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pBdr>
          <w:bottom w:val="single" w:sz="6" w:space="1" w:color="000000"/>
        </w:pBdr>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TAPIMMUNE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spacing w:before="0" w:after="0"/>
        <w:ind w:left="0" w:right="0" w:hanging="0"/>
        <w:jc w:val="center"/>
        <w:rPr>
          <w:caps w:val="false"/>
          <w:smallCaps w:val="false"/>
        </w:rPr>
      </w:pPr>
      <w:r>
        <w:rPr>
          <w:caps w:val="false"/>
          <w:smallCaps w:val="false"/>
        </w:rPr>
        <w:t> </w:t>
      </w:r>
    </w:p>
    <w:p>
      <w:pPr>
        <w:pStyle w:val="TextBody"/>
        <w:pBdr>
          <w:bottom w:val="single" w:sz="6"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$.001</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spacing w:before="0" w:after="0"/>
        <w:ind w:left="0" w:right="0" w:hanging="0"/>
        <w:jc w:val="center"/>
        <w:rPr>
          <w:caps w:val="false"/>
          <w:smallCaps w:val="false"/>
        </w:rPr>
      </w:pPr>
      <w:r>
        <w:rPr>
          <w:caps w:val="false"/>
          <w:smallCaps w:val="false"/>
        </w:rPr>
        <w:t> </w:t>
      </w:r>
    </w:p>
    <w:p>
      <w:pPr>
        <w:pStyle w:val="TextBody"/>
        <w:pBdr>
          <w:bottom w:val="single" w:sz="6"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876033200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spacing w:before="0" w:after="0"/>
        <w:ind w:left="0" w:right="0" w:hanging="0"/>
        <w:jc w:val="center"/>
        <w:rPr>
          <w:caps w:val="false"/>
          <w:smallCaps w:val="false"/>
        </w:rPr>
      </w:pPr>
      <w:r>
        <w:rPr>
          <w:caps w:val="false"/>
          <w:smallCaps w:val="false"/>
        </w:rPr>
        <w:t> </w:t>
      </w:r>
    </w:p>
    <w:tbl>
      <w:tblPr>
        <w:tblW w:w="3170" w:type="dxa"/>
        <w:jc w:val="left"/>
        <w:tblInd w:w="0" w:type="dxa"/>
        <w:tblCellMar>
          <w:top w:w="0" w:type="dxa"/>
          <w:left w:w="0" w:type="dxa"/>
          <w:bottom w:w="0" w:type="dxa"/>
          <w:right w:w="0" w:type="dxa"/>
        </w:tblCellMar>
      </w:tblPr>
      <w:tblGrid>
        <w:gridCol w:w="3095"/>
        <w:gridCol w:w="75"/>
      </w:tblGrid>
      <w:tr>
        <w:trPr/>
        <w:tc>
          <w:tcPr>
            <w:tcW w:w="3095" w:type="dxa"/>
            <w:tcBorders/>
            <w:shd w:fill="auto" w:val="clear"/>
            <w:vAlign w:val="center"/>
          </w:tcPr>
          <w:p>
            <w:pPr>
              <w:pStyle w:val="TableContents"/>
              <w:spacing w:before="0" w:after="283"/>
              <w:jc w:val="center"/>
              <w:rPr>
                <w:b/>
                <w:sz w:val="17"/>
              </w:rPr>
            </w:pPr>
            <w:r>
              <w:rPr>
                <w:b/>
                <w:sz w:val="17"/>
              </w:rPr>
              <w:t>Michael Gardner</w:t>
            </w:r>
          </w:p>
        </w:tc>
        <w:tc>
          <w:tcPr>
            <w:tcW w:w="75" w:type="dxa"/>
            <w:tcBorders/>
            <w:shd w:fill="auto" w:val="clear"/>
            <w:vAlign w:val="center"/>
          </w:tcPr>
          <w:p>
            <w:pPr>
              <w:pStyle w:val="TableContents"/>
              <w:spacing w:before="0" w:after="283"/>
              <w:rPr/>
            </w:pPr>
            <w:r>
              <w:rPr/>
              <w:t> </w:t>
            </w:r>
          </w:p>
        </w:tc>
      </w:tr>
      <w:tr>
        <w:trPr/>
        <w:tc>
          <w:tcPr>
            <w:tcW w:w="3095" w:type="dxa"/>
            <w:vMerge w:val="restart"/>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Baytree Capital Associates, LLC</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 Wall Street, 58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10005</w:t>
            </w:r>
          </w:p>
        </w:tc>
        <w:tc>
          <w:tcPr>
            <w:tcW w:w="75" w:type="dxa"/>
            <w:tcBorders/>
            <w:shd w:fill="auto" w:val="clear"/>
            <w:vAlign w:val="center"/>
          </w:tcPr>
          <w:p>
            <w:pPr>
              <w:pStyle w:val="TableContents"/>
              <w:spacing w:before="0" w:after="283"/>
              <w:rPr/>
            </w:pPr>
            <w:r>
              <w:rPr/>
              <w:t> </w:t>
            </w:r>
          </w:p>
        </w:tc>
      </w:tr>
      <w:tr>
        <w:trPr/>
        <w:tc>
          <w:tcPr>
            <w:tcW w:w="3095" w:type="dxa"/>
            <w:vMerge w:val="continue"/>
            <w:tcBorders/>
            <w:shd w:fill="auto" w:val="clear"/>
            <w:vAlign w:val="center"/>
          </w:tcPr>
          <w:p>
            <w:pPr>
              <w:pStyle w:val="Normal"/>
              <w:rPr/>
            </w:pPr>
            <w:r>
              <w:rPr/>
            </w:r>
          </w:p>
        </w:tc>
        <w:tc>
          <w:tcPr>
            <w:tcW w:w="75" w:type="dxa"/>
            <w:tcBorders/>
            <w:shd w:fill="auto"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283"/>
              <w:jc w:val="center"/>
              <w:rPr>
                <w:b/>
                <w:sz w:val="17"/>
              </w:rPr>
            </w:pPr>
            <w:r>
              <w:rPr>
                <w:b/>
                <w:sz w:val="17"/>
              </w:rPr>
              <w:t>(212) 509-1700</w:t>
            </w:r>
          </w:p>
        </w:tc>
        <w:tc>
          <w:tcPr>
            <w:tcW w:w="75" w:type="dxa"/>
            <w:tcBorders/>
            <w:shd w:fill="auto" w:val="clear"/>
            <w:vAlign w:val="center"/>
          </w:tcPr>
          <w:p>
            <w:pPr>
              <w:pStyle w:val="TableContents"/>
              <w:spacing w:before="0" w:after="283"/>
              <w:rPr/>
            </w:pPr>
            <w:r>
              <w:rPr/>
              <w:t> </w:t>
            </w:r>
          </w:p>
        </w:tc>
      </w:tr>
      <w:tr>
        <w:trPr/>
        <w:tc>
          <w:tcPr>
            <w:tcW w:w="3095" w:type="dxa"/>
            <w:tcBorders>
              <w:bottom w:val="single" w:sz="8" w:space="0" w:color="FFFFFF"/>
            </w:tcBorders>
            <w:shd w:fill="auto" w:val="clear"/>
            <w:tcMar>
              <w:bottom w:w="28" w:type="dxa"/>
            </w:tcM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Persons Authorized to</w:t>
      </w:r>
    </w:p>
    <w:p>
      <w:pPr>
        <w:pStyle w:val="TextBody"/>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Notices and Communications)</w:t>
      </w:r>
    </w:p>
    <w:p>
      <w:pPr>
        <w:pStyle w:val="TextBody"/>
        <w:spacing w:before="0" w:after="0"/>
        <w:ind w:left="0" w:right="0" w:hanging="0"/>
        <w:jc w:val="center"/>
        <w:rPr>
          <w:caps w:val="false"/>
          <w:smallCaps w:val="false"/>
        </w:rPr>
      </w:pPr>
      <w:r>
        <w:rPr>
          <w:caps w:val="false"/>
          <w:smallCaps w:val="false"/>
        </w:rPr>
        <w:t> </w:t>
      </w:r>
    </w:p>
    <w:p>
      <w:pPr>
        <w:pStyle w:val="TextBody"/>
        <w:pBdr>
          <w:bottom w:val="single" w:sz="6"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8, 2012</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550" w:right="55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Wingdings" w:hAnsi="Wingdings"/>
          <w:b w:val="false"/>
          <w:i w:val="false"/>
          <w:caps w:val="false"/>
          <w:smallCaps w:val="false"/>
          <w:sz w:val="20"/>
        </w:rPr>
        <w:t>o</w:t>
      </w:r>
    </w:p>
    <w:p>
      <w:pPr>
        <w:pStyle w:val="TextBody"/>
        <w:spacing w:before="0" w:after="0"/>
        <w:ind w:left="550" w:right="550" w:hanging="0"/>
        <w:rPr>
          <w:caps w:val="false"/>
          <w:smallCaps w:val="false"/>
        </w:rPr>
      </w:pPr>
      <w:r>
        <w:rPr>
          <w:caps w:val="false"/>
          <w:smallCaps w:val="false"/>
        </w:rPr>
        <w:t> </w:t>
      </w:r>
    </w:p>
    <w:p>
      <w:pPr>
        <w:pStyle w:val="TextBody"/>
        <w:spacing w:before="0" w:after="0"/>
        <w:ind w:left="550" w:right="55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See §240.13d-7 for other parties to whom copies are to be sent.</w:t>
      </w:r>
    </w:p>
    <w:p>
      <w:pPr>
        <w:pStyle w:val="TextBody"/>
        <w:spacing w:before="0" w:after="0"/>
        <w:ind w:left="550" w:right="550" w:hanging="0"/>
        <w:rPr>
          <w:caps w:val="false"/>
          <w:smallCaps w:val="false"/>
        </w:rPr>
      </w:pPr>
      <w:r>
        <w:rPr>
          <w:caps w:val="false"/>
          <w:smallCaps w:val="false"/>
        </w:rPr>
        <w:t> </w:t>
      </w:r>
    </w:p>
    <w:p>
      <w:pPr>
        <w:pStyle w:val="TextBody"/>
        <w:spacing w:before="0" w:after="0"/>
        <w:ind w:left="550" w:right="55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spacing w:before="0" w:after="0"/>
        <w:ind w:left="550" w:right="550" w:hanging="0"/>
        <w:rPr>
          <w:caps w:val="false"/>
          <w:smallCaps w:val="false"/>
        </w:rPr>
      </w:pPr>
      <w:r>
        <w:rPr>
          <w:caps w:val="false"/>
          <w:smallCaps w:val="false"/>
        </w:rPr>
        <w:t> </w:t>
      </w:r>
    </w:p>
    <w:p>
      <w:pPr>
        <w:pStyle w:val="TextBody"/>
        <w:spacing w:before="0" w:after="0"/>
        <w:ind w:left="550" w:right="55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145" w:type="dxa"/>
        <w:jc w:val="left"/>
        <w:tblInd w:w="0" w:type="dxa"/>
        <w:tblCellMar>
          <w:top w:w="43" w:type="dxa"/>
          <w:left w:w="115" w:type="dxa"/>
          <w:bottom w:w="43" w:type="dxa"/>
          <w:right w:w="115" w:type="dxa"/>
        </w:tblCellMar>
      </w:tblPr>
      <w:tblGrid>
        <w:gridCol w:w="140"/>
        <w:gridCol w:w="6005"/>
      </w:tblGrid>
      <w:tr>
        <w:trPr/>
        <w:tc>
          <w:tcPr>
            <w:tcW w:w="14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20"/>
              </w:rPr>
            </w:pPr>
            <w:r>
              <w:rPr>
                <w:sz w:val="20"/>
              </w:rPr>
              <w:t>1</w:t>
            </w:r>
          </w:p>
        </w:tc>
        <w:tc>
          <w:tcPr>
            <w:tcW w:w="600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Gardner</w:t>
            </w:r>
          </w:p>
        </w:tc>
      </w:tr>
      <w:tr>
        <w:trPr/>
        <w:tc>
          <w:tcPr>
            <w:tcW w:w="1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2</w:t>
            </w:r>
          </w:p>
        </w:tc>
        <w:tc>
          <w:tcPr>
            <w:tcW w:w="60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Wingdings" w:hAnsi="Wingdings"/>
                <w:b w:val="false"/>
                <w:i w:val="false"/>
                <w:caps w:val="false"/>
                <w:smallCaps w:val="false"/>
                <w:color w:val="000000"/>
                <w:sz w:val="20"/>
              </w:rPr>
              <w:t>o</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Wingdings" w:hAnsi="Wingdings"/>
                <w:b w:val="false"/>
                <w:i w:val="false"/>
                <w:caps w:val="false"/>
                <w:smallCaps w:val="false"/>
                <w:color w:val="000000"/>
                <w:sz w:val="20"/>
              </w:rPr>
              <w:t>o</w:t>
            </w:r>
          </w:p>
        </w:tc>
      </w:tr>
      <w:tr>
        <w:trPr/>
        <w:tc>
          <w:tcPr>
            <w:tcW w:w="1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3</w:t>
            </w:r>
          </w:p>
        </w:tc>
        <w:tc>
          <w:tcPr>
            <w:tcW w:w="60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spacing w:before="0" w:after="0"/>
              <w:ind w:left="0" w:right="0" w:hanging="0"/>
              <w:rPr>
                <w:caps w:val="false"/>
                <w:smallCaps w:val="false"/>
              </w:rPr>
            </w:pPr>
            <w:r>
              <w:rPr>
                <w:caps w:val="false"/>
                <w:smallCaps w:val="false"/>
              </w:rPr>
              <w:t> </w:t>
            </w:r>
          </w:p>
        </w:tc>
      </w:tr>
      <w:tr>
        <w:trPr/>
        <w:tc>
          <w:tcPr>
            <w:tcW w:w="1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4</w:t>
            </w:r>
          </w:p>
        </w:tc>
        <w:tc>
          <w:tcPr>
            <w:tcW w:w="60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1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5</w:t>
            </w:r>
          </w:p>
        </w:tc>
        <w:tc>
          <w:tcPr>
            <w:tcW w:w="600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17"/>
              </w:rPr>
            </w:pPr>
            <w:r>
              <w:rPr>
                <w:sz w:val="17"/>
              </w:rPr>
              <w:t xml:space="preserve">Check if Disclosure of Legal Proceedings is Required Pursuant to Items 2(d) or 2(e) </w:t>
            </w:r>
            <w:r>
              <w:rPr>
                <w:rFonts w:ascii="Wingdings" w:hAnsi="Wingdings"/>
                <w:b w:val="false"/>
                <w:i w:val="false"/>
                <w:caps w:val="false"/>
                <w:smallCaps w:val="false"/>
                <w:color w:val="000000"/>
                <w:sz w:val="20"/>
              </w:rPr>
              <w:t>o</w:t>
            </w:r>
          </w:p>
        </w:tc>
      </w:tr>
      <w:tr>
        <w:trPr/>
        <w:tc>
          <w:tcPr>
            <w:tcW w:w="140" w:type="dxa"/>
            <w:tcBorders>
              <w:left w:val="single" w:sz="8" w:space="0" w:color="000000"/>
              <w:right w:val="single" w:sz="8" w:space="0" w:color="000000"/>
            </w:tcBorders>
            <w:shd w:fill="auto" w:val="clear"/>
            <w:tcMar>
              <w:top w:w="0" w:type="dxa"/>
              <w:bottom w:w="0" w:type="dxa"/>
            </w:tcMar>
            <w:vAlign w:val="center"/>
          </w:tcPr>
          <w:p>
            <w:pPr>
              <w:pStyle w:val="TableContents"/>
              <w:spacing w:before="0" w:after="283"/>
              <w:rPr>
                <w:sz w:val="20"/>
              </w:rPr>
            </w:pPr>
            <w:r>
              <w:rPr>
                <w:sz w:val="20"/>
              </w:rPr>
              <w:t>6</w:t>
            </w:r>
          </w:p>
        </w:tc>
        <w:tc>
          <w:tcPr>
            <w:tcW w:w="6005" w:type="dxa"/>
            <w:tcBorders>
              <w:right w:val="single" w:sz="8" w:space="0" w:color="000000"/>
            </w:tcBorders>
            <w:shd w:fill="auto" w:val="clear"/>
            <w:tcMar>
              <w:top w:w="0" w:type="dxa"/>
              <w:left w:w="0" w:type="dxa"/>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bl>
    <w:tbl>
      <w:tblPr>
        <w:tblW w:w="4470" w:type="dxa"/>
        <w:jc w:val="left"/>
        <w:tblInd w:w="0" w:type="dxa"/>
        <w:tblCellMar>
          <w:top w:w="43" w:type="dxa"/>
          <w:left w:w="115" w:type="dxa"/>
          <w:bottom w:w="0" w:type="dxa"/>
          <w:right w:w="115" w:type="dxa"/>
        </w:tblCellMar>
      </w:tblPr>
      <w:tblGrid>
        <w:gridCol w:w="2135"/>
        <w:gridCol w:w="230"/>
        <w:gridCol w:w="2105"/>
      </w:tblGrid>
      <w:tr>
        <w:trPr/>
        <w:tc>
          <w:tcPr>
            <w:tcW w:w="2135" w:type="dxa"/>
            <w:vMerge w:val="restart"/>
            <w:tcBorders>
              <w:top w:val="single" w:sz="8" w:space="0" w:color="000000"/>
              <w:left w:val="single" w:sz="8" w:space="0" w:color="000000"/>
              <w:right w:val="single" w:sz="8" w:space="0" w:color="000000"/>
            </w:tcBorders>
            <w:shd w:fill="auto" w:val="clear"/>
            <w:vAlign w:val="center"/>
          </w:tcPr>
          <w:p>
            <w:pPr>
              <w:pStyle w:val="TableContents"/>
              <w:spacing w:before="0" w:after="283"/>
              <w:jc w:val="center"/>
              <w:rPr>
                <w:sz w:val="17"/>
              </w:rPr>
            </w:pPr>
            <w:r>
              <w:rPr>
                <w:sz w:val="17"/>
              </w:rPr>
              <w:br/>
              <w:br/>
              <w:t xml:space="preserve">Number </w:t>
              <w:br/>
              <w:t xml:space="preserve">of Shares Beneficially Owned </w:t>
              <w:br/>
              <w:t xml:space="preserve">by Each </w:t>
              <w:br/>
              <w:t xml:space="preserve">Reporting </w:t>
              <w:br/>
              <w:t>Person With</w:t>
            </w:r>
          </w:p>
        </w:tc>
        <w:tc>
          <w:tcPr>
            <w:tcW w:w="230" w:type="dxa"/>
            <w:tcBorders>
              <w:top w:val="single" w:sz="8" w:space="0" w:color="000000"/>
              <w:bottom w:val="single" w:sz="8" w:space="0" w:color="000000"/>
              <w:right w:val="single" w:sz="8" w:space="0" w:color="000000"/>
            </w:tcBorders>
            <w:shd w:fill="auto" w:val="clear"/>
            <w:tcMar>
              <w:left w:w="0" w:type="dxa"/>
              <w:bottom w:w="43" w:type="dxa"/>
            </w:tcMar>
            <w:vAlign w:val="center"/>
          </w:tcPr>
          <w:p>
            <w:pPr>
              <w:pStyle w:val="TableContents"/>
              <w:spacing w:before="0" w:after="283"/>
              <w:rPr>
                <w:sz w:val="20"/>
              </w:rPr>
            </w:pPr>
            <w:r>
              <w:rPr>
                <w:sz w:val="20"/>
              </w:rPr>
              <w:t>7</w:t>
            </w:r>
          </w:p>
        </w:tc>
        <w:tc>
          <w:tcPr>
            <w:tcW w:w="2105" w:type="dxa"/>
            <w:tcBorders>
              <w:top w:val="single" w:sz="8" w:space="0" w:color="000000"/>
              <w:bottom w:val="single" w:sz="8" w:space="0" w:color="000000"/>
              <w:right w:val="single" w:sz="8" w:space="0" w:color="000000"/>
            </w:tcBorders>
            <w:shd w:fill="auto" w:val="clear"/>
            <w:tcMar>
              <w:left w:w="0" w:type="dxa"/>
              <w:bottom w:w="43"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5,600,000</w:t>
            </w:r>
          </w:p>
        </w:tc>
      </w:tr>
      <w:tr>
        <w:trPr/>
        <w:tc>
          <w:tcPr>
            <w:tcW w:w="2135" w:type="dxa"/>
            <w:vMerge w:val="continue"/>
            <w:tcBorders>
              <w:top w:val="single" w:sz="8" w:space="0" w:color="000000"/>
              <w:left w:val="single" w:sz="8" w:space="0" w:color="000000"/>
              <w:right w:val="single" w:sz="8" w:space="0" w:color="000000"/>
            </w:tcBorders>
            <w:shd w:fill="auto" w:val="clear"/>
            <w:vAlign w:val="center"/>
          </w:tcPr>
          <w:p>
            <w:pPr>
              <w:pStyle w:val="Normal"/>
              <w:rPr/>
            </w:pPr>
            <w:r>
              <w:rPr/>
            </w:r>
          </w:p>
        </w:tc>
        <w:tc>
          <w:tcPr>
            <w:tcW w:w="230" w:type="dxa"/>
            <w:tcBorders>
              <w:bottom w:val="single" w:sz="8" w:space="0" w:color="000000"/>
              <w:right w:val="single" w:sz="8" w:space="0" w:color="000000"/>
            </w:tcBorders>
            <w:shd w:fill="auto" w:val="clear"/>
            <w:tcMar>
              <w:top w:w="0" w:type="dxa"/>
              <w:left w:w="0" w:type="dxa"/>
              <w:bottom w:w="43" w:type="dxa"/>
            </w:tcMar>
            <w:vAlign w:val="center"/>
          </w:tcPr>
          <w:p>
            <w:pPr>
              <w:pStyle w:val="TableContents"/>
              <w:spacing w:before="0" w:after="283"/>
              <w:rPr>
                <w:sz w:val="20"/>
              </w:rPr>
            </w:pPr>
            <w:r>
              <w:rPr>
                <w:sz w:val="20"/>
              </w:rPr>
              <w:t>8</w:t>
            </w:r>
          </w:p>
        </w:tc>
        <w:tc>
          <w:tcPr>
            <w:tcW w:w="2105" w:type="dxa"/>
            <w:tcBorders>
              <w:bottom w:val="single" w:sz="8" w:space="0" w:color="000000"/>
              <w:right w:val="single" w:sz="8" w:space="0" w:color="000000"/>
            </w:tcBorders>
            <w:shd w:fill="auto" w:val="clear"/>
            <w:tcMar>
              <w:top w:w="0" w:type="dxa"/>
              <w:left w:w="0" w:type="dxa"/>
              <w:bottom w:w="43"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35" w:type="dxa"/>
            <w:vMerge w:val="continue"/>
            <w:tcBorders>
              <w:top w:val="single" w:sz="8" w:space="0" w:color="000000"/>
              <w:left w:val="single" w:sz="8" w:space="0" w:color="000000"/>
              <w:right w:val="single" w:sz="8" w:space="0" w:color="000000"/>
            </w:tcBorders>
            <w:shd w:fill="auto" w:val="clear"/>
            <w:vAlign w:val="center"/>
          </w:tcPr>
          <w:p>
            <w:pPr>
              <w:pStyle w:val="Normal"/>
              <w:rPr/>
            </w:pPr>
            <w:r>
              <w:rPr/>
            </w:r>
          </w:p>
        </w:tc>
        <w:tc>
          <w:tcPr>
            <w:tcW w:w="230" w:type="dxa"/>
            <w:tcBorders>
              <w:bottom w:val="single" w:sz="8" w:space="0" w:color="000000"/>
              <w:right w:val="single" w:sz="8" w:space="0" w:color="000000"/>
            </w:tcBorders>
            <w:shd w:fill="auto" w:val="clear"/>
            <w:tcMar>
              <w:top w:w="0" w:type="dxa"/>
              <w:left w:w="0" w:type="dxa"/>
              <w:bottom w:w="43" w:type="dxa"/>
            </w:tcMar>
            <w:vAlign w:val="center"/>
          </w:tcPr>
          <w:p>
            <w:pPr>
              <w:pStyle w:val="TableContents"/>
              <w:spacing w:before="0" w:after="283"/>
              <w:rPr>
                <w:sz w:val="20"/>
              </w:rPr>
            </w:pPr>
            <w:r>
              <w:rPr>
                <w:sz w:val="20"/>
              </w:rPr>
              <w:t>9</w:t>
            </w:r>
          </w:p>
        </w:tc>
        <w:tc>
          <w:tcPr>
            <w:tcW w:w="2105" w:type="dxa"/>
            <w:tcBorders>
              <w:bottom w:val="single" w:sz="8" w:space="0" w:color="000000"/>
              <w:right w:val="single" w:sz="8" w:space="0" w:color="000000"/>
            </w:tcBorders>
            <w:shd w:fill="auto" w:val="clear"/>
            <w:tcMar>
              <w:top w:w="0" w:type="dxa"/>
              <w:left w:w="0" w:type="dxa"/>
              <w:bottom w:w="43"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5,600,000</w:t>
            </w:r>
          </w:p>
        </w:tc>
      </w:tr>
      <w:tr>
        <w:trPr/>
        <w:tc>
          <w:tcPr>
            <w:tcW w:w="2135" w:type="dxa"/>
            <w:vMerge w:val="continue"/>
            <w:tcBorders>
              <w:top w:val="single" w:sz="8" w:space="0" w:color="000000"/>
              <w:left w:val="single" w:sz="8" w:space="0" w:color="000000"/>
              <w:right w:val="single" w:sz="8" w:space="0" w:color="000000"/>
            </w:tcBorders>
            <w:shd w:fill="auto" w:val="clear"/>
            <w:vAlign w:val="center"/>
          </w:tcPr>
          <w:p>
            <w:pPr>
              <w:pStyle w:val="Normal"/>
              <w:rPr/>
            </w:pPr>
            <w:r>
              <w:rPr/>
            </w:r>
          </w:p>
        </w:tc>
        <w:tc>
          <w:tcPr>
            <w:tcW w:w="230" w:type="dxa"/>
            <w:tcBorders>
              <w:right w:val="single" w:sz="8" w:space="0" w:color="000000"/>
            </w:tcBorders>
            <w:shd w:fill="auto" w:val="clear"/>
            <w:tcMar>
              <w:top w:w="0" w:type="dxa"/>
              <w:left w:w="0" w:type="dxa"/>
            </w:tcMar>
            <w:vAlign w:val="center"/>
          </w:tcPr>
          <w:p>
            <w:pPr>
              <w:pStyle w:val="TableContents"/>
              <w:spacing w:before="0" w:after="283"/>
              <w:rPr>
                <w:sz w:val="20"/>
              </w:rPr>
            </w:pPr>
            <w:r>
              <w:rPr>
                <w:sz w:val="20"/>
              </w:rPr>
              <w:t>10</w:t>
            </w:r>
          </w:p>
        </w:tc>
        <w:tc>
          <w:tcPr>
            <w:tcW w:w="2105" w:type="dxa"/>
            <w:tcBorders>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6520" w:type="dxa"/>
        <w:jc w:val="left"/>
        <w:tblInd w:w="0" w:type="dxa"/>
        <w:tblCellMar>
          <w:top w:w="43" w:type="dxa"/>
          <w:left w:w="115" w:type="dxa"/>
          <w:bottom w:w="43" w:type="dxa"/>
          <w:right w:w="115" w:type="dxa"/>
        </w:tblCellMar>
      </w:tblPr>
      <w:tblGrid>
        <w:gridCol w:w="245"/>
        <w:gridCol w:w="6275"/>
      </w:tblGrid>
      <w:tr>
        <w:trPr/>
        <w:tc>
          <w:tcPr>
            <w:tcW w:w="2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20"/>
              </w:rPr>
            </w:pPr>
            <w:r>
              <w:rPr>
                <w:sz w:val="20"/>
              </w:rPr>
              <w:t>11</w:t>
            </w:r>
          </w:p>
        </w:tc>
        <w:tc>
          <w:tcPr>
            <w:tcW w:w="627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5,600,000</w:t>
            </w:r>
          </w:p>
        </w:tc>
      </w:tr>
      <w:tr>
        <w:trPr/>
        <w:tc>
          <w:tcPr>
            <w:tcW w:w="24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12</w:t>
            </w:r>
          </w:p>
        </w:tc>
        <w:tc>
          <w:tcPr>
            <w:tcW w:w="62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17"/>
              </w:rPr>
            </w:pPr>
            <w:r>
              <w:rPr>
                <w:sz w:val="17"/>
              </w:rPr>
              <w:t xml:space="preserve">Check if the Aggregate Amount in Row (11) Excludes Certain Shares (See Instructions) </w:t>
            </w:r>
            <w:r>
              <w:rPr>
                <w:rFonts w:ascii="Wingdings" w:hAnsi="Wingdings"/>
                <w:b w:val="false"/>
                <w:i w:val="false"/>
                <w:caps w:val="false"/>
                <w:smallCaps w:val="false"/>
                <w:color w:val="000000"/>
                <w:sz w:val="20"/>
              </w:rPr>
              <w:t>o</w:t>
            </w:r>
          </w:p>
        </w:tc>
      </w:tr>
      <w:tr>
        <w:trPr/>
        <w:tc>
          <w:tcPr>
            <w:tcW w:w="24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13</w:t>
            </w:r>
          </w:p>
        </w:tc>
        <w:tc>
          <w:tcPr>
            <w:tcW w:w="62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w:t>
            </w:r>
            <w:r>
              <w:rPr>
                <w:rFonts w:ascii="Times New Roman;Times;Serif" w:hAnsi="Times New Roman;Times;Serif"/>
                <w:b w:val="false"/>
                <w:i w:val="false"/>
                <w:caps w:val="false"/>
                <w:smallCaps w:val="false"/>
                <w:position w:val="7"/>
                <w:sz w:val="16"/>
                <w:sz w:val="20"/>
              </w:rPr>
              <w:t>(1)</w:t>
            </w:r>
          </w:p>
        </w:tc>
      </w:tr>
      <w:tr>
        <w:trPr/>
        <w:tc>
          <w:tcPr>
            <w:tcW w:w="24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20"/>
              </w:rPr>
            </w:pPr>
            <w:r>
              <w:rPr>
                <w:sz w:val="20"/>
              </w:rPr>
              <w:t>14</w:t>
            </w:r>
          </w:p>
        </w:tc>
        <w:tc>
          <w:tcPr>
            <w:tcW w:w="62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Based on 73,861,754 shares of common stock, par value $.001, outstanding as of November 19, 2012, as set forth by the Issuer in its Quarterly Report on Form 10Q filed with the Securities and Exchange Commission on November 19, 2012.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Security and Issuer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13D relates to the common stock, par value $.001 per share (the “Common Stock”), of TapImmune, Inc., a Nevada corporation (the “Issuer”). The address of the principal executive offices of the Issuer is 1551 Eastlake Avenue East, Suite 100, Seattle, Washington 98102.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Identity and Background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2"/>
        <w:gridCol w:w="377"/>
        <w:gridCol w:w="9776"/>
      </w:tblGrid>
      <w:tr>
        <w:trPr/>
        <w:tc>
          <w:tcPr>
            <w:tcW w:w="52"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pPr>
            <w:r>
              <w:rPr/>
              <w:t>(a)</w:t>
            </w:r>
          </w:p>
        </w:tc>
        <w:tc>
          <w:tcPr>
            <w:tcW w:w="9776" w:type="dxa"/>
            <w:tcBorders/>
            <w:shd w:fill="auto" w:val="clear"/>
            <w:vAlign w:val="center"/>
          </w:tcPr>
          <w:p>
            <w:pPr>
              <w:pStyle w:val="TableContents"/>
              <w:spacing w:before="0" w:after="283"/>
              <w:rPr/>
            </w:pPr>
            <w:r>
              <w:rPr/>
              <w:t>This statement is being filed by Michael Gardner (the “Reporting Person”).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70"/>
        <w:gridCol w:w="9898"/>
      </w:tblGrid>
      <w:tr>
        <w:trPr/>
        <w:tc>
          <w:tcPr>
            <w:tcW w:w="3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pPr>
            <w:r>
              <w:rPr/>
              <w:t>(b)</w:t>
            </w:r>
          </w:p>
        </w:tc>
        <w:tc>
          <w:tcPr>
            <w:tcW w:w="9898" w:type="dxa"/>
            <w:tcBorders/>
            <w:shd w:fill="auto" w:val="clear"/>
            <w:vAlign w:val="center"/>
          </w:tcPr>
          <w:p>
            <w:pPr>
              <w:pStyle w:val="TableContents"/>
              <w:spacing w:before="0" w:after="283"/>
              <w:rPr/>
            </w:pPr>
            <w:r>
              <w:rPr/>
              <w:t>The business address of the Reporting Person is: c/o Baytree Capital Associates LLC, 40 Wall Street, 58</w:t>
            </w:r>
            <w:r>
              <w:rPr>
                <w:position w:val="8"/>
                <w:sz w:val="19"/>
              </w:rPr>
              <w:t>th</w:t>
            </w:r>
            <w:r>
              <w:rPr/>
              <w:t xml:space="preserve"> Floor, New York, NY 10005.</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4"/>
        <w:gridCol w:w="9924"/>
      </w:tblGrid>
      <w:tr>
        <w:trPr/>
        <w:tc>
          <w:tcPr>
            <w:tcW w:w="3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pPr>
            <w:r>
              <w:rPr/>
              <w:t>(c)</w:t>
            </w:r>
          </w:p>
        </w:tc>
        <w:tc>
          <w:tcPr>
            <w:tcW w:w="9924" w:type="dxa"/>
            <w:tcBorders/>
            <w:shd w:fill="auto" w:val="clear"/>
            <w:vAlign w:val="center"/>
          </w:tcPr>
          <w:p>
            <w:pPr>
              <w:pStyle w:val="TableContents"/>
              <w:spacing w:before="0" w:after="283"/>
              <w:rPr/>
            </w:pPr>
            <w:r>
              <w:rPr/>
              <w:t>The Reporting Person is the managing member of Baytree Capital Associates LLC, a financial advisory firm, located at 40 Wall Street, 58</w:t>
            </w:r>
            <w:r>
              <w:rPr>
                <w:position w:val="8"/>
                <w:sz w:val="19"/>
              </w:rPr>
              <w:t>th</w:t>
            </w:r>
            <w:r>
              <w:rPr/>
              <w:t xml:space="preserve"> Floor, New York, NY 10005.</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4"/>
        <w:gridCol w:w="9904"/>
      </w:tblGrid>
      <w:tr>
        <w:trPr/>
        <w:tc>
          <w:tcPr>
            <w:tcW w:w="3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pPr>
            <w:r>
              <w:rPr/>
              <w:t>(d)</w:t>
            </w:r>
          </w:p>
        </w:tc>
        <w:tc>
          <w:tcPr>
            <w:tcW w:w="9904" w:type="dxa"/>
            <w:tcBorders/>
            <w:shd w:fill="auto" w:val="clear"/>
            <w:vAlign w:val="center"/>
          </w:tcPr>
          <w:p>
            <w:pPr>
              <w:pStyle w:val="TableContents"/>
              <w:spacing w:before="0" w:after="283"/>
              <w:rPr/>
            </w:pPr>
            <w:r>
              <w:rPr/>
              <w:t>During the past five years the Reporting Person has not been convicted in a criminal proceeding (excluding traffic violations or similar misdemeanors).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7"/>
        <w:gridCol w:w="9951"/>
      </w:tblGrid>
      <w:tr>
        <w:trPr/>
        <w:tc>
          <w:tcPr>
            <w:tcW w:w="3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pPr>
            <w:r>
              <w:rPr/>
              <w:t>(e)</w:t>
            </w:r>
          </w:p>
        </w:tc>
        <w:tc>
          <w:tcPr>
            <w:tcW w:w="9951" w:type="dxa"/>
            <w:tcBorders/>
            <w:shd w:fill="auto" w:val="clear"/>
            <w:vAlign w:val="center"/>
          </w:tcPr>
          <w:p>
            <w:pPr>
              <w:pStyle w:val="TableContents"/>
              <w:spacing w:before="0" w:after="283"/>
              <w:rPr/>
            </w:pPr>
            <w:r>
              <w:rPr/>
              <w:t>During the past five years, the Reporting Persons has not been a party to a civil proceeding of a judicial or administrative body of competent jurisdiction as a result of which such person was or is subject to a judgment, decree or final order enjoining future violations of or prohibiting or mandating activity subject to federal or state securities laws or finding any violation with respect to such laws.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9"/>
        <w:gridCol w:w="381"/>
        <w:gridCol w:w="9765"/>
      </w:tblGrid>
      <w:tr>
        <w:trPr/>
        <w:tc>
          <w:tcPr>
            <w:tcW w:w="5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pPr>
            <w:r>
              <w:rPr/>
              <w:t>(f)</w:t>
            </w:r>
          </w:p>
        </w:tc>
        <w:tc>
          <w:tcPr>
            <w:tcW w:w="9765" w:type="dxa"/>
            <w:tcBorders/>
            <w:shd w:fill="auto" w:val="clear"/>
            <w:vAlign w:val="center"/>
          </w:tcPr>
          <w:p>
            <w:pPr>
              <w:pStyle w:val="TableContents"/>
              <w:spacing w:before="0" w:after="283"/>
              <w:rPr/>
            </w:pPr>
            <w:r>
              <w:rPr/>
              <w:t>The Reporting Person is a citizen of the United States of America.</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Source and Amount of Funds or Other Consideration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2012, the Issuer entered into an agreement with the Reporting Person for business and financial consulting services (the “Consulting Agreement”). In accordance with the terms of the Consulting Agreement, the Issuer agreed to pay the Reporting Person in shares of its Common Stock equal to 9.9% of the fully diluted capitalization of the Issuer. On May 12, 2011, the Reporting Person was issued 5,600,000 shares of the Issuer’s Common Stock (the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Purpose of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acquired by the Reporting Person as compensation and for investment purposes only, in accordance with the Consulting Agreement referenced in Item 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 in Securities of the Issuer</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5"/>
        <w:gridCol w:w="9923"/>
      </w:tblGrid>
      <w:tr>
        <w:trPr/>
        <w:tc>
          <w:tcPr>
            <w:tcW w:w="3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pPr>
            <w:r>
              <w:rPr/>
              <w:t>(a)</w:t>
            </w:r>
          </w:p>
        </w:tc>
        <w:tc>
          <w:tcPr>
            <w:tcW w:w="9923" w:type="dxa"/>
            <w:tcBorders/>
            <w:shd w:fill="auto" w:val="clear"/>
            <w:vAlign w:val="center"/>
          </w:tcPr>
          <w:p>
            <w:pPr>
              <w:pStyle w:val="TableContents"/>
              <w:spacing w:before="0" w:after="283"/>
              <w:rPr/>
            </w:pPr>
            <w:r>
              <w:rPr/>
              <w:t>See Items 11 and 13 of the cover page to this Schedule 13D for the aggregate number and percentage of Common Stock beneficially owned by the Reporting Person.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5"/>
        <w:gridCol w:w="9933"/>
      </w:tblGrid>
      <w:tr>
        <w:trPr/>
        <w:tc>
          <w:tcPr>
            <w:tcW w:w="3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pPr>
            <w:r>
              <w:rPr/>
              <w:t>(b)</w:t>
            </w:r>
          </w:p>
        </w:tc>
        <w:tc>
          <w:tcPr>
            <w:tcW w:w="9933" w:type="dxa"/>
            <w:tcBorders/>
            <w:shd w:fill="auto" w:val="clear"/>
            <w:vAlign w:val="center"/>
          </w:tcPr>
          <w:p>
            <w:pPr>
              <w:pStyle w:val="TableContents"/>
              <w:spacing w:before="0" w:after="283"/>
              <w:rPr/>
            </w:pPr>
            <w:r>
              <w:rPr/>
              <w:t>See Items 7 through 10 of the cover page to this Schedule 13D for the number of shares of Common Stock beneficially owned by the Reporting Person as to which there is sole power to vote or to direct the vote, shared power to vote or to direct the vote, sole power to dispose or to direct the disposition and shared power to dispose or to direct the disposition.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6"/>
        <w:gridCol w:w="1570"/>
        <w:gridCol w:w="8419"/>
      </w:tblGrid>
      <w:tr>
        <w:trPr/>
        <w:tc>
          <w:tcPr>
            <w:tcW w:w="216"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pPr>
            <w:r>
              <w:rPr/>
              <w:t>(c)</w:t>
            </w:r>
          </w:p>
        </w:tc>
        <w:tc>
          <w:tcPr>
            <w:tcW w:w="8419" w:type="dxa"/>
            <w:tcBorders/>
            <w:shd w:fill="auto" w:val="clear"/>
            <w:vAlign w:val="center"/>
          </w:tcPr>
          <w:p>
            <w:pPr>
              <w:pStyle w:val="TableContents"/>
              <w:spacing w:before="0" w:after="283"/>
              <w:rPr/>
            </w:pPr>
            <w:r>
              <w:rPr/>
              <w:t>Not applicable.</w:t>
            </w:r>
          </w:p>
        </w:tc>
      </w:tr>
    </w:tbl>
    <w:p>
      <w:pPr>
        <w:pStyle w:val="TextBody"/>
        <w:spacing w:before="0" w:after="0"/>
        <w:ind w:left="72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5"/>
        <w:gridCol w:w="1641"/>
        <w:gridCol w:w="8349"/>
      </w:tblGrid>
      <w:tr>
        <w:trPr/>
        <w:tc>
          <w:tcPr>
            <w:tcW w:w="215"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pPr>
            <w:r>
              <w:rPr/>
              <w:t>(d)</w:t>
            </w:r>
          </w:p>
        </w:tc>
        <w:tc>
          <w:tcPr>
            <w:tcW w:w="8349" w:type="dxa"/>
            <w:tcBorders/>
            <w:shd w:fill="auto" w:val="clear"/>
            <w:vAlign w:val="center"/>
          </w:tcPr>
          <w:p>
            <w:pPr>
              <w:pStyle w:val="TableContents"/>
              <w:spacing w:before="0" w:after="283"/>
              <w:rPr/>
            </w:pPr>
            <w:r>
              <w:rPr/>
              <w:t>Not applicable.</w:t>
            </w:r>
          </w:p>
        </w:tc>
      </w:tr>
    </w:tbl>
    <w:p>
      <w:pPr>
        <w:pStyle w:val="TextBody"/>
        <w:spacing w:before="0" w:after="0"/>
        <w:ind w:left="72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6"/>
        <w:gridCol w:w="1570"/>
        <w:gridCol w:w="8419"/>
      </w:tblGrid>
      <w:tr>
        <w:trPr/>
        <w:tc>
          <w:tcPr>
            <w:tcW w:w="216"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pPr>
            <w:r>
              <w:rPr/>
              <w:t>(e)</w:t>
            </w:r>
          </w:p>
        </w:tc>
        <w:tc>
          <w:tcPr>
            <w:tcW w:w="8419" w:type="dxa"/>
            <w:tcBorders/>
            <w:shd w:fill="auto" w:val="clear"/>
            <w:vAlign w:val="center"/>
          </w:tcPr>
          <w:p>
            <w:pPr>
              <w:pStyle w:val="TableContents"/>
              <w:spacing w:before="0" w:after="283"/>
              <w:rPr/>
            </w:pPr>
            <w:r>
              <w:rPr/>
              <w:t>Not applicable.</w:t>
            </w:r>
          </w:p>
        </w:tc>
      </w:tr>
    </w:tbl>
    <w:p>
      <w:pPr>
        <w:pStyle w:val="TextBody"/>
        <w:spacing w:before="0" w:after="0"/>
        <w:ind w:left="0" w:right="0" w:hanging="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Contracts, Arrangements, Understandings or Relationships with Respect to Securities of the Issuer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herein, the Reporting Person does not have any contract, arrangement, understanding or relationship (legal or otherwise) with respect to any securities of the Issuer including, but not limited to, transfer or voting of any of the securities, finder’s fees, joint ventures, loan or option arrangements, puts or calls, guarantees of profits, division of profits or loss, or the giving or withholding of proxies. The Reporting Person has not pledged any securities of the Issuer nor does the Reporting Person hold any securities of the Issuer, other than as disclosed herein, subject to a contingency, the occurrence of which would give another person voting power or investment power over such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Material to be Filed as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SIGNATURE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3435" w:type="dxa"/>
        <w:jc w:val="left"/>
        <w:tblInd w:w="0" w:type="dxa"/>
        <w:tblCellMar>
          <w:top w:w="0" w:type="dxa"/>
          <w:left w:w="0" w:type="dxa"/>
          <w:bottom w:w="0" w:type="dxa"/>
          <w:right w:w="0" w:type="dxa"/>
        </w:tblCellMar>
      </w:tblPr>
      <w:tblGrid>
        <w:gridCol w:w="1565"/>
        <w:gridCol w:w="470"/>
        <w:gridCol w:w="1400"/>
      </w:tblGrid>
      <w:tr>
        <w:trPr/>
        <w:tc>
          <w:tcPr>
            <w:tcW w:w="1565" w:type="dxa"/>
            <w:tcBorders/>
            <w:shd w:fill="auto" w:val="clear"/>
            <w:vAlign w:val="center"/>
          </w:tcPr>
          <w:p>
            <w:pPr>
              <w:pStyle w:val="TableContents"/>
              <w:spacing w:before="0" w:after="283"/>
              <w:rPr>
                <w:sz w:val="17"/>
              </w:rPr>
            </w:pPr>
            <w:r>
              <w:rPr>
                <w:sz w:val="17"/>
              </w:rPr>
              <w:t>Date: January 7, 2013</w:t>
            </w:r>
          </w:p>
        </w:tc>
        <w:tc>
          <w:tcPr>
            <w:tcW w:w="470" w:type="dxa"/>
            <w:tcBorders/>
            <w:shd w:fill="auto" w:val="clear"/>
            <w:vAlign w:val="center"/>
          </w:tcPr>
          <w:p>
            <w:pPr>
              <w:pStyle w:val="TableContents"/>
              <w:spacing w:before="0" w:after="283"/>
              <w:rPr>
                <w:sz w:val="17"/>
              </w:rPr>
            </w:pPr>
            <w:r>
              <w:rPr>
                <w:sz w:val="17"/>
              </w:rPr>
              <w:t>By:</w:t>
            </w:r>
          </w:p>
        </w:tc>
        <w:tc>
          <w:tcPr>
            <w:tcW w:w="1400" w:type="dxa"/>
            <w:tcBorders>
              <w:bottom w:val="single" w:sz="8" w:space="0" w:color="000000"/>
            </w:tcBorders>
            <w:shd w:fill="auto" w:val="clear"/>
            <w:tcMar>
              <w:bottom w:w="28" w:type="dxa"/>
            </w:tcMar>
            <w:vAlign w:val="center"/>
          </w:tcPr>
          <w:p>
            <w:pPr>
              <w:pStyle w:val="TableContents"/>
              <w:spacing w:before="0" w:after="283"/>
              <w:rPr>
                <w:sz w:val="17"/>
              </w:rPr>
            </w:pPr>
            <w:r>
              <w:rPr>
                <w:sz w:val="17"/>
              </w:rPr>
              <w:t>/s/ Michael Gardner</w:t>
            </w:r>
          </w:p>
        </w:tc>
      </w:tr>
      <w:tr>
        <w:trPr/>
        <w:tc>
          <w:tcPr>
            <w:tcW w:w="156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sz w:val="17"/>
              </w:rPr>
            </w:pPr>
            <w:r>
              <w:rPr>
                <w:sz w:val="17"/>
              </w:rPr>
              <w:t>Name:</w:t>
            </w:r>
          </w:p>
        </w:tc>
        <w:tc>
          <w:tcPr>
            <w:tcW w:w="1400" w:type="dxa"/>
            <w:tcBorders/>
            <w:shd w:fill="auto" w:val="clear"/>
            <w:vAlign w:val="center"/>
          </w:tcPr>
          <w:p>
            <w:pPr>
              <w:pStyle w:val="TableContents"/>
              <w:spacing w:before="0" w:after="283"/>
              <w:rPr>
                <w:sz w:val="17"/>
              </w:rPr>
            </w:pPr>
            <w:r>
              <w:rPr>
                <w:sz w:val="17"/>
              </w:rPr>
              <w:t>Michael Gardner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1063</Words>
  <CharactersWithSpaces>6396</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