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013946-2_def14a.htm"/>
        <w:bookmarkStart w:id="1" w:name="kstm2013946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437"/>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SCHEDULE 14A INFORMATION </w:t>
      </w:r>
    </w:p>
    <w:p>
      <w:pPr>
        <w:pStyle w:val="TextBody"/>
        <w:spacing w:lineRule="atLeast" w:line="240" w:before="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Securities Exchange Act of 1934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(Amendment No.</w:t>
      </w:r>
      <w:r>
        <w:rPr>
          <w:rFonts w:ascii="Times New Roman;Times;serif" w:hAnsi="Times New Roman;Times;serif"/>
          <w:b w:val="false"/>
          <w:i w:val="false"/>
          <w:caps w:val="false"/>
          <w:smallCaps w:val="false"/>
          <w:color w:val="000000"/>
          <w:spacing w:val="4"/>
          <w:sz w:val="20"/>
          <w:u w:val="single"/>
        </w:rPr>
        <w:t>  </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0"/>
        <w:ind w:left="547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152400" distB="0" distL="0" distR="0" simplePos="0" locked="0" layoutInCell="1" allowOverlap="1" relativeHeight="2">
                <wp:simplePos x="0" y="0"/>
                <wp:positionH relativeFrom="column">
                  <wp:align>left</wp:align>
                </wp:positionH>
                <wp:positionV relativeFrom="line">
                  <wp:align>top</wp:align>
                </wp:positionV>
                <wp:extent cx="25908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90800" cy="350520"/>
                        </a:xfrm>
                        <a:prstGeom prst="rect"/>
                      </wps:spPr>
                      <wps:txbx>
                        <w:txbxContent>
                          <w:p>
                            <w:pPr>
                              <w:pStyle w:val="TextBody"/>
                              <w:spacing w:lineRule="atLeast" w:line="240" w:before="0" w:after="283"/>
                              <w:jc w:val="left"/>
                              <w:rPr/>
                            </w:pPr>
                            <w:r>
                              <w:rPr>
                                <w:spacing w:val="4"/>
                              </w:rPr>
                              <w:t>Filed by the Registrant</w:t>
                            </w:r>
                            <w:r>
                              <w:rPr/>
                              <w:t xml:space="preserve"> </w:t>
                              <w:br/>
                            </w:r>
                          </w:p>
                        </w:txbxContent>
                      </wps:txbx>
                      <wps:bodyPr anchor="t" lIns="0" tIns="0" rIns="0" bIns="0">
                        <a:noAutofit/>
                      </wps:bodyPr>
                    </wps:wsp>
                  </a:graphicData>
                </a:graphic>
              </wp:anchor>
            </w:drawing>
          </mc:Choice>
          <mc:Fallback>
            <w:pict>
              <v:rect style="position:absolute;rotation:0;width:204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Filed by the Registrant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547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590800" cy="525780"/>
                <wp:effectExtent l="0" t="0" r="0" b="0"/>
                <wp:wrapSquare wrapText="largest"/>
                <wp:docPr id="2" name="Frame2"/>
                <a:graphic xmlns:a="http://schemas.openxmlformats.org/drawingml/2006/main">
                  <a:graphicData uri="http://schemas.microsoft.com/office/word/2010/wordprocessingShape">
                    <wps:wsp>
                      <wps:cNvSpPr txBox="1"/>
                      <wps:spPr>
                        <a:xfrm>
                          <a:off x="0" y="0"/>
                          <a:ext cx="2590800" cy="525780"/>
                        </a:xfrm>
                        <a:prstGeom prst="rect"/>
                      </wps:spPr>
                      <wps:txbx>
                        <w:txbxContent>
                          <w:p>
                            <w:pPr>
                              <w:pStyle w:val="TextBody"/>
                              <w:spacing w:lineRule="atLeast" w:line="240" w:before="0" w:after="283"/>
                              <w:jc w:val="left"/>
                              <w:rPr/>
                            </w:pPr>
                            <w:r>
                              <w:rPr>
                                <w:spacing w:val="4"/>
                              </w:rPr>
                              <w:t>Filed by a Party other than the Registrant</w:t>
                            </w:r>
                            <w:r>
                              <w:rPr/>
                              <w:t xml:space="preserve"> </w:t>
                              <w:br/>
                            </w:r>
                          </w:p>
                        </w:txbxContent>
                      </wps:txbx>
                      <wps:bodyPr anchor="t" lIns="0" tIns="0" rIns="0" bIns="0">
                        <a:noAutofit/>
                      </wps:bodyPr>
                    </wps:wsp>
                  </a:graphicData>
                </a:graphic>
              </wp:anchor>
            </w:drawing>
          </mc:Choice>
          <mc:Fallback>
            <w:pict>
              <v:rect style="position:absolute;rotation:0;width:20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Filed by a Party other than the Registrant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24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52400" distB="0" distL="0" distR="0" simplePos="0" locked="0" layoutInCell="1" allowOverlap="1" relativeHeight="6">
                <wp:simplePos x="0" y="0"/>
                <wp:positionH relativeFrom="column">
                  <wp:align>left</wp:align>
                </wp:positionH>
                <wp:positionV relativeFrom="line">
                  <wp:align>top</wp:align>
                </wp:positionV>
                <wp:extent cx="4826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826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3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826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826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3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 240.14a-12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826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Marker Therapeutics, Inc.</w:t>
      </w:r>
      <w:r>
        <w:rPr>
          <w:rFonts w:ascii="Times New Roman;Times;serif" w:hAnsi="Times New Roman;Times;serif"/>
          <w:b/>
          <w:i w:val="false"/>
          <w:caps w:val="false"/>
          <w:smallCaps w:val="false"/>
          <w:color w:val="000000"/>
          <w:sz w:val="2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spacing w:lineRule="atLeast" w:line="240" w:before="3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spacing w:lineRule="atLeast" w:line="240" w:before="16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4826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below per Exchange Act Rules 14a-6(i)(1) and 0-11.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82600" cy="350520"/>
                <wp:effectExtent l="0" t="0" r="0" b="0"/>
                <wp:wrapSquare wrapText="largest"/>
                <wp:docPr id="9" name="Frame9"/>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38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of each class of securities to which transaction applies: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Aggregate number of securities to which transaction applies: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 unit price or other underlying value of transaction computed pursuant to Exchange Act Rule 0-11 (Set forth the amount on which the filing fee is calculated and state how it was determined):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Proposed maximum aggregate value of transaction: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fee paid: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80"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77800" distB="0" distL="0" distR="0" simplePos="0" locked="0" layoutInCell="1" allowOverlap="1" relativeHeight="16">
                <wp:simplePos x="0" y="0"/>
                <wp:positionH relativeFrom="column">
                  <wp:align>left</wp:align>
                </wp:positionH>
                <wp:positionV relativeFrom="line">
                  <wp:align>top</wp:align>
                </wp:positionV>
                <wp:extent cx="482600" cy="350520"/>
                <wp:effectExtent l="0" t="0" r="0" b="0"/>
                <wp:wrapSquare wrapText="largest"/>
                <wp:docPr id="10" name="Frame10"/>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0" w:after="0"/>
        <w:ind w:left="215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82600" cy="350520"/>
                <wp:effectExtent l="0" t="0" r="0" b="0"/>
                <wp:wrapSquare wrapText="largest"/>
                <wp:docPr id="11" name="Frame11"/>
                <a:graphic xmlns:a="http://schemas.openxmlformats.org/drawingml/2006/main">
                  <a:graphicData uri="http://schemas.microsoft.com/office/word/2010/wordprocessingShape">
                    <wps:wsp>
                      <wps:cNvSpPr txBox="1"/>
                      <wps:spPr>
                        <a:xfrm>
                          <a:off x="0" y="0"/>
                          <a:ext cx="4826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38pt;height:27.6pt;mso-wrap-distance-left:0pt;mso-wrap-distance-right:0pt;mso-wrap-distance-top:0pt;mso-wrap-distance-bottom:0pt;margin-top:0pt;mso-position-vertical:top;mso-position-vertical-relative:text;margin-left:38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Previously Paid: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Schedule or Registration Statement No.: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Party: </w:t>
      </w:r>
    </w:p>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Filed: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60" w:after="283"/>
        <w:ind w:left="1393" w:right="0" w:hanging="0"/>
        <w:jc w:val="center"/>
        <w:rPr>
          <w:caps w:val="false"/>
          <w:smallCaps w:val="false"/>
          <w:color w:val="000000"/>
        </w:rPr>
      </w:pPr>
      <w:r>
        <w:rPr>
          <w:caps w:val="false"/>
          <w:smallCaps w:val="false"/>
          <w:color w:val="000000"/>
        </w:rPr>
        <w:drawing>
          <wp:inline distT="0" distB="0" distL="0" distR="0">
            <wp:extent cx="2695575" cy="7905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695575" cy="790575"/>
                    </a:xfrm>
                    <a:prstGeom prst="rect">
                      <a:avLst/>
                    </a:prstGeom>
                  </pic:spPr>
                </pic:pic>
              </a:graphicData>
            </a:graphic>
          </wp:inline>
        </w:drawing>
      </w:r>
      <w:r>
        <w:rPr>
          <w:caps w:val="false"/>
          <w:smallCaps w:val="false"/>
          <w:color w:val="000000"/>
        </w:rPr>
        <w:t xml:space="preserve"> </w:t>
      </w:r>
    </w:p>
    <w:p>
      <w:pPr>
        <w:pStyle w:val="TextBody"/>
        <w:spacing w:lineRule="atLeast" w:line="240" w:before="34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3200 Southwest Freeway, Suite 2240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77027 </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NOTICE OF ANNUAL MEETING OF STOCKHOLDERS </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To Be Held On May 19, 2020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are cordially invited to attend the Annual Meeting of Stockholders of </w:t>
      </w:r>
      <w:r>
        <w:rPr>
          <w:rFonts w:ascii="Times New Roman;Times;serif" w:hAnsi="Times New Roman;Times;serif"/>
          <w:b/>
          <w:i w:val="false"/>
          <w:caps/>
          <w:color w:val="000000"/>
          <w:spacing w:val="4"/>
          <w:sz w:val="20"/>
        </w:rPr>
        <w:t>M</w:t>
      </w:r>
      <w:r>
        <w:rPr>
          <w:rFonts w:ascii="Times New Roman;Times;serif" w:hAnsi="Times New Roman;Times;serif"/>
          <w:b/>
          <w:i w:val="false"/>
          <w:caps/>
          <w:color w:val="000000"/>
          <w:spacing w:val="4"/>
          <w:sz w:val="14"/>
        </w:rPr>
        <w:t>arker</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herapeutics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nc</w:t>
      </w:r>
      <w:r>
        <w:rPr>
          <w:rFonts w:ascii="Times New Roman;Times;serif" w:hAnsi="Times New Roman;Times;serif"/>
          <w:b/>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a Delaware corporation (the “Company”). The meeting will be held on Tuesday, May 19, 2020 at 8:00 a.m. Central Time and will be a virtual stockholder meeting through which you can listen to the meeting, submit questions and vote online. You must register for the virtual meeting via </w:t>
      </w:r>
      <w:r>
        <w:rPr>
          <w:rFonts w:ascii="Times New Roman;Times;serif" w:hAnsi="Times New Roman;Times;serif"/>
          <w:b w:val="false"/>
          <w:i/>
          <w:caps w:val="false"/>
          <w:smallCaps w:val="false"/>
          <w:color w:val="000000"/>
          <w:spacing w:val="4"/>
          <w:sz w:val="20"/>
        </w:rPr>
        <w:t>http://viewproxy.com/marker/2020</w:t>
      </w:r>
      <w:r>
        <w:rPr>
          <w:rFonts w:ascii="Times New Roman;Times;serif" w:hAnsi="Times New Roman;Times;serif"/>
          <w:b w:val="false"/>
          <w:i w:val="false"/>
          <w:caps w:val="false"/>
          <w:smallCaps w:val="false"/>
          <w:color w:val="000000"/>
          <w:spacing w:val="4"/>
          <w:sz w:val="20"/>
        </w:rPr>
        <w:t xml:space="preserve"> no later than 11:59 p.m. Eastern Time on Thursday, May 14, 2020</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meeting will be held for the following purposes: </w:t>
      </w:r>
    </w:p>
    <w:p>
      <w:pPr>
        <w:pStyle w:val="TextBody"/>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elect the Board’s seven nominees for director to hold office until the next Annual Meeting of Stockholders. </w:t>
      </w:r>
    </w:p>
    <w:p>
      <w:pPr>
        <w:pStyle w:val="TextBody"/>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2. To approve, on an advisory basis, the compensation of the Company’s named executive officers, as disclosed in this proxy statement. </w:t>
      </w:r>
    </w:p>
    <w:p>
      <w:pPr>
        <w:pStyle w:val="TextBody"/>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ratify the selection by the Audit Committee of the Board of Directors of Marcum LLP as the independent registered public accounting firm of the Company for its fiscal year ending December 31, 2020. </w:t>
      </w:r>
    </w:p>
    <w:p>
      <w:pPr>
        <w:pStyle w:val="TextBody"/>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approve the Company’s 2020 Equity Incentive Plan. </w:t>
      </w:r>
    </w:p>
    <w:p>
      <w:pPr>
        <w:pStyle w:val="TextBody"/>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5. To conduct any other business properly brought before the meeting.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items of business are more fully described in the Proxy Statement accompanying this Notice.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the Annual Meeting is March 20, 2020. Only stockholders of record at the close of business on that date may vote at the meeting or any adjournment thereof. </w:t>
      </w:r>
    </w:p>
    <w:tbl>
      <w:tblPr>
        <w:tblW w:w="7005" w:type="dxa"/>
        <w:jc w:val="left"/>
        <w:tblInd w:w="1393" w:type="dxa"/>
        <w:tblCellMar>
          <w:top w:w="0" w:type="dxa"/>
          <w:left w:w="0" w:type="dxa"/>
          <w:bottom w:w="0" w:type="dxa"/>
          <w:right w:w="0" w:type="dxa"/>
        </w:tblCellMar>
      </w:tblPr>
      <w:tblGrid>
        <w:gridCol w:w="124"/>
        <w:gridCol w:w="109"/>
        <w:gridCol w:w="65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509" w:type="dxa"/>
            <w:tcBorders/>
            <w:shd w:fill="auto" w:val="clear"/>
            <w:vAlign w:val="center"/>
          </w:tcPr>
          <w:p>
            <w:pPr>
              <w:pStyle w:val="TableContents"/>
              <w:spacing w:before="0" w:after="0"/>
              <w:jc w:val="center"/>
              <w:rPr/>
            </w:pPr>
            <w:r>
              <w:rPr>
                <w:spacing w:val="4"/>
              </w:rPr>
              <w:t>Important Notice Regarding the Availability of Proxy Materials</w:t>
            </w:r>
            <w:r>
              <w:rPr/>
              <w:t xml:space="preserve"> </w:t>
              <w:br/>
            </w:r>
            <w:r>
              <w:rPr>
                <w:spacing w:val="4"/>
              </w:rPr>
              <w:t>for the Virtual Annual Meeting of Stockholders</w:t>
            </w:r>
            <w:r>
              <w:rPr/>
              <w:t xml:space="preserve"> </w:t>
              <w:br/>
            </w:r>
            <w:r>
              <w:rPr>
                <w:spacing w:val="4"/>
              </w:rPr>
              <w:t>to Be Held on Tuesday, May 19, 2020 at 8:00 a.m. Central Time.</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509" w:type="dxa"/>
            <w:tcBorders/>
            <w:shd w:fill="auto" w:val="clear"/>
            <w:vAlign w:val="center"/>
          </w:tcPr>
          <w:p>
            <w:pPr>
              <w:pStyle w:val="TableContents"/>
              <w:spacing w:before="0" w:after="0"/>
              <w:jc w:val="center"/>
              <w:rPr/>
            </w:pPr>
            <w:r>
              <w:rPr>
                <w:spacing w:val="4"/>
              </w:rPr>
              <w:t xml:space="preserve">The proxy statement and annual report to stockholders </w:t>
            </w:r>
            <w:r>
              <w:rPr/>
              <w:br/>
            </w:r>
            <w:r>
              <w:rPr>
                <w:spacing w:val="4"/>
              </w:rPr>
              <w:t xml:space="preserve">are available at </w:t>
            </w:r>
            <w:r>
              <w:rPr>
                <w:i/>
                <w:spacing w:val="4"/>
              </w:rPr>
              <w:t>http://www.astproxyportal.com/ast/22890</w:t>
            </w:r>
            <w:r>
              <w:rPr>
                <w:spacing w:val="4"/>
              </w:rPr>
              <w:t>.</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5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spacing w:before="200" w:after="283"/>
        <w:rPr>
          <w:caps w:val="false"/>
          <w:smallCaps w:val="false"/>
          <w:color w:val="000000"/>
        </w:rPr>
      </w:pPr>
      <w:r>
        <w:rPr>
          <w:caps w:val="false"/>
          <w:smallCaps w:val="false"/>
          <w:color w:val="000000"/>
        </w:rPr>
        <w:drawing>
          <wp:inline distT="0" distB="0" distL="0" distR="0">
            <wp:extent cx="904875" cy="40957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04875" cy="409575"/>
                    </a:xfrm>
                    <a:prstGeom prst="rect">
                      <a:avLst/>
                    </a:prstGeom>
                  </pic:spPr>
                </pic:pic>
              </a:graphicData>
            </a:graphic>
          </wp:inline>
        </w:drawing>
      </w:r>
      <w:r>
        <w:rPr>
          <w:caps w:val="false"/>
          <w:smallCaps w:val="false"/>
          <w:color w:val="000000"/>
        </w:rPr>
        <w:t xml:space="preserve"> </w:t>
      </w:r>
    </w:p>
    <w:p>
      <w:pPr>
        <w:pStyle w:val="TextBody"/>
        <w:spacing w:lineRule="atLeast" w:line="240" w:before="2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Michael J. Loiacono</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Houston, TX</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April 17, 2020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8316"/>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316" w:type="dxa"/>
            <w:tcBorders/>
            <w:shd w:fill="auto" w:val="clear"/>
            <w:vAlign w:val="center"/>
          </w:tcPr>
          <w:p>
            <w:pPr>
              <w:pStyle w:val="TableContents"/>
              <w:spacing w:before="0" w:after="0"/>
              <w:jc w:val="both"/>
              <w:rPr/>
            </w:pPr>
            <w:r>
              <w:rPr>
                <w:spacing w:val="4"/>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legal proxy issued in your name from that record holder.</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67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Table of Contents </w:t>
      </w:r>
    </w:p>
    <w:tbl>
      <w:tblPr>
        <w:tblW w:w="8812" w:type="dxa"/>
        <w:jc w:val="left"/>
        <w:tblInd w:w="1393" w:type="dxa"/>
        <w:tblCellMar>
          <w:top w:w="0" w:type="dxa"/>
          <w:left w:w="0" w:type="dxa"/>
          <w:bottom w:w="0" w:type="dxa"/>
          <w:right w:w="0" w:type="dxa"/>
        </w:tblCellMar>
      </w:tblPr>
      <w:tblGrid>
        <w:gridCol w:w="7827"/>
        <w:gridCol w:w="109"/>
        <w:gridCol w:w="109"/>
        <w:gridCol w:w="612"/>
        <w:gridCol w:w="155"/>
      </w:tblGrid>
      <w:tr>
        <w:trPr/>
        <w:tc>
          <w:tcPr>
            <w:tcW w:w="782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center"/>
              <w:rPr>
                <w:spacing w:val="3"/>
              </w:rPr>
            </w:pPr>
            <w:r>
              <w:rPr>
                <w:spacing w:val="3"/>
              </w:rPr>
              <w:t xml:space="preserve">Page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QAAA">
              <w:r>
                <w:rPr>
                  <w:rStyle w:val="InternetLink"/>
                  <w:spacing w:val="4"/>
                </w:rPr>
                <w:t xml:space="preserve">QUESTIONS AND ANSWERS ABOUT THESE PROXY MATERIALS AND VOTING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QAAA">
              <w:r>
                <w:rPr>
                  <w:rStyle w:val="InternetLink"/>
                  <w:spacing w:val="4"/>
                </w:rPr>
                <w:t>1</w:t>
              </w:r>
            </w:hyperlink>
            <w:hyperlink w:anchor="tQAAA">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PR1">
              <w:r>
                <w:rPr>
                  <w:rStyle w:val="InternetLink"/>
                  <w:spacing w:val="4"/>
                </w:rPr>
                <w:t xml:space="preserve">PROPOSAL 1 ELECTION OF 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PR1">
              <w:r>
                <w:rPr>
                  <w:rStyle w:val="InternetLink"/>
                  <w:spacing w:val="4"/>
                </w:rPr>
                <w:t>7</w:t>
              </w:r>
            </w:hyperlink>
            <w:hyperlink w:anchor="tPR1">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283"/>
              <w:rPr/>
            </w:pPr>
            <w:hyperlink w:anchor="tIRCO">
              <w:r>
                <w:rPr>
                  <w:rStyle w:val="InternetLink"/>
                  <w:spacing w:val="4"/>
                </w:rPr>
                <w:t xml:space="preserve">INFORMATION REGARDING THE BOARD OF DIRECTORS AND CORPORATE GOVERNANCE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IRCO">
              <w:r>
                <w:rPr>
                  <w:rStyle w:val="InternetLink"/>
                  <w:spacing w:val="4"/>
                </w:rPr>
                <w:t>10</w:t>
              </w:r>
            </w:hyperlink>
            <w:hyperlink w:anchor="tIRCO">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PR2">
              <w:r>
                <w:rPr>
                  <w:rStyle w:val="InternetLink"/>
                  <w:spacing w:val="4"/>
                </w:rPr>
                <w:t xml:space="preserve">PROPOSAL 2 ADVISORY VOTE ON EXECUTIVE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PR2">
              <w:r>
                <w:rPr>
                  <w:rStyle w:val="InternetLink"/>
                  <w:spacing w:val="4"/>
                </w:rPr>
                <w:t>15</w:t>
              </w:r>
            </w:hyperlink>
            <w:hyperlink w:anchor="tPR2">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283"/>
              <w:rPr/>
            </w:pPr>
            <w:hyperlink w:anchor="tPR3">
              <w:r>
                <w:rPr>
                  <w:rStyle w:val="InternetLink"/>
                  <w:spacing w:val="4"/>
                </w:rPr>
                <w:t xml:space="preserve">PROPOSAL 3 RATIFICATION OF SELECTION OF INDEPENDENT REGISTERED PUBLIC ACCOUNTING FIRM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PR3">
              <w:r>
                <w:rPr>
                  <w:rStyle w:val="InternetLink"/>
                  <w:spacing w:val="4"/>
                </w:rPr>
                <w:t>16</w:t>
              </w:r>
            </w:hyperlink>
            <w:hyperlink w:anchor="tPR3">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PR4">
              <w:r>
                <w:rPr>
                  <w:rStyle w:val="InternetLink"/>
                  <w:spacing w:val="4"/>
                </w:rPr>
                <w:t xml:space="preserve">PROPOSAL 4 APPROVAL OF THE COMPANY’S 2020 EQUITY INCENTIVE PLAN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PR4">
              <w:r>
                <w:rPr>
                  <w:rStyle w:val="InternetLink"/>
                  <w:spacing w:val="4"/>
                </w:rPr>
                <w:t>18</w:t>
              </w:r>
            </w:hyperlink>
            <w:hyperlink w:anchor="tPR4">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EXOF">
              <w:r>
                <w:rPr>
                  <w:rStyle w:val="InternetLink"/>
                  <w:spacing w:val="4"/>
                </w:rPr>
                <w:t xml:space="preserve">EXECUTIVE OFFICERS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EXOF">
              <w:r>
                <w:rPr>
                  <w:rStyle w:val="InternetLink"/>
                  <w:spacing w:val="4"/>
                </w:rPr>
                <w:t>31</w:t>
              </w:r>
            </w:hyperlink>
            <w:hyperlink w:anchor="tEXOF">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SOO">
              <w:r>
                <w:rPr>
                  <w:rStyle w:val="InternetLink"/>
                  <w:spacing w:val="4"/>
                </w:rPr>
                <w:t xml:space="preserve">SECURITY OWNERSHIP OF CERTAIN BENEFICIAL OWNERS AND MANAGEMENT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SOO">
              <w:r>
                <w:rPr>
                  <w:rStyle w:val="InternetLink"/>
                  <w:spacing w:val="4"/>
                </w:rPr>
                <w:t>33</w:t>
              </w:r>
            </w:hyperlink>
            <w:hyperlink w:anchor="tSOO">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EXCO">
              <w:r>
                <w:rPr>
                  <w:rStyle w:val="InternetLink"/>
                  <w:spacing w:val="4"/>
                </w:rPr>
                <w:t xml:space="preserve">EXECUTIVE COMPENSATION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EXCO">
              <w:r>
                <w:rPr>
                  <w:rStyle w:val="InternetLink"/>
                  <w:spacing w:val="4"/>
                </w:rPr>
                <w:t>36</w:t>
              </w:r>
            </w:hyperlink>
            <w:hyperlink w:anchor="tEXCO">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DICO">
              <w:r>
                <w:rPr>
                  <w:rStyle w:val="InternetLink"/>
                  <w:spacing w:val="4"/>
                </w:rPr>
                <w:t xml:space="preserve">DIRECTOR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DICO">
              <w:r>
                <w:rPr>
                  <w:rStyle w:val="InternetLink"/>
                  <w:spacing w:val="4"/>
                </w:rPr>
                <w:t>44</w:t>
              </w:r>
            </w:hyperlink>
            <w:hyperlink w:anchor="tDICO">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SAFI">
              <w:r>
                <w:rPr>
                  <w:rStyle w:val="InternetLink"/>
                  <w:spacing w:val="4"/>
                </w:rPr>
                <w:t>SECURITIES AUTHORIZED FOR ISSUANCE UNDER EQUITY COMPENSATION PLANS</w:t>
              </w:r>
            </w:hyperlink>
            <w:hyperlink w:anchor="tSAFI">
              <w:r>
                <w:rPr>
                  <w:rStyle w:val="InternetLink"/>
                </w:rPr>
                <w:t xml:space="preserv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SAFI">
              <w:r>
                <w:rPr>
                  <w:rStyle w:val="InternetLink"/>
                  <w:spacing w:val="4"/>
                </w:rPr>
                <w:t>45</w:t>
              </w:r>
            </w:hyperlink>
            <w:hyperlink w:anchor="tSAFI">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TWRP">
              <w:r>
                <w:rPr>
                  <w:rStyle w:val="InternetLink"/>
                  <w:spacing w:val="4"/>
                </w:rPr>
                <w:t xml:space="preserve">TRANSACTIONS WITH RELATED PERSONS AND INDEMNIFICATION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TWRP">
              <w:r>
                <w:rPr>
                  <w:rStyle w:val="InternetLink"/>
                  <w:spacing w:val="4"/>
                </w:rPr>
                <w:t>46</w:t>
              </w:r>
            </w:hyperlink>
            <w:hyperlink w:anchor="tTWRP">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HOPM">
              <w:r>
                <w:rPr>
                  <w:rStyle w:val="InternetLink"/>
                  <w:spacing w:val="4"/>
                </w:rPr>
                <w:t xml:space="preserve">HOUSEHOLDING OF PROXY MATERIALS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HOPM">
              <w:r>
                <w:rPr>
                  <w:rStyle w:val="InternetLink"/>
                  <w:spacing w:val="4"/>
                </w:rPr>
                <w:t>48</w:t>
              </w:r>
            </w:hyperlink>
            <w:hyperlink w:anchor="tHOPM">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7" w:type="dxa"/>
            <w:tcBorders/>
            <w:shd w:fill="auto" w:val="clear"/>
            <w:vAlign w:val="center"/>
          </w:tcPr>
          <w:p>
            <w:pPr>
              <w:pStyle w:val="TableContents"/>
              <w:spacing w:before="0" w:after="0"/>
              <w:rPr/>
            </w:pPr>
            <w:hyperlink w:anchor="tOTMA">
              <w:r>
                <w:rPr>
                  <w:rStyle w:val="InternetLink"/>
                  <w:spacing w:val="4"/>
                </w:rPr>
                <w:t xml:space="preserve">OTHER MATTERS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2" w:type="dxa"/>
            <w:tcBorders/>
            <w:shd w:fill="auto" w:val="clear"/>
            <w:vAlign w:val="center"/>
          </w:tcPr>
          <w:p>
            <w:pPr>
              <w:pStyle w:val="TableContents"/>
              <w:spacing w:before="0" w:after="0"/>
              <w:jc w:val="right"/>
              <w:rPr/>
            </w:pPr>
            <w:hyperlink w:anchor="tOTMA">
              <w:r>
                <w:rPr>
                  <w:rStyle w:val="InternetLink"/>
                  <w:spacing w:val="4"/>
                </w:rPr>
                <w:t>49</w:t>
              </w:r>
            </w:hyperlink>
            <w:hyperlink w:anchor="tOTMA">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7" w:type="dxa"/>
            <w:tcBorders/>
            <w:shd w:fill="CCEEFF" w:val="clear"/>
            <w:vAlign w:val="center"/>
          </w:tcPr>
          <w:p>
            <w:pPr>
              <w:pStyle w:val="TableContents"/>
              <w:spacing w:before="0" w:after="0"/>
              <w:rPr/>
            </w:pPr>
            <w:hyperlink w:anchor="tAPPA">
              <w:r>
                <w:rPr>
                  <w:rStyle w:val="InternetLink"/>
                  <w:spacing w:val="4"/>
                </w:rPr>
                <w:t xml:space="preserve">APPENDIX A 2020 EQUITY INCENTIVE PLAN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2" w:type="dxa"/>
            <w:tcBorders/>
            <w:shd w:fill="CCEEFF" w:val="clear"/>
            <w:vAlign w:val="center"/>
          </w:tcPr>
          <w:p>
            <w:pPr>
              <w:pStyle w:val="TableContents"/>
              <w:spacing w:before="0" w:after="0"/>
              <w:jc w:val="right"/>
              <w:rPr/>
            </w:pPr>
            <w:hyperlink w:anchor="tAPPA">
              <w:r>
                <w:rPr>
                  <w:rStyle w:val="InternetLink"/>
                  <w:spacing w:val="4"/>
                </w:rPr>
                <w:t>A-1</w:t>
              </w:r>
            </w:hyperlink>
            <w:hyperlink w:anchor="tAPPA">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A"/>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MARKER THERAPEUTICS,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3200 Southwest Freeway, Suite 2240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Houston, Texas 77027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2020 ANNUAL MEETING OF STOCKHOLDERS </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May 19, 2020 </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QUESTIONS AND ANSWERS ABOUT THESE PROXY MATERIALS AND VOTING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Why am I receiving these materials?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sent you these proxy materials because the Board of Directors of Marker Therapeutics, Inc. (sometimes referred to as the “Company” or “Marker”) is soliciting your proxy to vote at the 2020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mail these proxy materials on or about April 21, 2020 to all stockholders of record entitled to vote at the Annual Meeting.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do I attend the Annual Meeting? </w:t>
      </w:r>
    </w:p>
    <w:p>
      <w:pPr>
        <w:pStyle w:val="TextBody"/>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Annual Meeting will be a virtual stockholder meeting through which you can listen to the meeting, submit questions and vote online. In order to attend the Annual Meeting, you must first register at </w:t>
      </w:r>
      <w:r>
        <w:rPr>
          <w:rFonts w:ascii="Times New Roman;Times;serif" w:hAnsi="Times New Roman;Times;serif"/>
          <w:b w:val="false"/>
          <w:i/>
          <w:caps w:val="false"/>
          <w:smallCaps w:val="false"/>
          <w:color w:val="000000"/>
          <w:spacing w:val="4"/>
          <w:sz w:val="20"/>
        </w:rPr>
        <w:t>http://viewproxy.com/marker/2020/</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by 11:59 p.m. Eastern Time on Thursday, May 14, 2020. Please follow the instructions on the registration page. The Annual Meeting can be accessed by visiting </w:t>
      </w:r>
      <w:r>
        <w:rPr>
          <w:rFonts w:ascii="Times New Roman;Times;serif" w:hAnsi="Times New Roman;Times;serif"/>
          <w:b w:val="false"/>
          <w:i/>
          <w:caps w:val="false"/>
          <w:smallCaps w:val="false"/>
          <w:color w:val="000000"/>
          <w:spacing w:val="4"/>
          <w:sz w:val="20"/>
        </w:rPr>
        <w:t>http://viewproxy.com/marker/2020/VM</w:t>
      </w:r>
      <w:r>
        <w:rPr>
          <w:rFonts w:ascii="Times New Roman;Times;serif" w:hAnsi="Times New Roman;Times;serif"/>
          <w:b w:val="false"/>
          <w:i w:val="false"/>
          <w:caps w:val="false"/>
          <w:smallCaps w:val="false"/>
          <w:color w:val="000000"/>
          <w:spacing w:val="4"/>
          <w:sz w:val="20"/>
        </w:rPr>
        <w:t xml:space="preserve"> and entering the password and, if you are a beneficial owner, the virtual control number, you received in your confirmation of registration email. We recommend that you log on a few minutes before the Annual Meeting to ensure that you are logged in when the meeting begins. Information on how to vote online during the Annual Meeting is discussed below.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decided to hold a virtual stockholder meeting due to developments related to COVID-19. Stockholders that attend the virtual meeting will be afforded the same rights and opportunities to participate as they would at an in-person meeting. You will not be able to attend the Annual Meeting in person.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Who can vote at the Annual Meeting?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at the close of business on March 20, 2020 will be entitled to vote at the Annual Meeting. On this record date, there were 46,532,522 shares of common stock outstanding and entitled to vote.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of Record: Shares Registered in Your Name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March 20, 2020 your shares were registered directly in your name with Marker’s transfer agent, American Stock Transfer &amp;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Owner: Shares Registered in the Name of a Broker or Bank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March 20, 2020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However, since you are not the stockholder of record, you may not vote your shares online during the Annual Meeting unless you request and obtain a valid proxy from your broker, bank or other agent. You are also invited to attend the Annual Meeting. During the registration process, you will be asked to upload or email the legal proxy provided to you by your broker, bank or other agent. In order to access the meeting, you will need to enter the password and virtual control number assigned to you in your confirmation of registration email.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am I voting 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four matters scheduled for a vote: </w:t>
      </w:r>
    </w:p>
    <w:p>
      <w:pPr>
        <w:pStyle w:val="TextBody"/>
        <w:spacing w:lineRule="atLeast" w:line="240" w:before="11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 of seven directors (Proposal 1); </w:t>
      </w:r>
      <w:r>
        <mc:AlternateContent>
          <mc:Choice Requires="wps">
            <w:drawing>
              <wp:anchor behindDoc="0" distT="6985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14"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Advisory approval of the compensation of the Company’s named executive officers, as disclosed in this proxy statement (Proposal 2); </w:t>
      </w:r>
      <w:r>
        <mc:AlternateContent>
          <mc:Choice Requires="wps">
            <w:drawing>
              <wp:anchor behindDoc="0" distT="5842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largest"/>
                <wp:docPr id="15"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Ratification of selection by the Audit Committee of the Board of Directors of Marcum LLP as the independent registered public accounting firm of the Company for its fiscal year ending December 31, 2020 (Proposal 3); and </w:t>
      </w:r>
      <w:r>
        <mc:AlternateContent>
          <mc:Choice Requires="wps">
            <w:drawing>
              <wp:anchor behindDoc="0" distT="5842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16"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Marker Therapeutics, Inc. 2020 Equity Incentive Plan (Proposal 4). </w:t>
      </w:r>
      <w:r>
        <mc:AlternateContent>
          <mc:Choice Requires="wps">
            <w:drawing>
              <wp:anchor behindDoc="0" distT="5842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17"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34"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if another matter is properly brought before the meeting?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do I vote?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either vote “For” all the nominees to the Board of Directors or you may “Withhold” your vote for any nominee you specify. For each of the other matters, you may vote “For” or “Against” or abstain from voting.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voting are fairly simple: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of Record: Shares Registered in Your Name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 </w:t>
      </w:r>
    </w:p>
    <w:p>
      <w:pPr>
        <w:pStyle w:val="TextBody"/>
        <w:spacing w:lineRule="atLeast" w:line="240" w:before="11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vote online during the meeting, please visit </w:t>
      </w:r>
      <w:r>
        <w:rPr>
          <w:rFonts w:ascii="Times New Roman;Times;serif" w:hAnsi="Times New Roman;Times;serif"/>
          <w:b w:val="false"/>
          <w:i/>
          <w:caps w:val="false"/>
          <w:smallCaps w:val="false"/>
          <w:color w:val="000000"/>
          <w:spacing w:val="4"/>
          <w:sz w:val="20"/>
        </w:rPr>
        <w:t>http://www.fcrvote.com/MRKR</w:t>
      </w:r>
      <w:r>
        <w:rPr>
          <w:rFonts w:ascii="Times New Roman;Times;serif" w:hAnsi="Times New Roman;Times;serif"/>
          <w:b w:val="false"/>
          <w:i w:val="false"/>
          <w:caps w:val="false"/>
          <w:smallCaps w:val="false"/>
          <w:color w:val="000000"/>
          <w:spacing w:val="4"/>
          <w:sz w:val="20"/>
        </w:rPr>
        <w:t xml:space="preserve"> while the polls are open. You will need your virtual control number, which will be assigned to you in your confirmation of registration email, in order to vote during the meeting. </w:t>
      </w:r>
      <w:r>
        <mc:AlternateContent>
          <mc:Choice Requires="wps">
            <w:drawing>
              <wp:anchor behindDoc="0" distT="6985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18"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using the proxy card, simply complete, sign and date the enclosed proxy card and return it promptly in the envelope provided. If you return your signed proxy card to us before the Annual Meeting, we will vote your shares as you direct. </w:t>
      </w:r>
      <w:r>
        <mc:AlternateContent>
          <mc:Choice Requires="wps">
            <w:drawing>
              <wp:anchor behindDoc="0" distT="5842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19" name="Frame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over the telephone, dial toll-free 1-800-PROXIES (1-800-776-9437) using a touch-tone phone and follow the recorded instructions. You will be asked to provide the company number and control number from the enclosed proxy card. Your telephone vote must be received by 11:59 p.m. Eastern Time on May 18, 2020 to be counted. </w:t>
      </w:r>
      <w:r>
        <mc:AlternateContent>
          <mc:Choice Requires="wps">
            <w:drawing>
              <wp:anchor behindDoc="0" distT="5842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20" name="Frame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vote through the internet, go to </w:t>
      </w:r>
      <w:r>
        <w:rPr>
          <w:rFonts w:ascii="Times New Roman;Times;serif" w:hAnsi="Times New Roman;Times;serif"/>
          <w:b w:val="false"/>
          <w:i/>
          <w:caps w:val="false"/>
          <w:smallCaps w:val="false"/>
          <w:color w:val="000000"/>
          <w:spacing w:val="4"/>
          <w:sz w:val="20"/>
        </w:rPr>
        <w:t>http://www.voteproxy.com</w:t>
      </w:r>
      <w:r>
        <w:rPr>
          <w:rFonts w:ascii="Times New Roman;Times;serif" w:hAnsi="Times New Roman;Times;serif"/>
          <w:b w:val="false"/>
          <w:i w:val="false"/>
          <w:caps w:val="false"/>
          <w:smallCaps w:val="false"/>
          <w:color w:val="000000"/>
          <w:spacing w:val="4"/>
          <w:sz w:val="20"/>
        </w:rPr>
        <w:t xml:space="preserve"> to complete an electronic proxy card. Please have your enclosed proxy card available when you access the voting website. Your internet vote must be received by 11:59 p.m. Eastern Time on May 18, 2020 to be counted. </w:t>
      </w:r>
      <w:r>
        <mc:AlternateContent>
          <mc:Choice Requires="wps">
            <w:drawing>
              <wp:anchor behindDoc="0" distT="5842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largest"/>
                <wp:docPr id="21" name="Frame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32"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Owner: Shares Registered in the Name of Broker or Bank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registered in the name of your broker, bank or other agent, you should have received a voting instruction form with these proxy materials from that organization rather than from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You will also need to upload or email the legal proxy from your broker, bank or other agent in order to register to attend the Annual Meeting. To vote online during the meeting, please visit </w:t>
      </w:r>
      <w:r>
        <w:rPr>
          <w:rFonts w:ascii="Times New Roman;Times;serif" w:hAnsi="Times New Roman;Times;serif"/>
          <w:b w:val="false"/>
          <w:i/>
          <w:caps w:val="false"/>
          <w:smallCaps w:val="false"/>
          <w:color w:val="000000"/>
          <w:spacing w:val="4"/>
          <w:sz w:val="20"/>
        </w:rPr>
        <w:t>http://www.fcrvote.com/MRKR</w:t>
      </w:r>
      <w:r>
        <w:rPr>
          <w:rFonts w:ascii="Times New Roman;Times;serif" w:hAnsi="Times New Roman;Times;serif"/>
          <w:b w:val="false"/>
          <w:i w:val="false"/>
          <w:caps w:val="false"/>
          <w:smallCaps w:val="false"/>
          <w:color w:val="000000"/>
          <w:spacing w:val="4"/>
          <w:sz w:val="20"/>
        </w:rPr>
        <w:t xml:space="preserve"> while the polls are open. You will need your virtual control number, which will be assigned to you in your confirmation of registration email, in order to vote during the meeting. </w:t>
      </w:r>
    </w:p>
    <w:tbl>
      <w:tblPr>
        <w:tblW w:w="8812" w:type="dxa"/>
        <w:jc w:val="left"/>
        <w:tblInd w:w="1393" w:type="dxa"/>
        <w:tblCellMar>
          <w:top w:w="0" w:type="dxa"/>
          <w:left w:w="0" w:type="dxa"/>
          <w:bottom w:w="0" w:type="dxa"/>
          <w:right w:w="0" w:type="dxa"/>
        </w:tblCellMar>
      </w:tblPr>
      <w:tblGrid>
        <w:gridCol w:w="124"/>
        <w:gridCol w:w="109"/>
        <w:gridCol w:w="8316"/>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316" w:type="dxa"/>
            <w:tcBorders/>
            <w:shd w:fill="auto" w:val="clear"/>
            <w:vAlign w:val="center"/>
          </w:tcPr>
          <w:p>
            <w:pPr>
              <w:pStyle w:val="TableContents"/>
              <w:spacing w:before="0" w:after="0"/>
              <w:jc w:val="both"/>
              <w:rPr/>
            </w:pPr>
            <w:r>
              <w:rPr>
                <w:spacing w:val="4"/>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36" w:after="283"/>
        <w:ind w:left="1393" w:right="0" w:hanging="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many votes do I have?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each matter to be voted upon, you have one vote for each share of common stock you own as of March 20, 2020.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If I am a stockholder of record and I do not vote, or if I return a proxy card or otherwise vote without giving specific voting instructions, what happens?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do not vote by completing your proxy card, by telephone, through the internet or online during the Annual Meeting, your shares will not be voted.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return a signed and dated proxy card or otherwise vote without marking voting selections, your shares will be voted, as applicable, “For” the election of all seven nominees for director, “For” the advisory approval of executive compensation, “For” the ratification of Marcum LLP as independent auditors for the year ending December 31, 2020 and “For” the approval of the Company’s 2020 Equity Incentive Plan. If any other matter is properly presented at the meeting, your proxyholder (one of the individuals named on your proxy card) will vote your shares using his or her best judgment.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If I am a beneficial owner of shares held in street name and I do not provide my broker or bank with voting instructions, what happens?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4 are considered to be “non-routine” under such rules, meaning that your broker may not vote your shares on those proposals in the absence of your voting instructions. However, Proposal 3 is considered to be “routine” under such rules, meaning that if you do not return voting instructions to your broker by its deadline, your shares may be voted by your broker in its discretion on Proposal 3.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If you are a beneficial owner of shares held in street name, in order to ensure your shares are voted in the way you would prefer, you </w:t>
      </w:r>
      <w:r>
        <w:rPr>
          <w:rFonts w:ascii="Times New Roman;Times;serif" w:hAnsi="Times New Roman;Times;serif"/>
          <w:b/>
          <w:i/>
          <w:caps w:val="false"/>
          <w:smallCaps w:val="false"/>
          <w:color w:val="000000"/>
          <w:spacing w:val="4"/>
          <w:sz w:val="20"/>
          <w:u w:val="single"/>
        </w:rPr>
        <w:t>must</w:t>
      </w:r>
      <w:r>
        <w:rPr>
          <w:rFonts w:ascii="Times New Roman;Times;serif" w:hAnsi="Times New Roman;Times;serif"/>
          <w:b/>
          <w:i/>
          <w:caps w:val="false"/>
          <w:smallCaps w:val="false"/>
          <w:color w:val="000000"/>
          <w:spacing w:val="4"/>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Who is paying for this proxy solicitation?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does it mean if I receive more than one set of proxy materials?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Can I change my vote after submitting my proxy?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Stockholder of Record: Shares Registered in Your Name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can revoke your proxy at any time before the final vote at the meeting. If you are the record holder of your shares, you may revoke your proxy in any one of the following ways: </w:t>
      </w:r>
    </w:p>
    <w:p>
      <w:pPr>
        <w:pStyle w:val="TextBody"/>
        <w:spacing w:lineRule="atLeast" w:line="240" w:before="12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card with a later date.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largest"/>
                <wp:docPr id="22" name="Frame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grant a subsequent proxy by telephone or through the internet.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largest"/>
                <wp:docPr id="23" name="Frame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send a timely written notice that you are revoking your proxy to Marker Therapeutics, Inc., Attention: Corporate Secretary at 3200 Southwest Freeway, Suite 2240, Houston, Texas 77027.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largest"/>
                <wp:docPr id="24" name="Frame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the Annual Meeting and vote online. Simply attending the meeting will not, by itself, revoke your proxy.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largest"/>
                <wp:docPr id="25" name="Frame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most current proxy card or telephone or internet proxy is the one that is counted.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Owner: Shares Registered in the Name of Broker or Bank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agent, you should follow the instructions provided by your broker, bank or other agent.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When are stockholder proposals and director nominations due for next year’s Annual Meeting?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considered for inclusion in next year’s proxy materials, your written proposal must be received by our Secretary by December 22, 2020. If you wish to submit a proposal (including a director nomination) at the meeting that is not to be included in next year’s proxy materials, you must do so not earlier than January 19, 2021 and not later than February 18, 2021. Stockholder proposals and director nominations should be addressed to Marker Therapeutics, Inc., Attention: Secretary, 3200 Southwest Freeway, Suite 2240, Houston, Texas 77027. Your notice to the Secretary must set forth information specified in our bylaws.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information, and for more detailed requirements, please refer to our bylaws filed as Exhibit 3.6 to our Current Report on Form 8-K (File No. 001-37939), filed with the SEC on October 17, 2018.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are votes counted?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Votes will be counted by the inspector of election appointed for the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2, 3 and 4 and will have the same effect as “Against” votes. Broker non-votes on Proposals 1, 2, 3 and 4 will have no effect and will not be counted towards the vote total for any of those proposals.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are “broker non-votes”?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under stock exchange rules, the broker, bank or other such agent cannot vote the shares. These un-voted shares are counted as “broker non-votes.” Proposals 1, 2 and 4 are considered to be “non-routine” under stock exchange rules and we therefore expect broker non-votes on these proposals. However, as Proposal 3 is considered “routine” under stock exchange rules, we do not expect broker non-votes on this proposal.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As a reminder, if you a beneficial owner of shares held in street name, in order to ensure your shares are voted in the way you would prefer, you </w:t>
      </w:r>
      <w:r>
        <w:rPr>
          <w:rFonts w:ascii="Times New Roman;Times;serif" w:hAnsi="Times New Roman;Times;serif"/>
          <w:b/>
          <w:i/>
          <w:caps w:val="false"/>
          <w:smallCaps w:val="false"/>
          <w:color w:val="000000"/>
          <w:spacing w:val="4"/>
          <w:sz w:val="20"/>
          <w:u w:val="single"/>
        </w:rPr>
        <w:t>must</w:t>
      </w:r>
      <w:r>
        <w:rPr>
          <w:rFonts w:ascii="Times New Roman;Times;serif" w:hAnsi="Times New Roman;Times;serif"/>
          <w:b/>
          <w:i/>
          <w:caps w:val="false"/>
          <w:smallCaps w:val="false"/>
          <w:color w:val="000000"/>
          <w:spacing w:val="4"/>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many votes are needed to approve each proposal?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election of directors, the seven nominees receiving the most “For” votes from the holders of shares present online at the meeting or represented by proxy and entitled to vote on the election of directors will be elected. Only votes “For” will affect the outcome.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2,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approved, Proposal 3, ratification of the selection of Marcum LLP as the Company’s independent registered public accounting firm for fiscal year 2020, must receive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3, we do not expect broker non-votes on this proposal.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approved, Proposal 4, the approval of the Company’s 2020 Equity Incentive Plan, must receive “For” votes from the holders of a majority of shares present online at the meeting or represented by proxy and entitled to vote on the matter. If you “Abstain” from voting, it will have the same effect as an “Against” vote. Broker non-votes will have no effect.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is the quorum requirement?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stockholders is necessary to hold a valid meeting. A quorum will be present if stockholders holding at least a majority of the outstanding shares entitled to vote are present online at the virtual meeting or represented by proxy. On the record date, there were 46,532,522 shares outstanding and entitled to vote. Thus, the holders of 23,266,262 shares must be present online at the virtual meeting or represented by proxy at the meeting to have a quorum.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shares will be counted towards the quorum only if you submit a valid proxy (or one is submitted on your behalf by your broker, bank or other nominee) or if you vote online during the meeting. Abstentions and broker non-votes will be counted towards the quorum requirement. If there is no quorum, the holders of a majority of shares present at the meeting online at the virtual meeting or represented by proxy may adjourn the meeting to another date.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160"/>
        <w:ind w:left="1393" w:right="0" w:hanging="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do I ask a question at the Annual Meeting?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Only stockholders of record as of March 20, 2020 may submit questions or comments at the Annual Meeting. If you would like to submit a question, you may do so by joining the Annual Meeting at </w:t>
      </w:r>
      <w:r>
        <w:rPr>
          <w:rFonts w:ascii="Times New Roman;Times;serif" w:hAnsi="Times New Roman;Times;serif"/>
          <w:b w:val="false"/>
          <w:i/>
          <w:caps w:val="false"/>
          <w:smallCaps w:val="false"/>
          <w:color w:val="000000"/>
          <w:spacing w:val="4"/>
          <w:sz w:val="20"/>
        </w:rPr>
        <w:t>http://viewproxy.com/marker/2020/VM</w:t>
      </w:r>
      <w:r>
        <w:rPr>
          <w:rFonts w:ascii="Times New Roman;Times;serif" w:hAnsi="Times New Roman;Times;serif"/>
          <w:b w:val="false"/>
          <w:i w:val="false"/>
          <w:caps w:val="false"/>
          <w:smallCaps w:val="false"/>
          <w:color w:val="000000"/>
          <w:spacing w:val="4"/>
          <w:sz w:val="20"/>
        </w:rPr>
        <w:t xml:space="preserve"> and typing your question in the box in the meeting portal.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do I do if I have technical difficulties in connection with the Annual Meeting?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encounter any difficulties accessing the virtual meeting during the check-in or meeting time, please email </w:t>
      </w:r>
      <w:r>
        <w:rPr>
          <w:rFonts w:ascii="Times New Roman;Times;serif" w:hAnsi="Times New Roman;Times;serif"/>
          <w:b w:val="false"/>
          <w:i/>
          <w:caps w:val="false"/>
          <w:smallCaps w:val="false"/>
          <w:color w:val="000000"/>
          <w:spacing w:val="4"/>
          <w:sz w:val="20"/>
        </w:rPr>
        <w:t>VirtualMeeting@viewproxy.com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How can I find out the results of the voting at the Annual Meeting?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1"/>
      <w:bookmarkEnd w:id="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60" w:before="120" w:after="283"/>
        <w:ind w:left="1393" w:right="0" w:hanging="0"/>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P</w:t>
      </w:r>
      <w:r>
        <w:rPr>
          <w:rFonts w:ascii="Times New Roman;Times;serif" w:hAnsi="Times New Roman;Times;serif"/>
          <w:b/>
          <w:i w:val="false"/>
          <w:caps w:val="false"/>
          <w:smallCaps w:val="false"/>
          <w:color w:val="000000"/>
          <w:spacing w:val="4"/>
          <w:sz w:val="18"/>
        </w:rPr>
        <w:t>ROPOSAL</w:t>
      </w:r>
      <w:r>
        <w:rPr>
          <w:rFonts w:ascii="Times New Roman;Times;serif" w:hAnsi="Times New Roman;Times;serif"/>
          <w:b/>
          <w:i w:val="false"/>
          <w:caps w:val="false"/>
          <w:smallCaps w:val="false"/>
          <w:color w:val="000000"/>
          <w:spacing w:val="4"/>
          <w:sz w:val="22"/>
        </w:rPr>
        <w:t xml:space="preserve"> 1 </w:t>
      </w:r>
    </w:p>
    <w:p>
      <w:pPr>
        <w:pStyle w:val="TextBody"/>
        <w:spacing w:lineRule="atLeast" w:line="260" w:before="24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E</w:t>
      </w:r>
      <w:r>
        <w:rPr>
          <w:rFonts w:ascii="Times New Roman;Times;serif" w:hAnsi="Times New Roman;Times;serif"/>
          <w:b/>
          <w:i w:val="false"/>
          <w:caps w:val="false"/>
          <w:smallCaps w:val="false"/>
          <w:color w:val="000000"/>
          <w:spacing w:val="4"/>
          <w:sz w:val="18"/>
        </w:rPr>
        <w:t>LECTION</w:t>
      </w:r>
      <w:r>
        <w:rPr>
          <w:rFonts w:ascii="Times New Roman;Times;serif" w:hAnsi="Times New Roman;Times;serif"/>
          <w:b/>
          <w:i w:val="false"/>
          <w:caps w:val="false"/>
          <w:smallCaps w:val="false"/>
          <w:color w:val="000000"/>
          <w:spacing w:val="4"/>
          <w:sz w:val="22"/>
        </w:rPr>
        <w:t xml:space="preserve"> O</w:t>
      </w:r>
      <w:r>
        <w:rPr>
          <w:rFonts w:ascii="Times New Roman;Times;serif" w:hAnsi="Times New Roman;Times;serif"/>
          <w:b/>
          <w:i w:val="false"/>
          <w:caps w:val="false"/>
          <w:smallCaps w:val="false"/>
          <w:color w:val="000000"/>
          <w:spacing w:val="4"/>
          <w:sz w:val="18"/>
        </w:rPr>
        <w:t>F</w:t>
      </w:r>
      <w:r>
        <w:rPr>
          <w:rFonts w:ascii="Times New Roman;Times;serif" w:hAnsi="Times New Roman;Times;serif"/>
          <w:b/>
          <w:i w:val="false"/>
          <w:caps w:val="false"/>
          <w:smallCaps w:val="false"/>
          <w:color w:val="000000"/>
          <w:spacing w:val="4"/>
          <w:sz w:val="22"/>
        </w:rPr>
        <w:t xml:space="preserve"> D</w:t>
      </w:r>
      <w:r>
        <w:rPr>
          <w:rFonts w:ascii="Times New Roman;Times;serif" w:hAnsi="Times New Roman;Times;serif"/>
          <w:b/>
          <w:i w:val="false"/>
          <w:caps w:val="false"/>
          <w:smallCaps w:val="false"/>
          <w:color w:val="000000"/>
          <w:spacing w:val="4"/>
          <w:sz w:val="18"/>
        </w:rPr>
        <w:t>IRECTORS</w:t>
      </w:r>
      <w:r>
        <w:rPr>
          <w:rFonts w:ascii="Times New Roman;Times;serif" w:hAnsi="Times New Roman;Times;serif"/>
          <w:b/>
          <w:i w:val="false"/>
          <w:caps w:val="false"/>
          <w:smallCaps w:val="false"/>
          <w:color w:val="000000"/>
          <w:spacing w:val="4"/>
          <w:sz w:val="22"/>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consists of seven directors, all of whom are nominees for re-election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with the exception of Steven Elms who joined the Board after the 2019 Annual Meeting of Stockholders. Prior to joining the Board, Mr. Elms served as a non-voting board observer pursuant to the observer rights granted to Aisling Capital. See “Information Regarding the Board of Directors and Corporate Governance – Nominating and Corporate Governance Committee.” It is our policy to invite and encourage nominees for directors to attend the Annual Meeting. All six of the directors then in office attended the 2019 Annual Meeting of Stockholders.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are elected by a plurality of the votes of the holders of shares present at the virtual meeting or represented by proxy and entitled to vote on the election of directors. Accordingly, the seven nominees receiving the highest number of affirmative votes will be elected. Shares represented by executed proxies will be voted, if authority to do so is not withheld, for the election of the seven nominees named below. If any nominee becomes unavailable for election as a result of an unexpected occurrence, shares that would have been voted for that nominee will instead will be voted for the election of a substitute nominee that we propose. Each person nominated for election has agreed to serve if elected. We have no reason to believe that any nominee will be unable to serve.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Nominees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brief biographies below include information, as of the date of this proxy statement,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David Eansor</w:t>
      </w:r>
      <w:r>
        <w:rPr>
          <w:rFonts w:ascii="Times New Roman;Times;serif" w:hAnsi="Times New Roman;Times;serif"/>
          <w:b w:val="false"/>
          <w:i/>
          <w:caps w:val="false"/>
          <w:smallCaps w:val="false"/>
          <w:color w:val="000000"/>
          <w:spacing w:val="4"/>
          <w:sz w:val="20"/>
        </w:rPr>
        <w:t>, age 59</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Eansor joined the Board in October 2018. Since April 2018, Mr. Eansor has served as the President of the Protein Sciences Segment of Bio-Techne Corporation. From 2014 to April 2018, Mr. Eansor served as Senior Vice President of Bio-Techne’s Biotechnology Division, which he joined as result of Bio-Techne’s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Steven Elms</w:t>
      </w:r>
      <w:r>
        <w:rPr>
          <w:rFonts w:ascii="Times New Roman;Times;serif" w:hAnsi="Times New Roman;Times;serif"/>
          <w:b w:val="false"/>
          <w:i/>
          <w:caps w:val="false"/>
          <w:smallCaps w:val="false"/>
          <w:color w:val="000000"/>
          <w:spacing w:val="4"/>
          <w:sz w:val="20"/>
        </w:rPr>
        <w:t>, age 56</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as a director of Zosano Pharma Corp. since May 2018. He previously served as a member of the board of directors of LOXO Oncology from July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Peter Hoang</w:t>
      </w:r>
      <w:r>
        <w:rPr>
          <w:rFonts w:ascii="Times New Roman;Times;serif" w:hAnsi="Times New Roman;Times;serif"/>
          <w:b w:val="false"/>
          <w:i/>
          <w:caps w:val="false"/>
          <w:smallCaps w:val="false"/>
          <w:color w:val="000000"/>
          <w:spacing w:val="4"/>
          <w:sz w:val="20"/>
        </w:rPr>
        <w:t>, age 48</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Hoang joined the Board in, and has served as our President and Chief Executive Officer since, September 2017. Mr. Hoang previously served as Senior Vice President of Business Development and Strategy at Bellicum Pharmaceuticals from 2014 to March 2017 and as the Managing Director of Innovations at The University of Texas MD Anderson Cancer Center from 2012 to 2014. Mr. Hoang earned a B.A. from Yale University and an M.B.A. from the Anderson School of Management at the University of California, Los Angeles. The Board believes that Mr. Hoang’s role as our principal executive officer and leadership and management experience in the pharmaceutical industry qualify him to serve on the Board.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David Laskow-Pooley</w:t>
      </w:r>
      <w:r>
        <w:rPr>
          <w:rFonts w:ascii="Times New Roman;Times;serif" w:hAnsi="Times New Roman;Times;serif"/>
          <w:b w:val="false"/>
          <w:i/>
          <w:caps w:val="false"/>
          <w:smallCaps w:val="false"/>
          <w:color w:val="000000"/>
          <w:spacing w:val="4"/>
          <w:sz w:val="20"/>
        </w:rPr>
        <w:t>, age 65</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Laskow-Pooley joined the Board in March 2015. He co-founded Pharmafor Ltd., an incubator for pharmaceutical and medical technology companies, in 2009. Mr. Laskow-Pooley served as served as Chief Executive Officer of LondonPharma Ltd from April 2012 to August 2017. He has served as a director of NeuroVive Pharmaceutical AB since April 2016, and as the chairman since November 2017. Mr. Laskow-Pooley earned a B.Sc. in Pharmacy from the Sunderland School of Pharmacy. The Board believes that Mr. Laskow-Pooley’s extensive international experience in the pharmaceutical industry, including on the launches of drugs and medical devices, qualifies him to serve on the Board.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Frederick Wasserman</w:t>
      </w:r>
      <w:r>
        <w:rPr>
          <w:rFonts w:ascii="Times New Roman;Times;serif" w:hAnsi="Times New Roman;Times;serif"/>
          <w:b w:val="false"/>
          <w:i/>
          <w:caps w:val="false"/>
          <w:smallCaps w:val="false"/>
          <w:color w:val="000000"/>
          <w:spacing w:val="4"/>
          <w:sz w:val="20"/>
        </w:rPr>
        <w:t>, age 65</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Wasserman joined the Board in January 2016 and has served as the Chair of the Board since October 2018. Since 2007, Mr. Wasserman has served as the President of FGW Partners LLC. He has served on the boards of directors of DLH Holdings Corp. since January 2007, and as the chairman since July 2009, and SMTC Corporation since August 2013 and previously served on the boards of directors of Breeze Eastern Corporation from September 2007 to January 2016, National Holdings Corporation from October 2013 to September 2016 and MAM Software Group, Inc. from 2007 until the company’s acquisition in October 2019. Mr. Wasserman earned a B.S. in Economics from The Wharton School of Business at The University of Pennsylvania and has been a certified public accountant. The Board believes that Mr. Wasserman’s extensive management experience, including as a member of the boards of directors of public companies, qualifies him to serve on the Board.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John Wilson</w:t>
      </w:r>
      <w:r>
        <w:rPr>
          <w:rFonts w:ascii="Times New Roman;Times;serif" w:hAnsi="Times New Roman;Times;serif"/>
          <w:b w:val="false"/>
          <w:i/>
          <w:caps w:val="false"/>
          <w:smallCaps w:val="false"/>
          <w:color w:val="000000"/>
          <w:spacing w:val="4"/>
          <w:sz w:val="20"/>
        </w:rPr>
        <w:t>, age 60</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2019.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 </w:t>
      </w:r>
    </w:p>
    <w:p>
      <w:pPr>
        <w:pStyle w:val="TextBody"/>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Juan Vera, M.D.</w:t>
      </w:r>
      <w:r>
        <w:rPr>
          <w:rFonts w:ascii="Times New Roman;Times;serif" w:hAnsi="Times New Roman;Times;serif"/>
          <w:b w:val="false"/>
          <w:i/>
          <w:caps w:val="false"/>
          <w:smallCaps w:val="false"/>
          <w:color w:val="000000"/>
          <w:spacing w:val="4"/>
          <w:sz w:val="20"/>
        </w:rPr>
        <w:t>, age 40</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Vera joined the Board in, and has served as our Chief Development Officer since, October 2018. Dr. Vera is a co-inventor of the multi-tumor associated antigen technology and co-founder of our predecessor, Marker Cell Therapy, Inc. Dr. Vera has held various positions at the Center for Cell and Gene Therapy at Baylor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College of Medicine, most recently as an Associate Professor from 2015 to present. Dr. Vera is also a co-founder of Allovir, Inc., a clinical-stage biopharmaceutical company, and has served as its Chief Product Development Officer since 2014.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val="false"/>
          <w:smallCaps w:val="false"/>
          <w:color w:val="000000"/>
          <w:spacing w:val="3"/>
          <w:sz w:val="16"/>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w:t>
      </w:r>
      <w:r>
        <w:rPr>
          <w:rFonts w:ascii="Times New Roman;Times;serif" w:hAnsi="Times New Roman;Times;serif"/>
          <w:b/>
          <w:i w:val="false"/>
          <w:caps w:val="false"/>
          <w:smallCaps w:val="false"/>
          <w:color w:val="000000"/>
          <w:spacing w:val="4"/>
          <w:sz w:val="20"/>
        </w:rPr>
        <w:t xml:space="preserve"> O </w:t>
      </w:r>
      <w:r>
        <w:rPr>
          <w:rFonts w:ascii="Times New Roman;Times;serif" w:hAnsi="Times New Roman;Times;serif"/>
          <w:b/>
          <w:i w:val="false"/>
          <w:caps w:val="false"/>
          <w:smallCaps w:val="false"/>
          <w:color w:val="000000"/>
          <w:spacing w:val="3"/>
          <w:sz w:val="16"/>
        </w:rPr>
        <w:t>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3"/>
          <w:sz w:val="16"/>
        </w:rPr>
        <w:t>IRECTORS</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val="false"/>
          <w:smallCaps w:val="false"/>
          <w:color w:val="000000"/>
          <w:spacing w:val="3"/>
          <w:sz w:val="16"/>
        </w:rPr>
        <w:t>ECOMMENDS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V</w:t>
      </w:r>
      <w:r>
        <w:rPr>
          <w:rFonts w:ascii="Times New Roman;Times;serif" w:hAnsi="Times New Roman;Times;serif"/>
          <w:b/>
          <w:i w:val="false"/>
          <w:caps w:val="false"/>
          <w:smallCaps w:val="false"/>
          <w:color w:val="000000"/>
          <w:spacing w:val="3"/>
          <w:sz w:val="16"/>
        </w:rPr>
        <w:t>OTE</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val="false"/>
          <w:smallCaps w:val="false"/>
          <w:color w:val="000000"/>
          <w:spacing w:val="3"/>
          <w:sz w:val="16"/>
        </w:rPr>
        <w:t>N</w:t>
      </w:r>
      <w:r>
        <w:rPr>
          <w:rFonts w:ascii="Times New Roman;Times;serif" w:hAnsi="Times New Roman;Times;serif"/>
          <w:b/>
          <w:i w:val="false"/>
          <w:caps w:val="false"/>
          <w:smallCaps w:val="false"/>
          <w:color w:val="000000"/>
          <w:spacing w:val="4"/>
          <w:sz w:val="20"/>
        </w:rPr>
        <w:t xml:space="preserve"> F</w:t>
      </w:r>
      <w:r>
        <w:rPr>
          <w:rFonts w:ascii="Times New Roman;Times;serif" w:hAnsi="Times New Roman;Times;serif"/>
          <w:b/>
          <w:i w:val="false"/>
          <w:caps w:val="false"/>
          <w:smallCaps w:val="false"/>
          <w:color w:val="000000"/>
          <w:spacing w:val="3"/>
          <w:sz w:val="16"/>
        </w:rPr>
        <w:t>AVOR</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val="false"/>
          <w:smallCaps w:val="false"/>
          <w:color w:val="000000"/>
          <w:spacing w:val="3"/>
          <w:sz w:val="16"/>
        </w:rPr>
        <w:t>F</w:t>
      </w:r>
      <w:r>
        <w:rPr>
          <w:rFonts w:ascii="Times New Roman;Times;serif" w:hAnsi="Times New Roman;Times;serif"/>
          <w:b/>
          <w:i w:val="false"/>
          <w:caps w:val="false"/>
          <w:smallCaps w:val="false"/>
          <w:color w:val="000000"/>
          <w:spacing w:val="4"/>
          <w:sz w:val="20"/>
        </w:rPr>
        <w:t xml:space="preserve"> E</w:t>
      </w:r>
      <w:r>
        <w:rPr>
          <w:rFonts w:ascii="Times New Roman;Times;serif" w:hAnsi="Times New Roman;Times;serif"/>
          <w:b/>
          <w:i w:val="false"/>
          <w:caps w:val="false"/>
          <w:smallCaps w:val="false"/>
          <w:color w:val="000000"/>
          <w:spacing w:val="3"/>
          <w:sz w:val="16"/>
        </w:rPr>
        <w:t>ACH</w:t>
      </w:r>
      <w:r>
        <w:rPr>
          <w:rFonts w:ascii="Times New Roman;Times;serif" w:hAnsi="Times New Roman;Times;serif"/>
          <w:b/>
          <w:i w:val="false"/>
          <w:caps w:val="false"/>
          <w:smallCaps w:val="false"/>
          <w:color w:val="000000"/>
          <w:spacing w:val="4"/>
          <w:sz w:val="20"/>
        </w:rPr>
        <w:t xml:space="preserve"> N</w:t>
      </w:r>
      <w:r>
        <w:rPr>
          <w:rFonts w:ascii="Times New Roman;Times;serif" w:hAnsi="Times New Roman;Times;serif"/>
          <w:b/>
          <w:i w:val="false"/>
          <w:caps w:val="false"/>
          <w:smallCaps w:val="false"/>
          <w:color w:val="000000"/>
          <w:spacing w:val="3"/>
          <w:sz w:val="16"/>
        </w:rPr>
        <w:t>AMED</w:t>
      </w:r>
      <w:r>
        <w:rPr>
          <w:rFonts w:ascii="Times New Roman;Times;serif" w:hAnsi="Times New Roman;Times;serif"/>
          <w:b/>
          <w:i w:val="false"/>
          <w:caps w:val="false"/>
          <w:smallCaps w:val="false"/>
          <w:color w:val="000000"/>
          <w:spacing w:val="4"/>
          <w:sz w:val="20"/>
        </w:rPr>
        <w:t xml:space="preserve"> N</w:t>
      </w:r>
      <w:r>
        <w:rPr>
          <w:rFonts w:ascii="Times New Roman;Times;serif" w:hAnsi="Times New Roman;Times;serif"/>
          <w:b/>
          <w:i w:val="false"/>
          <w:caps w:val="false"/>
          <w:smallCaps w:val="false"/>
          <w:color w:val="000000"/>
          <w:spacing w:val="3"/>
          <w:sz w:val="16"/>
        </w:rPr>
        <w:t>OMINEE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60" w:before="240" w:after="283"/>
        <w:jc w:val="center"/>
        <w:rPr>
          <w:rFonts w:ascii="Times New Roman;Times;serif" w:hAnsi="Times New Roman;Times;serif"/>
          <w:b/>
          <w:i w:val="false"/>
          <w:caps w:val="false"/>
          <w:smallCaps w:val="false"/>
          <w:color w:val="000000"/>
          <w:sz w:val="22"/>
        </w:rPr>
      </w:pPr>
      <w:r>
        <w:rPr>
          <w:rFonts w:ascii="Times New Roman;Times;serif" w:hAnsi="Times New Roman;Times;serif"/>
          <w:b/>
          <w:i w:val="false"/>
          <w:caps w:val="false"/>
          <w:smallCaps w:val="false"/>
          <w:color w:val="000000"/>
          <w:spacing w:val="4"/>
          <w:sz w:val="22"/>
        </w:rPr>
        <w:t>I</w:t>
      </w:r>
      <w:r>
        <w:rPr>
          <w:rFonts w:ascii="Times New Roman;Times;serif" w:hAnsi="Times New Roman;Times;serif"/>
          <w:b/>
          <w:i w:val="false"/>
          <w:caps w:val="false"/>
          <w:smallCaps w:val="false"/>
          <w:color w:val="000000"/>
          <w:spacing w:val="4"/>
          <w:sz w:val="18"/>
        </w:rPr>
        <w:t>NFORMATION</w:t>
      </w:r>
      <w:r>
        <w:rPr>
          <w:rFonts w:ascii="Times New Roman;Times;serif" w:hAnsi="Times New Roman;Times;serif"/>
          <w:b/>
          <w:i w:val="false"/>
          <w:caps w:val="false"/>
          <w:smallCaps w:val="false"/>
          <w:color w:val="000000"/>
          <w:spacing w:val="4"/>
          <w:sz w:val="22"/>
        </w:rPr>
        <w:t xml:space="preserve"> R</w:t>
      </w:r>
      <w:r>
        <w:rPr>
          <w:rFonts w:ascii="Times New Roman;Times;serif" w:hAnsi="Times New Roman;Times;serif"/>
          <w:b/>
          <w:i w:val="false"/>
          <w:caps w:val="false"/>
          <w:smallCaps w:val="false"/>
          <w:color w:val="000000"/>
          <w:spacing w:val="4"/>
          <w:sz w:val="18"/>
        </w:rPr>
        <w:t>EGARDING THE</w:t>
      </w:r>
      <w:r>
        <w:rPr>
          <w:rFonts w:ascii="Times New Roman;Times;serif" w:hAnsi="Times New Roman;Times;serif"/>
          <w:b/>
          <w:i w:val="false"/>
          <w:caps w:val="false"/>
          <w:smallCaps w:val="false"/>
          <w:color w:val="000000"/>
          <w:spacing w:val="4"/>
          <w:sz w:val="22"/>
        </w:rPr>
        <w:t xml:space="preserve"> B</w:t>
      </w:r>
      <w:r>
        <w:rPr>
          <w:rFonts w:ascii="Times New Roman;Times;serif" w:hAnsi="Times New Roman;Times;serif"/>
          <w:b/>
          <w:i w:val="false"/>
          <w:caps w:val="false"/>
          <w:smallCaps w:val="false"/>
          <w:color w:val="000000"/>
          <w:spacing w:val="4"/>
          <w:sz w:val="18"/>
        </w:rPr>
        <w:t>OARD OF</w:t>
      </w:r>
      <w:r>
        <w:rPr>
          <w:rFonts w:ascii="Times New Roman;Times;serif" w:hAnsi="Times New Roman;Times;serif"/>
          <w:b/>
          <w:i w:val="false"/>
          <w:caps w:val="false"/>
          <w:smallCaps w:val="false"/>
          <w:color w:val="000000"/>
          <w:spacing w:val="4"/>
          <w:sz w:val="22"/>
        </w:rPr>
        <w:t xml:space="preserve"> D</w:t>
      </w:r>
      <w:r>
        <w:rPr>
          <w:rFonts w:ascii="Times New Roman;Times;serif" w:hAnsi="Times New Roman;Times;serif"/>
          <w:b/>
          <w:i w:val="false"/>
          <w:caps w:val="false"/>
          <w:smallCaps w:val="false"/>
          <w:color w:val="000000"/>
          <w:spacing w:val="4"/>
          <w:sz w:val="18"/>
        </w:rPr>
        <w:t>IRECTORS AND</w:t>
      </w:r>
      <w:r>
        <w:rPr>
          <w:rFonts w:ascii="Times New Roman;Times;serif" w:hAnsi="Times New Roman;Times;serif"/>
          <w:b/>
          <w:i w:val="false"/>
          <w:caps w:val="false"/>
          <w:smallCaps w:val="false"/>
          <w:color w:val="000000"/>
          <w:spacing w:val="4"/>
          <w:sz w:val="22"/>
        </w:rPr>
        <w:t xml:space="preserve"> C</w:t>
      </w:r>
      <w:r>
        <w:rPr>
          <w:rFonts w:ascii="Times New Roman;Times;serif" w:hAnsi="Times New Roman;Times;serif"/>
          <w:b/>
          <w:i w:val="false"/>
          <w:caps w:val="false"/>
          <w:smallCaps w:val="false"/>
          <w:color w:val="000000"/>
          <w:spacing w:val="4"/>
          <w:sz w:val="18"/>
        </w:rPr>
        <w:t>ORPORATE</w:t>
      </w:r>
      <w:r>
        <w:rPr>
          <w:rFonts w:ascii="Times New Roman;Times;serif" w:hAnsi="Times New Roman;Times;serif"/>
          <w:b/>
          <w:i w:val="false"/>
          <w:caps w:val="false"/>
          <w:smallCaps w:val="false"/>
          <w:color w:val="000000"/>
          <w:spacing w:val="4"/>
          <w:sz w:val="22"/>
        </w:rPr>
        <w:t xml:space="preserve"> G</w:t>
      </w:r>
      <w:r>
        <w:rPr>
          <w:rFonts w:ascii="Times New Roman;Times;serif" w:hAnsi="Times New Roman;Times;serif"/>
          <w:b/>
          <w:i w:val="false"/>
          <w:caps w:val="false"/>
          <w:smallCaps w:val="false"/>
          <w:color w:val="000000"/>
          <w:spacing w:val="4"/>
          <w:sz w:val="18"/>
        </w:rPr>
        <w:t>OVERNANCE</w:t>
      </w:r>
      <w:r>
        <w:rPr>
          <w:rFonts w:ascii="Times New Roman;Times;serif" w:hAnsi="Times New Roman;Times;serif"/>
          <w:b/>
          <w:i w:val="false"/>
          <w:caps w:val="false"/>
          <w:smallCaps w:val="false"/>
          <w:color w:val="000000"/>
          <w:spacing w:val="4"/>
          <w:sz w:val="22"/>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w:t>
      </w:r>
      <w:r>
        <w:rPr>
          <w:rFonts w:ascii="Times New Roman;Times;serif" w:hAnsi="Times New Roman;Times;serif"/>
          <w:b/>
          <w:i w:val="false"/>
          <w:caps w:val="false"/>
          <w:smallCaps w:val="false"/>
          <w:color w:val="000000"/>
          <w:spacing w:val="3"/>
          <w:sz w:val="16"/>
        </w:rPr>
        <w:t>NDEPENDENCE OF</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3"/>
          <w:sz w:val="16"/>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3"/>
          <w:sz w:val="16"/>
        </w:rPr>
        <w:t>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are independent directors within the meaning of the applicable Nasdaq listing standards: David Eansor, Steven Elms, David Laskow-Pooley, Frederick Wasserman and John Wilson. In making this determination, the Board found that none of these directors or nominees for director had a material or other disqualifying relationship with the Company.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i w:val="false"/>
          <w:caps w:val="false"/>
          <w:smallCaps w:val="false"/>
          <w:color w:val="000000"/>
          <w:spacing w:val="3"/>
          <w:sz w:val="16"/>
        </w:rPr>
        <w:t>OARD</w:t>
      </w:r>
      <w:r>
        <w:rPr>
          <w:rFonts w:ascii="Times New Roman;Times;serif" w:hAnsi="Times New Roman;Times;serif"/>
          <w:b/>
          <w:i w:val="false"/>
          <w:caps w:val="false"/>
          <w:smallCaps w:val="false"/>
          <w:color w:val="000000"/>
          <w:spacing w:val="4"/>
          <w:sz w:val="20"/>
        </w:rPr>
        <w:t xml:space="preserve"> L</w:t>
      </w:r>
      <w:r>
        <w:rPr>
          <w:rFonts w:ascii="Times New Roman;Times;serif" w:hAnsi="Times New Roman;Times;serif"/>
          <w:b/>
          <w:i w:val="false"/>
          <w:caps w:val="false"/>
          <w:smallCaps w:val="false"/>
          <w:color w:val="000000"/>
          <w:spacing w:val="3"/>
          <w:sz w:val="16"/>
        </w:rPr>
        <w:t>EADERSHIP</w:t>
      </w:r>
      <w:r>
        <w:rPr>
          <w:rFonts w:ascii="Times New Roman;Times;serif" w:hAnsi="Times New Roman;Times;serif"/>
          <w:b/>
          <w:i w:val="false"/>
          <w:caps w:val="false"/>
          <w:smallCaps w:val="false"/>
          <w:color w:val="000000"/>
          <w:spacing w:val="4"/>
          <w:sz w:val="20"/>
        </w:rPr>
        <w:t xml:space="preserve"> S</w:t>
      </w:r>
      <w:r>
        <w:rPr>
          <w:rFonts w:ascii="Times New Roman;Times;serif" w:hAnsi="Times New Roman;Times;serif"/>
          <w:b/>
          <w:i w:val="false"/>
          <w:caps w:val="false"/>
          <w:smallCaps w:val="false"/>
          <w:color w:val="000000"/>
          <w:spacing w:val="3"/>
          <w:sz w:val="16"/>
        </w:rPr>
        <w:t>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has an independent chair, Mr. Wasserman, who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w:t>
      </w:r>
      <w:r>
        <w:rPr>
          <w:rFonts w:ascii="Times New Roman;Times;serif" w:hAnsi="Times New Roman;Times;serif"/>
          <w:b/>
          <w:i w:val="false"/>
          <w:caps w:val="false"/>
          <w:smallCaps w:val="false"/>
          <w:color w:val="000000"/>
          <w:spacing w:val="3"/>
          <w:sz w:val="16"/>
        </w:rPr>
        <w:t>OLE OF</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3"/>
          <w:sz w:val="16"/>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 IN</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val="false"/>
          <w:smallCaps w:val="false"/>
          <w:color w:val="000000"/>
          <w:spacing w:val="3"/>
          <w:sz w:val="16"/>
        </w:rPr>
        <w:t>ISK</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val="false"/>
          <w:smallCaps w:val="false"/>
          <w:color w:val="000000"/>
          <w:spacing w:val="3"/>
          <w:sz w:val="16"/>
        </w:rPr>
        <w:t>VERSIGHT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RCO"/>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w:t>
      </w:r>
      <w:r>
        <w:rPr>
          <w:rFonts w:ascii="Times New Roman;Times;serif" w:hAnsi="Times New Roman;Times;serif"/>
          <w:b/>
          <w:i w:val="false"/>
          <w:caps w:val="false"/>
          <w:smallCaps w:val="false"/>
          <w:color w:val="000000"/>
          <w:spacing w:val="3"/>
          <w:sz w:val="16"/>
        </w:rPr>
        <w:t>EETINGS OF</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3"/>
          <w:sz w:val="16"/>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3"/>
          <w:sz w:val="16"/>
        </w:rPr>
        <w:t>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met nine times during the last fiscal year. Each director attended 75% or more of the aggregate number of meetings of the Board and of the committees on which he served held during the portion of the last fiscal year for which he was a director or committee member. </w:t>
      </w:r>
    </w:p>
    <w:p>
      <w:pPr>
        <w:pStyle w:val="TextBody"/>
        <w:spacing w:lineRule="atLeast" w:line="200" w:before="240" w:after="283"/>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4"/>
          <w:sz w:val="20"/>
        </w:rPr>
        <w:t>I</w:t>
      </w:r>
      <w:r>
        <w:rPr>
          <w:rFonts w:ascii="Times New Roman;Times;serif" w:hAnsi="Times New Roman;Times;serif"/>
          <w:b/>
          <w:i w:val="false"/>
          <w:caps w:val="false"/>
          <w:smallCaps w:val="false"/>
          <w:color w:val="000000"/>
          <w:spacing w:val="3"/>
          <w:sz w:val="16"/>
        </w:rPr>
        <w:t>NFORMATION</w:t>
      </w:r>
      <w:r>
        <w:rPr>
          <w:rFonts w:ascii="Times New Roman;Times;serif" w:hAnsi="Times New Roman;Times;serif"/>
          <w:b/>
          <w:i w:val="false"/>
          <w:caps w:val="false"/>
          <w:smallCaps w:val="false"/>
          <w:color w:val="000000"/>
          <w:spacing w:val="4"/>
          <w:sz w:val="16"/>
        </w:rPr>
        <w:t xml:space="preserve"> </w:t>
      </w:r>
      <w:r>
        <w:rPr>
          <w:rFonts w:ascii="Times New Roman;Times;serif" w:hAnsi="Times New Roman;Times;serif"/>
          <w:b/>
          <w:i w:val="false"/>
          <w:caps w:val="false"/>
          <w:smallCaps w:val="false"/>
          <w:color w:val="000000"/>
          <w:spacing w:val="4"/>
          <w:sz w:val="20"/>
        </w:rPr>
        <w:t>R</w:t>
      </w:r>
      <w:r>
        <w:rPr>
          <w:rFonts w:ascii="Times New Roman;Times;serif" w:hAnsi="Times New Roman;Times;serif"/>
          <w:b/>
          <w:i w:val="false"/>
          <w:caps w:val="false"/>
          <w:smallCaps w:val="false"/>
          <w:color w:val="000000"/>
          <w:spacing w:val="3"/>
          <w:sz w:val="16"/>
        </w:rPr>
        <w:t>EGARDING</w:t>
      </w:r>
      <w:r>
        <w:rPr>
          <w:rFonts w:ascii="Times New Roman;Times;serif" w:hAnsi="Times New Roman;Times;serif"/>
          <w:b/>
          <w:i w:val="false"/>
          <w:caps w:val="false"/>
          <w:smallCaps w:val="false"/>
          <w:color w:val="000000"/>
          <w:spacing w:val="4"/>
          <w:sz w:val="16"/>
        </w:rPr>
        <w:t xml:space="preserve">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val="false"/>
          <w:smallCaps w:val="false"/>
          <w:color w:val="000000"/>
          <w:spacing w:val="3"/>
          <w:sz w:val="16"/>
        </w:rPr>
        <w:t xml:space="preserve">OMMITTEES OF THE BOARD OF DIRECTORS </w:t>
      </w:r>
    </w:p>
    <w:p>
      <w:pPr>
        <w:pStyle w:val="TextBody"/>
        <w:spacing w:lineRule="atLeast" w:line="230" w:before="158"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three committees: an Audit Committee, a Compensation Committee and a Nominating and Corporate Governance Committee. The following table provides membership and meeting information for fiscal 2019 for each of the Board committees: </w:t>
      </w:r>
    </w:p>
    <w:tbl>
      <w:tblPr>
        <w:tblW w:w="8812" w:type="dxa"/>
        <w:jc w:val="left"/>
        <w:tblInd w:w="1393" w:type="dxa"/>
        <w:tblCellMar>
          <w:top w:w="0" w:type="dxa"/>
          <w:left w:w="0" w:type="dxa"/>
          <w:bottom w:w="37" w:type="dxa"/>
          <w:right w:w="0" w:type="dxa"/>
        </w:tblCellMar>
      </w:tblPr>
      <w:tblGrid>
        <w:gridCol w:w="2963"/>
        <w:gridCol w:w="109"/>
        <w:gridCol w:w="109"/>
        <w:gridCol w:w="720"/>
        <w:gridCol w:w="109"/>
        <w:gridCol w:w="109"/>
        <w:gridCol w:w="1573"/>
        <w:gridCol w:w="109"/>
        <w:gridCol w:w="109"/>
        <w:gridCol w:w="2746"/>
        <w:gridCol w:w="156"/>
      </w:tblGrid>
      <w:tr>
        <w:trPr/>
        <w:tc>
          <w:tcPr>
            <w:tcW w:w="2963" w:type="dxa"/>
            <w:tcBorders>
              <w:bottom w:val="single" w:sz="2" w:space="0" w:color="000000"/>
            </w:tcBorders>
            <w:shd w:fill="auto" w:val="clear"/>
            <w:vAlign w:val="center"/>
          </w:tcPr>
          <w:p>
            <w:pPr>
              <w:pStyle w:val="TableContents"/>
              <w:spacing w:before="0" w:after="0"/>
              <w:jc w:val="left"/>
              <w:rPr>
                <w:spacing w:val="4"/>
              </w:rPr>
            </w:pPr>
            <w:r>
              <w:rPr>
                <w:spacing w:val="4"/>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20" w:type="dxa"/>
            <w:tcBorders>
              <w:bottom w:val="single" w:sz="2" w:space="0" w:color="000000"/>
            </w:tcBorders>
            <w:shd w:fill="auto" w:val="clear"/>
            <w:vAlign w:val="center"/>
          </w:tcPr>
          <w:p>
            <w:pPr>
              <w:pStyle w:val="TableContents"/>
              <w:spacing w:before="0" w:after="0"/>
              <w:jc w:val="center"/>
              <w:rPr>
                <w:spacing w:val="4"/>
              </w:rPr>
            </w:pPr>
            <w:r>
              <w:rPr>
                <w:spacing w:val="4"/>
              </w:rPr>
              <w:t xml:space="preserve">Audit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73" w:type="dxa"/>
            <w:tcBorders>
              <w:bottom w:val="single" w:sz="2" w:space="0" w:color="000000"/>
            </w:tcBorders>
            <w:shd w:fill="auto" w:val="clear"/>
            <w:vAlign w:val="center"/>
          </w:tcPr>
          <w:p>
            <w:pPr>
              <w:pStyle w:val="TableContents"/>
              <w:spacing w:before="0" w:after="0"/>
              <w:jc w:val="center"/>
              <w:rPr>
                <w:spacing w:val="4"/>
              </w:rPr>
            </w:pPr>
            <w:r>
              <w:rPr>
                <w:spacing w:val="4"/>
              </w:rPr>
              <w:t xml:space="preserve">Compensation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746" w:type="dxa"/>
            <w:tcBorders>
              <w:bottom w:val="single" w:sz="2" w:space="0" w:color="000000"/>
            </w:tcBorders>
            <w:shd w:fill="auto" w:val="clear"/>
            <w:vAlign w:val="center"/>
          </w:tcPr>
          <w:p>
            <w:pPr>
              <w:pStyle w:val="TableContents"/>
              <w:spacing w:before="0" w:after="0"/>
              <w:jc w:val="center"/>
              <w:rPr/>
            </w:pPr>
            <w:r>
              <w:rPr>
                <w:spacing w:val="4"/>
              </w:rPr>
              <w:t>Nominating and Corporate</w:t>
            </w:r>
            <w:r>
              <w:rPr/>
              <w:t xml:space="preserve"> </w:t>
              <w:br/>
            </w:r>
            <w:r>
              <w:rPr>
                <w:spacing w:val="4"/>
              </w:rPr>
              <w:t xml:space="preserve">Governance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963" w:type="dxa"/>
            <w:tcBorders/>
            <w:shd w:fill="CCEEFF" w:val="clear"/>
            <w:tcMar>
              <w:bottom w:w="0" w:type="dxa"/>
            </w:tcMar>
            <w:vAlign w:val="center"/>
          </w:tcPr>
          <w:p>
            <w:pPr>
              <w:pStyle w:val="TableContents"/>
              <w:spacing w:before="0" w:after="283"/>
              <w:jc w:val="left"/>
              <w:rPr>
                <w:spacing w:val="4"/>
              </w:rPr>
            </w:pPr>
            <w:r>
              <w:rPr>
                <w:spacing w:val="4"/>
              </w:rPr>
              <w:t xml:space="preserve">David Eansor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20"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46"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56" w:type="dxa"/>
            <w:tcBorders/>
            <w:shd w:fill="CCEEFF" w:val="clear"/>
            <w:tcMar>
              <w:bottom w:w="0" w:type="dxa"/>
            </w:tcMar>
            <w:vAlign w:val="center"/>
          </w:tcPr>
          <w:p>
            <w:pPr>
              <w:pStyle w:val="TableContents"/>
              <w:spacing w:before="0" w:after="283"/>
              <w:rPr/>
            </w:pPr>
            <w:r>
              <w:rPr/>
              <w:t>​</w:t>
            </w:r>
          </w:p>
        </w:tc>
      </w:tr>
      <w:tr>
        <w:trPr/>
        <w:tc>
          <w:tcPr>
            <w:tcW w:w="2963" w:type="dxa"/>
            <w:tcBorders/>
            <w:shd w:fill="auto" w:val="clear"/>
            <w:tcMar>
              <w:bottom w:w="0" w:type="dxa"/>
            </w:tcMar>
            <w:vAlign w:val="center"/>
          </w:tcPr>
          <w:p>
            <w:pPr>
              <w:pStyle w:val="TableContents"/>
              <w:spacing w:before="0" w:after="283"/>
              <w:jc w:val="left"/>
              <w:rPr/>
            </w:pPr>
            <w:r>
              <w:rPr>
                <w:spacing w:val="4"/>
              </w:rPr>
              <w:t>Steven Elms</w:t>
            </w:r>
            <w:r>
              <w:rPr>
                <w:spacing w:val="3"/>
                <w:sz w:val="15"/>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20"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46"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56" w:type="dxa"/>
            <w:tcBorders/>
            <w:shd w:fill="auto" w:val="clear"/>
            <w:tcMar>
              <w:bottom w:w="0" w:type="dxa"/>
            </w:tcMar>
            <w:vAlign w:val="center"/>
          </w:tcPr>
          <w:p>
            <w:pPr>
              <w:pStyle w:val="TableContents"/>
              <w:spacing w:before="0" w:after="283"/>
              <w:rPr/>
            </w:pPr>
            <w:r>
              <w:rPr/>
              <w:t>​</w:t>
            </w:r>
          </w:p>
        </w:tc>
      </w:tr>
      <w:tr>
        <w:trPr/>
        <w:tc>
          <w:tcPr>
            <w:tcW w:w="2963" w:type="dxa"/>
            <w:tcBorders/>
            <w:shd w:fill="CCEEFF" w:val="clear"/>
            <w:tcMar>
              <w:bottom w:w="0" w:type="dxa"/>
            </w:tcMar>
            <w:vAlign w:val="center"/>
          </w:tcPr>
          <w:p>
            <w:pPr>
              <w:pStyle w:val="TableContents"/>
              <w:spacing w:before="0" w:after="283"/>
              <w:jc w:val="left"/>
              <w:rPr>
                <w:spacing w:val="4"/>
              </w:rPr>
            </w:pPr>
            <w:r>
              <w:rPr>
                <w:spacing w:val="4"/>
              </w:rPr>
              <w:t xml:space="preserve">Peter Hoang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4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963" w:type="dxa"/>
            <w:tcBorders/>
            <w:shd w:fill="auto" w:val="clear"/>
            <w:tcMar>
              <w:bottom w:w="0" w:type="dxa"/>
            </w:tcMar>
            <w:vAlign w:val="center"/>
          </w:tcPr>
          <w:p>
            <w:pPr>
              <w:pStyle w:val="TableContents"/>
              <w:spacing w:before="0" w:after="283"/>
              <w:jc w:val="left"/>
              <w:rPr>
                <w:spacing w:val="4"/>
              </w:rPr>
            </w:pPr>
            <w:r>
              <w:rPr>
                <w:spacing w:val="4"/>
              </w:rPr>
              <w:t xml:space="preserve">David Laskow-Pooley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20"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3"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46"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963" w:type="dxa"/>
            <w:tcBorders/>
            <w:shd w:fill="CCEEFF" w:val="clear"/>
            <w:tcMar>
              <w:bottom w:w="0" w:type="dxa"/>
            </w:tcMar>
            <w:vAlign w:val="center"/>
          </w:tcPr>
          <w:p>
            <w:pPr>
              <w:pStyle w:val="TableContents"/>
              <w:spacing w:before="0" w:after="283"/>
              <w:jc w:val="left"/>
              <w:rPr>
                <w:spacing w:val="4"/>
              </w:rPr>
            </w:pPr>
            <w:r>
              <w:rPr>
                <w:spacing w:val="4"/>
              </w:rPr>
              <w:t xml:space="preserve">Frederick Wasserman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20"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3"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46"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56" w:type="dxa"/>
            <w:tcBorders/>
            <w:shd w:fill="CCEEFF" w:val="clear"/>
            <w:tcMar>
              <w:bottom w:w="0" w:type="dxa"/>
            </w:tcMar>
            <w:vAlign w:val="center"/>
          </w:tcPr>
          <w:p>
            <w:pPr>
              <w:pStyle w:val="TableContents"/>
              <w:spacing w:before="0" w:after="283"/>
              <w:rPr/>
            </w:pPr>
            <w:r>
              <w:rPr/>
              <w:t>​</w:t>
            </w:r>
          </w:p>
        </w:tc>
      </w:tr>
      <w:tr>
        <w:trPr/>
        <w:tc>
          <w:tcPr>
            <w:tcW w:w="2963" w:type="dxa"/>
            <w:tcBorders/>
            <w:shd w:fill="auto" w:val="clear"/>
            <w:tcMar>
              <w:bottom w:w="0" w:type="dxa"/>
            </w:tcMar>
            <w:vAlign w:val="center"/>
          </w:tcPr>
          <w:p>
            <w:pPr>
              <w:pStyle w:val="TableContents"/>
              <w:spacing w:before="0" w:after="283"/>
              <w:jc w:val="left"/>
              <w:rPr/>
            </w:pPr>
            <w:r>
              <w:rPr>
                <w:spacing w:val="4"/>
              </w:rPr>
              <w:t>John Wilson</w:t>
            </w:r>
            <w:r>
              <w:rPr>
                <w:spacing w:val="3"/>
                <w:sz w:val="15"/>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3"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46"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56" w:type="dxa"/>
            <w:tcBorders/>
            <w:shd w:fill="auto" w:val="clear"/>
            <w:tcMar>
              <w:bottom w:w="0" w:type="dxa"/>
            </w:tcMar>
            <w:vAlign w:val="center"/>
          </w:tcPr>
          <w:p>
            <w:pPr>
              <w:pStyle w:val="TableContents"/>
              <w:spacing w:before="0" w:after="283"/>
              <w:rPr/>
            </w:pPr>
            <w:r>
              <w:rPr/>
              <w:t>​</w:t>
            </w:r>
          </w:p>
        </w:tc>
      </w:tr>
      <w:tr>
        <w:trPr/>
        <w:tc>
          <w:tcPr>
            <w:tcW w:w="2963" w:type="dxa"/>
            <w:tcBorders/>
            <w:shd w:fill="CCEEFF" w:val="clear"/>
            <w:tcMar>
              <w:bottom w:w="0" w:type="dxa"/>
            </w:tcMar>
            <w:vAlign w:val="center"/>
          </w:tcPr>
          <w:p>
            <w:pPr>
              <w:pStyle w:val="TableContents"/>
              <w:spacing w:before="0" w:after="283"/>
              <w:jc w:val="left"/>
              <w:rPr>
                <w:spacing w:val="4"/>
              </w:rPr>
            </w:pPr>
            <w:r>
              <w:rPr>
                <w:spacing w:val="4"/>
              </w:rPr>
              <w:t xml:space="preserve">Juan Vera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4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963" w:type="dxa"/>
            <w:tcBorders/>
            <w:shd w:fill="auto" w:val="clear"/>
            <w:tcMar>
              <w:bottom w:w="0" w:type="dxa"/>
            </w:tcMar>
            <w:vAlign w:val="center"/>
          </w:tcPr>
          <w:p>
            <w:pPr>
              <w:pStyle w:val="TableContents"/>
              <w:spacing w:before="0" w:after="283"/>
              <w:jc w:val="left"/>
              <w:rPr>
                <w:spacing w:val="4"/>
              </w:rPr>
            </w:pPr>
            <w:r>
              <w:rPr>
                <w:spacing w:val="4"/>
              </w:rPr>
              <w:t xml:space="preserve">Total meetings in fiscal 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20" w:type="dxa"/>
            <w:tcBorders/>
            <w:shd w:fill="auto" w:val="clear"/>
            <w:tcMar>
              <w:bottom w:w="0" w:type="dxa"/>
            </w:tcMar>
            <w:vAlign w:val="center"/>
          </w:tcPr>
          <w:p>
            <w:pPr>
              <w:pStyle w:val="TableContents"/>
              <w:spacing w:before="0" w:after="0"/>
              <w:jc w:val="center"/>
              <w:rPr>
                <w:spacing w:val="4"/>
              </w:rPr>
            </w:pPr>
            <w:r>
              <w:rPr>
                <w:spacing w:val="4"/>
              </w:rPr>
              <w:t xml:space="preserve">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3" w:type="dxa"/>
            <w:tcBorders/>
            <w:shd w:fill="auto" w:val="clear"/>
            <w:tcMar>
              <w:bottom w:w="0" w:type="dxa"/>
            </w:tcMar>
            <w:vAlign w:val="center"/>
          </w:tcPr>
          <w:p>
            <w:pPr>
              <w:pStyle w:val="TableContents"/>
              <w:spacing w:before="0" w:after="0"/>
              <w:jc w:val="center"/>
              <w:rPr>
                <w:spacing w:val="4"/>
              </w:rPr>
            </w:pPr>
            <w:r>
              <w:rPr>
                <w:spacing w:val="4"/>
              </w:rPr>
              <w:t xml:space="preserve">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46" w:type="dxa"/>
            <w:tcBorders/>
            <w:shd w:fill="auto" w:val="clear"/>
            <w:tcMar>
              <w:bottom w:w="0" w:type="dxa"/>
            </w:tcMar>
            <w:vAlign w:val="center"/>
          </w:tcPr>
          <w:p>
            <w:pPr>
              <w:pStyle w:val="TableContents"/>
              <w:spacing w:before="0" w:after="0"/>
              <w:jc w:val="center"/>
              <w:rPr/>
            </w:pPr>
            <w:r>
              <w:rPr>
                <w:spacing w:val="4"/>
              </w:rPr>
              <w:t>4</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Chairperson </w:t>
      </w:r>
      <w:r>
        <mc:AlternateContent>
          <mc:Choice Requires="wps">
            <w:drawing>
              <wp:anchor behindDoc="0" distT="1003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largest"/>
                <wp:docPr id="26" name="Frame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Mr. Elms will serve as a member of the Compensation Committee effective as of the date of the Annual Meeting and will no longer serve on the Nominating and Corporate Governance Committee as of that date.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Mr. Wilson will no longer serve as a member of the Compensation Committee effective as of the date of the Annual Meeting.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Audit Committee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is composed of four directors: David Eansor, Steven Elms, David Laskow-Pooley and Frederick Wasserman. The Audit Committee met four times during fiscal 2019. The Board has adopted a written Audit Committee charter that is available to stockholders on our website at </w:t>
      </w:r>
      <w:r>
        <w:rPr>
          <w:rFonts w:ascii="Times New Roman;Times;serif" w:hAnsi="Times New Roman;Times;serif"/>
          <w:b w:val="false"/>
          <w:i/>
          <w:caps w:val="false"/>
          <w:smallCaps w:val="false"/>
          <w:color w:val="000000"/>
          <w:spacing w:val="4"/>
          <w:sz w:val="20"/>
        </w:rPr>
        <w:t>https://www.markertherapeutics.com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also determined that Mr. Wasserman qualifies as an “audit committee financial expert,” as defined in applicable SEC rules. The Board made a qualitative assessment of Mr. Wasserman’s level of knowledge and experience based on a number of factors, including his formal education and experience as the chief financial officer of a publicly-traded company. In addition to the Company’s Audit Committee, Mr. Wasserman also serves as chairman of the audit committee of SMTC Corporation. The Board of Directors has determined that this simultaneous service does not impair Mr. Wasserman’s ability to effectively serve on the Company’s Audit Committee.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Report of the Audit Committee of the Board of Directors*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the audited financial statements for the fiscal year ended December 31, 2019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2019.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David Eansor, Chair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Steven Elms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David Laskow-Pooley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Frederick Wasserman </w:t>
      </w:r>
    </w:p>
    <w:p>
      <w:pPr>
        <w:pStyle w:val="TextBody"/>
        <w:spacing w:lineRule="atLeast" w:line="240" w:before="160" w:after="283"/>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 xml:space="preserve">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Compensation Committee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of Directors acts on behalf of the Board to review and oversee the Company’s compensation strategy, policies, plans and programs, including: </w:t>
      </w:r>
    </w:p>
    <w:p>
      <w:pPr>
        <w:pStyle w:val="TextBody"/>
        <w:spacing w:lineRule="atLeast" w:line="240" w:before="12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establishment of corporate and individual performance objectives relevant to the compensation of the Company’s executive officers, directors and other senior management and evaluation of performance in light of these stated objectives;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largest"/>
                <wp:docPr id="27"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review and approval of the individual elements of total compensation and other terms of employment or service, including severance and change-in-control arrangements, of the Company’s executive officers, other than the Chief Executive Officer;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largest"/>
                <wp:docPr id="28" name="Frame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review of, and recommendation to the Board for approval, the individual elements of total compensation and other terms of employment or service, including severance and change-in-control arrangements, of the Chief Executive Officer; and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254000" cy="350520"/>
                <wp:effectExtent l="0" t="0" r="0" b="0"/>
                <wp:wrapSquare wrapText="largest"/>
                <wp:docPr id="29" name="Frame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administration of the Company’s equity compensation and other benefit plans.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largest"/>
                <wp:docPr id="30" name="Frame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Compensation Committee currently is composed of three directors: David Laskow-Pooley, Frederick Wasserman and John Wilson. Effective as of the date of the Annual Meeting, the Compensation Committee will be composed of Steven Elms, David Laskow-Pooley and Frederick Wasserman. All current and future members of the Company’s Compensation Committee are independent (as independence is currently defined in Rule 5605(d)(2) of the Nasdaq listing standards. The Compensation Committee met seven times during fiscal 2019. The Board has adopted a written Compensation Committee charter that is available to stockholders on our website at </w:t>
      </w:r>
      <w:r>
        <w:rPr>
          <w:rFonts w:ascii="Times New Roman;Times;serif" w:hAnsi="Times New Roman;Times;serif"/>
          <w:b w:val="false"/>
          <w:i/>
          <w:caps w:val="false"/>
          <w:smallCaps w:val="false"/>
          <w:color w:val="000000"/>
          <w:spacing w:val="4"/>
          <w:sz w:val="20"/>
        </w:rPr>
        <w:t>https://www.markertherapeutics.com.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2019,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its charter, the Compensation Committee may form, and delegate authority to, subcommittees as appropriate. In 2019, the Compensation Committee formed a Non-Officer Stock Option Subcommittee, currently composed of Peter Hoang, to which it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2019, the subcommittee exercised its authority to grant options to purchase an aggregate of 500,000 shares to non-officer employees.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Nominating and Corporate Governance Committee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currently is composed of four directors: David Eansor, Steven Elms, Frederick Wasserman and John Wilson.Effective as of the date of the Annual Meeting, the Nominating and Corporate Governance Committee will be composed of David Eansor, Frederick Wasserman and John Wilson. All members of the Nominating and Corporate Governance Committee are independent (as independence is currently defined in Rule 5605(a)(2) of the Nasdaq listing standards). The Nominating and Corporate Governance Committee met four times during fiscal 2019. The Board has adopted a written Nominating and Corporate Governance Committee charter that is available to stockholders on the Company’s website and </w:t>
      </w:r>
      <w:r>
        <w:rPr>
          <w:rFonts w:ascii="Times New Roman;Times;serif" w:hAnsi="Times New Roman;Times;serif"/>
          <w:b w:val="false"/>
          <w:i/>
          <w:caps w:val="false"/>
          <w:smallCaps w:val="false"/>
          <w:color w:val="000000"/>
          <w:spacing w:val="4"/>
          <w:sz w:val="20"/>
        </w:rPr>
        <w:t>https://www.markertherapeutics.com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2,500,000 shares of the Company’s common stock. NEA has currently designated a non-voting board observer.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Corporate Secretary, 3200 Southwest Freeway, Suite 2240, Houston, Texas 77027,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t>
      </w:r>
      <w:r>
        <w:rPr>
          <w:rFonts w:ascii="Times New Roman;Times;serif" w:hAnsi="Times New Roman;Times;serif"/>
          <w:b/>
          <w:i w:val="false"/>
          <w:caps w:val="false"/>
          <w:smallCaps w:val="false"/>
          <w:color w:val="000000"/>
          <w:spacing w:val="3"/>
          <w:sz w:val="16"/>
        </w:rPr>
        <w:t>TOCKHOLDER</w:t>
      </w:r>
      <w:r>
        <w:rPr>
          <w:rFonts w:ascii="Times New Roman;Times;serif" w:hAnsi="Times New Roman;Times;serif"/>
          <w:b/>
          <w:i w:val="false"/>
          <w:caps w:val="false"/>
          <w:smallCaps w:val="false"/>
          <w:color w:val="000000"/>
          <w:spacing w:val="4"/>
          <w:sz w:val="20"/>
        </w:rPr>
        <w:t xml:space="preserve"> C</w:t>
      </w:r>
      <w:r>
        <w:rPr>
          <w:rFonts w:ascii="Times New Roman;Times;serif" w:hAnsi="Times New Roman;Times;serif"/>
          <w:b/>
          <w:i w:val="false"/>
          <w:caps w:val="false"/>
          <w:smallCaps w:val="false"/>
          <w:color w:val="000000"/>
          <w:spacing w:val="3"/>
          <w:sz w:val="16"/>
        </w:rPr>
        <w:t>OMMUNICATIONS</w:t>
      </w:r>
      <w:r>
        <w:rPr>
          <w:rFonts w:ascii="Times New Roman;Times;serif" w:hAnsi="Times New Roman;Times;serif"/>
          <w:b/>
          <w:i w:val="false"/>
          <w:caps w:val="false"/>
          <w:smallCaps w:val="false"/>
          <w:color w:val="000000"/>
          <w:spacing w:val="4"/>
          <w:sz w:val="20"/>
        </w:rPr>
        <w:t xml:space="preserve"> W</w:t>
      </w:r>
      <w:r>
        <w:rPr>
          <w:rFonts w:ascii="Times New Roman;Times;serif" w:hAnsi="Times New Roman;Times;serif"/>
          <w:b/>
          <w:i w:val="false"/>
          <w:caps w:val="false"/>
          <w:smallCaps w:val="false"/>
          <w:color w:val="000000"/>
          <w:spacing w:val="3"/>
          <w:sz w:val="16"/>
        </w:rPr>
        <w:t>ITH</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3"/>
          <w:sz w:val="16"/>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3"/>
          <w:sz w:val="16"/>
        </w:rPr>
        <w:t>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Board has adopted a formal process by which stockholders may communicate with the Board or any of its directors. Stockholders who wish to communicate with the Board may do so by sending written communications addressed to the Secretary of the Company Secretary, 3200 Southwest Freeway, Suite 2240, Houston, Texas 77027. All communications will be compiled by the Secretary of the Company and submitted to the Board or the individual directors on a periodic basis.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val="false"/>
          <w:smallCaps w:val="false"/>
          <w:color w:val="000000"/>
          <w:spacing w:val="3"/>
          <w:sz w:val="16"/>
        </w:rPr>
        <w:t>ODE OF</w:t>
      </w:r>
      <w:r>
        <w:rPr>
          <w:rFonts w:ascii="Times New Roman;Times;serif" w:hAnsi="Times New Roman;Times;serif"/>
          <w:b/>
          <w:i w:val="false"/>
          <w:caps w:val="false"/>
          <w:smallCaps w:val="false"/>
          <w:color w:val="000000"/>
          <w:spacing w:val="4"/>
          <w:sz w:val="20"/>
        </w:rPr>
        <w:t xml:space="preserve"> E</w:t>
      </w:r>
      <w:r>
        <w:rPr>
          <w:rFonts w:ascii="Times New Roman;Times;serif" w:hAnsi="Times New Roman;Times;serif"/>
          <w:b/>
          <w:i w:val="false"/>
          <w:caps w:val="false"/>
          <w:smallCaps w:val="false"/>
          <w:color w:val="000000"/>
          <w:spacing w:val="3"/>
          <w:sz w:val="16"/>
        </w:rPr>
        <w:t>THICS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has adopted a Code of Business Conduct and Ethics that applies to all officers, directors and employees. The Code of Business Conduct and Ethics is available on our website at </w:t>
      </w:r>
      <w:r>
        <w:rPr>
          <w:rFonts w:ascii="Times New Roman;Times;serif" w:hAnsi="Times New Roman;Times;serif"/>
          <w:b w:val="false"/>
          <w:i/>
          <w:caps w:val="false"/>
          <w:smallCaps w:val="false"/>
          <w:color w:val="000000"/>
          <w:spacing w:val="4"/>
          <w:sz w:val="20"/>
        </w:rPr>
        <w:t>https://www.markertherapeutics.com</w:t>
      </w:r>
      <w:r>
        <w:rPr>
          <w:rFonts w:ascii="Times New Roman;Times;serif" w:hAnsi="Times New Roman;Times;serif"/>
          <w:b w:val="false"/>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If the Company makes any substantive amendments to the Code of Business Conduct and Ethics or grants any waiver from a provision of the Code to any executive officer or director, the Company will promptly disclose the nature of the amendment or waiver on its website.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val="false"/>
          <w:smallCaps w:val="false"/>
          <w:color w:val="000000"/>
          <w:spacing w:val="3"/>
          <w:sz w:val="16"/>
        </w:rPr>
        <w:t>ORPORATE</w:t>
      </w:r>
      <w:r>
        <w:rPr>
          <w:rFonts w:ascii="Times New Roman;Times;serif" w:hAnsi="Times New Roman;Times;serif"/>
          <w:b/>
          <w:i w:val="false"/>
          <w:caps w:val="false"/>
          <w:smallCaps w:val="false"/>
          <w:color w:val="000000"/>
          <w:spacing w:val="4"/>
          <w:sz w:val="20"/>
        </w:rPr>
        <w:t xml:space="preserve"> G</w:t>
      </w:r>
      <w:r>
        <w:rPr>
          <w:rFonts w:ascii="Times New Roman;Times;serif" w:hAnsi="Times New Roman;Times;serif"/>
          <w:b/>
          <w:i w:val="false"/>
          <w:caps w:val="false"/>
          <w:smallCaps w:val="false"/>
          <w:color w:val="000000"/>
          <w:spacing w:val="3"/>
          <w:sz w:val="16"/>
        </w:rPr>
        <w:t>OVERNANCE</w:t>
      </w:r>
      <w:r>
        <w:rPr>
          <w:rFonts w:ascii="Times New Roman;Times;serif" w:hAnsi="Times New Roman;Times;serif"/>
          <w:b/>
          <w:i w:val="false"/>
          <w:caps w:val="false"/>
          <w:smallCaps w:val="false"/>
          <w:color w:val="000000"/>
          <w:spacing w:val="4"/>
          <w:sz w:val="20"/>
        </w:rPr>
        <w:t xml:space="preserve"> G</w:t>
      </w:r>
      <w:r>
        <w:rPr>
          <w:rFonts w:ascii="Times New Roman;Times;serif" w:hAnsi="Times New Roman;Times;serif"/>
          <w:b/>
          <w:i w:val="false"/>
          <w:caps w:val="false"/>
          <w:smallCaps w:val="false"/>
          <w:color w:val="000000"/>
          <w:spacing w:val="3"/>
          <w:sz w:val="16"/>
        </w:rPr>
        <w:t>UIDELINES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Times;serif" w:hAnsi="Times New Roman;Times;serif"/>
          <w:b w:val="false"/>
          <w:i/>
          <w:caps w:val="false"/>
          <w:smallCaps w:val="false"/>
          <w:color w:val="000000"/>
          <w:spacing w:val="4"/>
          <w:sz w:val="20"/>
        </w:rPr>
        <w:t>https://www.markertherapeutics.com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w:t>
      </w:r>
      <w:r>
        <w:rPr>
          <w:rFonts w:ascii="Times New Roman;Times;serif" w:hAnsi="Times New Roman;Times;serif"/>
          <w:b/>
          <w:i w:val="false"/>
          <w:caps w:val="false"/>
          <w:smallCaps w:val="false"/>
          <w:color w:val="000000"/>
          <w:spacing w:val="3"/>
          <w:sz w:val="16"/>
        </w:rPr>
        <w:t>EDGING</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val="false"/>
          <w:smallCaps w:val="false"/>
          <w:color w:val="000000"/>
          <w:spacing w:val="3"/>
          <w:sz w:val="16"/>
        </w:rPr>
        <w:t>OLICY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insider trading policy prohibits all employees and non-employee directors from engaging in hedging transactions involving the Company’s securities.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R2"/>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roposal</w:t>
      </w:r>
      <w:r>
        <w:rPr>
          <w:rFonts w:ascii="Times New Roman;Times;serif" w:hAnsi="Times New Roman;Times;serif"/>
          <w:b/>
          <w:i w:val="false"/>
          <w:caps/>
          <w:color w:val="000000"/>
          <w:spacing w:val="4"/>
          <w:sz w:val="20"/>
        </w:rPr>
        <w:t xml:space="preserve"> 2</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i w:val="false"/>
          <w:caps/>
          <w:color w:val="000000"/>
          <w:spacing w:val="4"/>
          <w:sz w:val="14"/>
        </w:rPr>
        <w:t>dvisory</w:t>
      </w:r>
      <w:r>
        <w:rPr>
          <w:rFonts w:ascii="Times New Roman;Times;serif" w:hAnsi="Times New Roman;Times;serif"/>
          <w:b/>
          <w:i w:val="false"/>
          <w:caps w:val="false"/>
          <w:smallCaps w:val="false"/>
          <w:color w:val="000000"/>
          <w:spacing w:val="4"/>
          <w:sz w:val="20"/>
        </w:rPr>
        <w:t xml:space="preserve"> V</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ote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on</w:t>
      </w:r>
      <w:r>
        <w:rPr>
          <w:rFonts w:ascii="Times New Roman;Times;serif" w:hAnsi="Times New Roman;Times;serif"/>
          <w:b/>
          <w:i w:val="false"/>
          <w:caps w:val="false"/>
          <w:smallCaps w:val="false"/>
          <w:color w:val="000000"/>
          <w:spacing w:val="4"/>
          <w:sz w:val="20"/>
        </w:rPr>
        <w:t xml:space="preserve"> E</w:t>
      </w:r>
      <w:r>
        <w:rPr>
          <w:rFonts w:ascii="Times New Roman;Times;serif" w:hAnsi="Times New Roman;Times;serif"/>
          <w:b/>
          <w:i w:val="false"/>
          <w:caps/>
          <w:color w:val="000000"/>
          <w:spacing w:val="4"/>
          <w:sz w:val="14"/>
        </w:rPr>
        <w:t>xecutive</w:t>
      </w:r>
      <w:r>
        <w:rPr>
          <w:rFonts w:ascii="Times New Roman;Times;serif" w:hAnsi="Times New Roman;Times;serif"/>
          <w:b/>
          <w:i w:val="false"/>
          <w:caps w:val="false"/>
          <w:smallCaps w:val="false"/>
          <w:color w:val="000000"/>
          <w:spacing w:val="4"/>
          <w:sz w:val="20"/>
        </w:rPr>
        <w:t xml:space="preserve"> C</w:t>
      </w:r>
      <w:r>
        <w:rPr>
          <w:rFonts w:ascii="Times New Roman;Times;serif" w:hAnsi="Times New Roman;Times;serif"/>
          <w:b/>
          <w:i w:val="false"/>
          <w:caps/>
          <w:color w:val="000000"/>
          <w:spacing w:val="4"/>
          <w:sz w:val="14"/>
        </w:rPr>
        <w:t>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 Board is asking the stockholders to indicate their support for the compensation of the Company’s named executive officers as described in this proxy statement by casting a non-binding advisory vote “FOR” the following resolution: </w:t>
      </w:r>
    </w:p>
    <w:p>
      <w:pPr>
        <w:pStyle w:val="TextBody"/>
        <w:spacing w:lineRule="atLeast" w:line="240" w:before="160" w:after="283"/>
        <w:ind w:left="2193" w:right="72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paid to the Company’s named executive officers, as disclosed pursuant to Item 402 of Regulation S-K, including compensation tables and narrative discussion, is hereby APPROVED.”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Advisory approval of this proposal requires the vote of the holders of a majority of the shares present at the virtual meeting or represented by proxy and entitled to vote on the matter at the annual meeting. Unless the Board decides to modify its policy regarding the frequency of soliciting say-on-pay votes, the next scheduled say-on-pay vote will be at the 2021 Annual Meeting of Stockholders.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color w:val="000000"/>
          <w:spacing w:val="4"/>
          <w:sz w:val="14"/>
        </w:rPr>
        <w:t>irectors</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ecommends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V</w:t>
      </w:r>
      <w:r>
        <w:rPr>
          <w:rFonts w:ascii="Times New Roman;Times;serif" w:hAnsi="Times New Roman;Times;serif"/>
          <w:b/>
          <w:i w:val="false"/>
          <w:caps/>
          <w:color w:val="000000"/>
          <w:spacing w:val="4"/>
          <w:sz w:val="14"/>
        </w:rPr>
        <w:t>ote</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w:t>
      </w:r>
      <w:r>
        <w:rPr>
          <w:rFonts w:ascii="Times New Roman;Times;serif" w:hAnsi="Times New Roman;Times;serif"/>
          <w:b/>
          <w:i w:val="false"/>
          <w:caps w:val="false"/>
          <w:smallCaps w:val="false"/>
          <w:color w:val="000000"/>
          <w:spacing w:val="4"/>
          <w:sz w:val="20"/>
        </w:rPr>
        <w:t xml:space="preserve"> F</w:t>
      </w:r>
      <w:r>
        <w:rPr>
          <w:rFonts w:ascii="Times New Roman;Times;serif" w:hAnsi="Times New Roman;Times;serif"/>
          <w:b/>
          <w:i w:val="false"/>
          <w:caps/>
          <w:color w:val="000000"/>
          <w:spacing w:val="4"/>
          <w:sz w:val="14"/>
        </w:rPr>
        <w:t>avor</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roposal</w:t>
      </w:r>
      <w:r>
        <w:rPr>
          <w:rFonts w:ascii="Times New Roman;Times;serif" w:hAnsi="Times New Roman;Times;serif"/>
          <w:b/>
          <w:i w:val="false"/>
          <w:caps/>
          <w:color w:val="000000"/>
          <w:spacing w:val="4"/>
          <w:sz w:val="20"/>
        </w:rPr>
        <w:t xml:space="preserve"> 2</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3"/>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color w:val="000000"/>
          <w:spacing w:val="4"/>
          <w:sz w:val="14"/>
        </w:rPr>
        <w:t>roposal</w:t>
      </w:r>
      <w:r>
        <w:rPr>
          <w:rFonts w:ascii="Times New Roman;Times;serif" w:hAnsi="Times New Roman;Times;serif"/>
          <w:b/>
          <w:i w:val="false"/>
          <w:caps w:val="false"/>
          <w:smallCaps w:val="false"/>
          <w:color w:val="000000"/>
          <w:spacing w:val="4"/>
          <w:sz w:val="20"/>
        </w:rPr>
        <w:t xml:space="preserve"> 3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atification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val="false"/>
          <w:smallCaps w:val="false"/>
          <w:color w:val="000000"/>
          <w:spacing w:val="4"/>
          <w:sz w:val="20"/>
        </w:rPr>
        <w:t xml:space="preserve"> 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election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ndependent</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egistered</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ublic</w:t>
      </w:r>
      <w:r>
        <w:rPr>
          <w:rFonts w:ascii="Times New Roman;Times;serif" w:hAnsi="Times New Roman;Times;serif"/>
          <w:b/>
          <w:i w:val="false"/>
          <w:caps w:val="false"/>
          <w:smallCaps w:val="false"/>
          <w:color w:val="000000"/>
          <w:spacing w:val="4"/>
          <w:sz w:val="20"/>
        </w:rPr>
        <w:t xml:space="preserve"> A</w:t>
      </w:r>
      <w:r>
        <w:rPr>
          <w:rFonts w:ascii="Times New Roman;Times;serif" w:hAnsi="Times New Roman;Times;serif"/>
          <w:b/>
          <w:i w:val="false"/>
          <w:caps/>
          <w:color w:val="000000"/>
          <w:spacing w:val="4"/>
          <w:sz w:val="14"/>
        </w:rPr>
        <w:t>ccounting</w:t>
      </w:r>
      <w:r>
        <w:rPr>
          <w:rFonts w:ascii="Times New Roman;Times;serif" w:hAnsi="Times New Roman;Times;serif"/>
          <w:b/>
          <w:i w:val="false"/>
          <w:caps w:val="false"/>
          <w:smallCaps w:val="false"/>
          <w:color w:val="000000"/>
          <w:spacing w:val="4"/>
          <w:sz w:val="20"/>
        </w:rPr>
        <w:t xml:space="preserve"> F</w:t>
      </w:r>
      <w:r>
        <w:rPr>
          <w:rFonts w:ascii="Times New Roman;Times;serif" w:hAnsi="Times New Roman;Times;serif"/>
          <w:b/>
          <w:i w:val="false"/>
          <w:caps/>
          <w:color w:val="000000"/>
          <w:spacing w:val="4"/>
          <w:sz w:val="14"/>
        </w:rPr>
        <w:t>irm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has selected Marcum LLP as the Company’s independent registered public accounting firm for the fiscal year ending December 31, 2020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present at the virtual meeting or represented by proxy and entitled to vote on the matter at the Annual Meeting will be required to ratify the selection of Marcum LLP.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Principal Accountant Fees and Services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represents aggregate fees billed to the Company for the fiscal years ended December 31, 2019 and 2018 by Marcum LLP, the Company’s principal accountant. </w:t>
      </w:r>
    </w:p>
    <w:tbl>
      <w:tblPr>
        <w:tblW w:w="4894" w:type="dxa"/>
        <w:jc w:val="left"/>
        <w:tblInd w:w="1393" w:type="dxa"/>
        <w:tblCellMar>
          <w:top w:w="0" w:type="dxa"/>
          <w:left w:w="0" w:type="dxa"/>
          <w:bottom w:w="28" w:type="dxa"/>
          <w:right w:w="0" w:type="dxa"/>
        </w:tblCellMar>
      </w:tblPr>
      <w:tblGrid>
        <w:gridCol w:w="2236"/>
        <w:gridCol w:w="109"/>
        <w:gridCol w:w="109"/>
        <w:gridCol w:w="1034"/>
        <w:gridCol w:w="109"/>
        <w:gridCol w:w="109"/>
        <w:gridCol w:w="1034"/>
        <w:gridCol w:w="154"/>
      </w:tblGrid>
      <w:tr>
        <w:trPr/>
        <w:tc>
          <w:tcPr>
            <w:tcW w:w="22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86" w:type="dxa"/>
            <w:gridSpan w:val="4"/>
            <w:tcBorders>
              <w:bottom w:val="single" w:sz="2" w:space="0" w:color="000000"/>
            </w:tcBorders>
            <w:shd w:fill="auto" w:val="clear"/>
            <w:tcMar>
              <w:bottom w:w="42" w:type="dxa"/>
            </w:tcMar>
            <w:vAlign w:val="center"/>
          </w:tcPr>
          <w:p>
            <w:pPr>
              <w:pStyle w:val="TableContents"/>
              <w:spacing w:before="0" w:after="0"/>
              <w:jc w:val="center"/>
              <w:rPr/>
            </w:pPr>
            <w:r>
              <w:rPr>
                <w:spacing w:val="4"/>
              </w:rPr>
              <w:t>Fiscal Year Ended</w:t>
            </w:r>
            <w:r>
              <w:rPr/>
              <w:t xml:space="preserve"> </w:t>
              <w:br/>
            </w:r>
            <w:r>
              <w:rPr>
                <w:spacing w:val="4"/>
              </w:rPr>
              <w:t xml:space="preserve">December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3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34" w:type="dxa"/>
            <w:tcBorders>
              <w:bottom w:val="single" w:sz="2" w:space="0" w:color="000000"/>
            </w:tcBorders>
            <w:shd w:fill="auto" w:val="clear"/>
            <w:tcMar>
              <w:bottom w:w="50" w:type="dxa"/>
            </w:tcMar>
            <w:vAlign w:val="center"/>
          </w:tcPr>
          <w:p>
            <w:pPr>
              <w:pStyle w:val="TableContents"/>
              <w:spacing w:before="0" w:after="0"/>
              <w:jc w:val="center"/>
              <w:rPr>
                <w:spacing w:val="4"/>
              </w:rPr>
            </w:pPr>
            <w:r>
              <w:rPr>
                <w:spacing w:val="4"/>
              </w:rPr>
              <w:t xml:space="preserve">2019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34" w:type="dxa"/>
            <w:tcBorders>
              <w:bottom w:val="single" w:sz="2" w:space="0" w:color="000000"/>
            </w:tcBorders>
            <w:shd w:fill="auto" w:val="clear"/>
            <w:tcMar>
              <w:bottom w:w="50" w:type="dxa"/>
            </w:tcMar>
            <w:vAlign w:val="center"/>
          </w:tcPr>
          <w:p>
            <w:pPr>
              <w:pStyle w:val="TableContents"/>
              <w:spacing w:before="0" w:after="0"/>
              <w:jc w:val="center"/>
              <w:rPr>
                <w:spacing w:val="4"/>
              </w:rPr>
            </w:pPr>
            <w:r>
              <w:rPr>
                <w:spacing w:val="4"/>
              </w:rPr>
              <w:t xml:space="preserve">2018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36" w:type="dxa"/>
            <w:tcBorders/>
            <w:shd w:fill="CCEEFF" w:val="clear"/>
            <w:tcMar>
              <w:bottom w:w="0" w:type="dxa"/>
            </w:tcMar>
            <w:vAlign w:val="center"/>
          </w:tcPr>
          <w:p>
            <w:pPr>
              <w:pStyle w:val="TableContents"/>
              <w:spacing w:before="0" w:after="283"/>
              <w:jc w:val="left"/>
              <w:rPr/>
            </w:pPr>
            <w:r>
              <w:rPr>
                <w:spacing w:val="4"/>
              </w:rPr>
              <w:t>Audit Fees</w:t>
            </w:r>
            <w:r>
              <w:rPr>
                <w:spacing w:val="3"/>
                <w:sz w:val="15"/>
              </w:rPr>
              <w:t>(1)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34" w:type="dxa"/>
            <w:tcBorders/>
            <w:shd w:fill="CCEEFF" w:val="clear"/>
            <w:tcMar>
              <w:bottom w:w="0" w:type="dxa"/>
            </w:tcMar>
            <w:vAlign w:val="center"/>
          </w:tcPr>
          <w:p>
            <w:pPr>
              <w:pStyle w:val="TableContents"/>
              <w:spacing w:before="0" w:after="0"/>
              <w:jc w:val="right"/>
              <w:rPr/>
            </w:pPr>
            <w:r>
              <w:rPr>
                <w:spacing w:val="4"/>
              </w:rPr>
              <w:t>$258,530</w:t>
            </w: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34" w:type="dxa"/>
            <w:tcBorders/>
            <w:shd w:fill="CCEEFF" w:val="clear"/>
            <w:tcMar>
              <w:bottom w:w="0" w:type="dxa"/>
            </w:tcMar>
            <w:vAlign w:val="center"/>
          </w:tcPr>
          <w:p>
            <w:pPr>
              <w:pStyle w:val="TableContents"/>
              <w:spacing w:before="0" w:after="0"/>
              <w:jc w:val="right"/>
              <w:rPr/>
            </w:pPr>
            <w:r>
              <w:rPr>
                <w:spacing w:val="4"/>
              </w:rPr>
              <w:t>$254,000</w:t>
            </w: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236" w:type="dxa"/>
            <w:tcBorders/>
            <w:shd w:fill="auto" w:val="clear"/>
            <w:tcMar>
              <w:bottom w:w="0" w:type="dxa"/>
            </w:tcMar>
            <w:vAlign w:val="center"/>
          </w:tcPr>
          <w:p>
            <w:pPr>
              <w:pStyle w:val="TableContents"/>
              <w:spacing w:before="0" w:after="283"/>
              <w:jc w:val="left"/>
              <w:rPr/>
            </w:pPr>
            <w:r>
              <w:rPr>
                <w:spacing w:val="4"/>
              </w:rPr>
              <w:t>Audit-Related Fees</w:t>
            </w:r>
            <w:r>
              <w:rPr>
                <w:spacing w:val="3"/>
                <w:sz w:val="15"/>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34" w:type="dxa"/>
            <w:tcBorders/>
            <w:shd w:fill="auto" w:val="clear"/>
            <w:tcMar>
              <w:bottom w:w="0" w:type="dxa"/>
            </w:tcMar>
            <w:vAlign w:val="center"/>
          </w:tcPr>
          <w:p>
            <w:pPr>
              <w:pStyle w:val="TableContents"/>
              <w:spacing w:before="0" w:after="0"/>
              <w:jc w:val="right"/>
              <w:rPr/>
            </w:pPr>
            <w:r>
              <w:rPr>
                <w:spacing w:val="4"/>
              </w:rPr>
              <w:t>-</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34" w:type="dxa"/>
            <w:tcBorders/>
            <w:shd w:fill="auto" w:val="clear"/>
            <w:tcMar>
              <w:bottom w:w="0" w:type="dxa"/>
            </w:tcMar>
            <w:vAlign w:val="center"/>
          </w:tcPr>
          <w:p>
            <w:pPr>
              <w:pStyle w:val="TableContents"/>
              <w:spacing w:before="0" w:after="0"/>
              <w:jc w:val="right"/>
              <w:rPr/>
            </w:pPr>
            <w:r>
              <w:rPr>
                <w:spacing w:val="4"/>
              </w:rPr>
              <w:t>72,000</w:t>
            </w:r>
            <w:r>
              <w:rPr/>
              <w:t>​</w:t>
            </w:r>
          </w:p>
        </w:tc>
        <w:tc>
          <w:tcPr>
            <w:tcW w:w="154" w:type="dxa"/>
            <w:tcBorders/>
            <w:shd w:fill="auto" w:val="clear"/>
            <w:tcMar>
              <w:bottom w:w="0" w:type="dxa"/>
            </w:tcMar>
            <w:vAlign w:val="center"/>
          </w:tcPr>
          <w:p>
            <w:pPr>
              <w:pStyle w:val="TableContents"/>
              <w:spacing w:before="0" w:after="283"/>
              <w:rPr/>
            </w:pPr>
            <w:r>
              <w:rPr/>
              <w:t>​</w:t>
            </w:r>
          </w:p>
        </w:tc>
      </w:tr>
      <w:tr>
        <w:trPr/>
        <w:tc>
          <w:tcPr>
            <w:tcW w:w="2236" w:type="dxa"/>
            <w:tcBorders>
              <w:bottom w:val="single" w:sz="2" w:space="0" w:color="CCEEFF"/>
            </w:tcBorders>
            <w:shd w:fill="CCEEFF" w:val="clear"/>
            <w:tcMar>
              <w:bottom w:w="50" w:type="dxa"/>
            </w:tcMar>
            <w:vAlign w:val="center"/>
          </w:tcPr>
          <w:p>
            <w:pPr>
              <w:pStyle w:val="TableContents"/>
              <w:spacing w:before="0" w:after="283"/>
              <w:jc w:val="left"/>
              <w:rPr/>
            </w:pPr>
            <w:r>
              <w:rPr>
                <w:spacing w:val="4"/>
              </w:rPr>
              <w:t>Tax Fees</w:t>
            </w:r>
            <w:r>
              <w:rPr>
                <w:spacing w:val="3"/>
                <w:sz w:val="15"/>
              </w:rPr>
              <w:t>(3)</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34" w:type="dxa"/>
            <w:tcBorders>
              <w:bottom w:val="single" w:sz="2" w:space="0" w:color="000000"/>
            </w:tcBorders>
            <w:shd w:fill="CCEEFF" w:val="clear"/>
            <w:tcMar>
              <w:bottom w:w="50" w:type="dxa"/>
            </w:tcMar>
            <w:vAlign w:val="center"/>
          </w:tcPr>
          <w:p>
            <w:pPr>
              <w:pStyle w:val="TableContents"/>
              <w:spacing w:before="0" w:after="0"/>
              <w:jc w:val="right"/>
              <w:rPr/>
            </w:pPr>
            <w:r>
              <w:rPr>
                <w:spacing w:val="4"/>
              </w:rPr>
              <w:t>20,600</w:t>
            </w: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rPr/>
            </w:pPr>
            <w:r>
              <w:rPr/>
              <w:t>​</w:t>
            </w:r>
          </w:p>
        </w:tc>
        <w:tc>
          <w:tcPr>
            <w:tcW w:w="1034" w:type="dxa"/>
            <w:tcBorders>
              <w:bottom w:val="single" w:sz="2" w:space="0" w:color="000000"/>
            </w:tcBorders>
            <w:shd w:fill="CCEEFF" w:val="clear"/>
            <w:tcMar>
              <w:bottom w:w="50" w:type="dxa"/>
            </w:tcMar>
            <w:vAlign w:val="center"/>
          </w:tcPr>
          <w:p>
            <w:pPr>
              <w:pStyle w:val="TableContents"/>
              <w:spacing w:before="0" w:after="0"/>
              <w:jc w:val="right"/>
              <w:rPr/>
            </w:pPr>
            <w:r>
              <w:rPr>
                <w:spacing w:val="4"/>
              </w:rPr>
              <w:t>14,000</w:t>
            </w:r>
            <w:r>
              <w:rPr/>
              <w:t>​</w:t>
            </w:r>
          </w:p>
        </w:tc>
        <w:tc>
          <w:tcPr>
            <w:tcW w:w="154" w:type="dxa"/>
            <w:tcBorders>
              <w:bottom w:val="single" w:sz="2" w:space="0" w:color="000000"/>
            </w:tcBorders>
            <w:shd w:fill="CCEEFF" w:val="clear"/>
            <w:vAlign w:val="center"/>
          </w:tcPr>
          <w:p>
            <w:pPr>
              <w:pStyle w:val="TableContents"/>
              <w:spacing w:before="0" w:after="283"/>
              <w:rPr/>
            </w:pPr>
            <w:r>
              <w:rPr/>
              <w:t>​</w:t>
            </w:r>
          </w:p>
        </w:tc>
      </w:tr>
      <w:tr>
        <w:trPr/>
        <w:tc>
          <w:tcPr>
            <w:tcW w:w="2236" w:type="dxa"/>
            <w:tcBorders/>
            <w:shd w:fill="auto" w:val="clear"/>
            <w:tcMar>
              <w:bottom w:w="0" w:type="dxa"/>
            </w:tcMar>
            <w:vAlign w:val="center"/>
          </w:tcPr>
          <w:p>
            <w:pPr>
              <w:pStyle w:val="TableContents"/>
              <w:spacing w:before="0" w:after="283"/>
              <w:jc w:val="left"/>
              <w:rPr>
                <w:spacing w:val="4"/>
              </w:rPr>
            </w:pPr>
            <w:r>
              <w:rPr>
                <w:spacing w:val="4"/>
              </w:rPr>
              <w:t xml:space="preserve">Total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34" w:type="dxa"/>
            <w:tcBorders/>
            <w:shd w:fill="auto" w:val="clear"/>
            <w:tcMar>
              <w:bottom w:w="0" w:type="dxa"/>
            </w:tcMar>
            <w:vAlign w:val="center"/>
          </w:tcPr>
          <w:p>
            <w:pPr>
              <w:pStyle w:val="TableContents"/>
              <w:spacing w:before="0" w:after="0"/>
              <w:jc w:val="right"/>
              <w:rPr/>
            </w:pPr>
            <w:r>
              <w:rPr>
                <w:spacing w:val="4"/>
              </w:rPr>
              <w:t>$279,130</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34" w:type="dxa"/>
            <w:tcBorders/>
            <w:shd w:fill="auto" w:val="clear"/>
            <w:tcMar>
              <w:bottom w:w="0" w:type="dxa"/>
            </w:tcMar>
            <w:vAlign w:val="center"/>
          </w:tcPr>
          <w:p>
            <w:pPr>
              <w:pStyle w:val="TableContents"/>
              <w:spacing w:before="0" w:after="0"/>
              <w:jc w:val="right"/>
              <w:rPr/>
            </w:pPr>
            <w:r>
              <w:rPr>
                <w:spacing w:val="4"/>
              </w:rPr>
              <w:t>$340,000</w:t>
            </w: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20" w:after="0"/>
        <w:ind w:left="1793" w:right="0" w:hanging="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r>
        <w:rPr>
          <w:rFonts w:ascii="Times New Roman;Times;serif" w:hAnsi="Times New Roman;Times;serif"/>
          <w:b w:val="false"/>
          <w:i w:val="false"/>
          <w:caps w:val="false"/>
          <w:smallCaps w:val="false"/>
          <w:color w:val="000000"/>
          <w:sz w:val="18"/>
        </w:rPr>
        <w:t xml:space="preserve"> </w:t>
      </w:r>
      <w:r>
        <mc:AlternateContent>
          <mc:Choice Requires="wps">
            <w:drawing>
              <wp:anchor behindDoc="0" distT="88900" distB="0" distL="0" distR="0" simplePos="0" locked="0" layoutInCell="1" allowOverlap="1" relativeHeight="35">
                <wp:simplePos x="0" y="0"/>
                <wp:positionH relativeFrom="column">
                  <wp:align>left</wp:align>
                </wp:positionH>
                <wp:positionV relativeFrom="line">
                  <wp:align>top</wp:align>
                </wp:positionV>
                <wp:extent cx="254000" cy="262890"/>
                <wp:effectExtent l="0" t="0" r="0" b="0"/>
                <wp:wrapSquare wrapText="largest"/>
                <wp:docPr id="31" name="Frame29"/>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both"/>
                              <w:rPr>
                                <w:sz w:val="18"/>
                              </w:rPr>
                            </w:pPr>
                            <w:r>
                              <w:rPr>
                                <w:spacing w:val="3"/>
                                <w:sz w:val="14"/>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both"/>
                        <w:rPr>
                          <w:sz w:val="18"/>
                        </w:rPr>
                      </w:pPr>
                      <w:r>
                        <w:rPr>
                          <w:spacing w:val="3"/>
                          <w:sz w:val="14"/>
                        </w:rPr>
                        <w:t>(1)</w:t>
                      </w:r>
                      <w:r>
                        <w:rPr>
                          <w:sz w:val="18"/>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20" w:before="80" w:after="0"/>
        <w:ind w:left="1793" w:right="0" w:hanging="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Audit-related fees consist of the aggregate fees billed by our independent auditors for assurance and related services that are reasonably related to the performance of the audit or review of our financial statements and are not described in the preceding category.</w:t>
      </w:r>
      <w:r>
        <w:rPr>
          <w:rFonts w:ascii="Times New Roman;Times;serif" w:hAnsi="Times New Roman;Time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279400"/>
                <wp:effectExtent l="0" t="0" r="0" b="0"/>
                <wp:wrapSquare wrapText="largest"/>
                <wp:docPr id="32" name="Frame30"/>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both"/>
                              <w:rPr>
                                <w:sz w:val="18"/>
                              </w:rPr>
                            </w:pPr>
                            <w:r>
                              <w:rPr>
                                <w:spacing w:val="3"/>
                                <w:sz w:val="14"/>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both"/>
                        <w:rPr>
                          <w:sz w:val="18"/>
                        </w:rPr>
                      </w:pPr>
                      <w:r>
                        <w:rPr>
                          <w:spacing w:val="3"/>
                          <w:sz w:val="14"/>
                        </w:rPr>
                        <w:t>(2)</w:t>
                      </w:r>
                      <w:r>
                        <w:rPr>
                          <w:sz w:val="18"/>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20" w:before="80" w:after="0"/>
        <w:ind w:left="17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Tax fees are billed by our independent auditors for tax compliance, tax advice and tax planning.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279400"/>
                <wp:effectExtent l="0" t="0" r="0" b="0"/>
                <wp:wrapSquare wrapText="largest"/>
                <wp:docPr id="33" name="Frame31"/>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3"/>
                                <w:sz w:val="14"/>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3"/>
                          <w:sz w:val="14"/>
                        </w:rPr>
                        <w:t>(3)</w:t>
                      </w:r>
                      <w:r>
                        <w:rPr>
                          <w:sz w:val="18"/>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fees described above were pre-approved by the Audit Committee.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audit of the 2019 financial statements, the Company entered into an engagement agreement with Marcum LLP that sets forth the terms by which Marcum LLP will perform audit services for the Company. That agreement is subject to alternative dispute resolution procedures and an exclusion of punitive damages.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320"/>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Pre-Approval Policies and Procedures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pre-approves all audit and non-audit services rendered by the Company’s independent registered public accounting firm, Marcum LLP.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determined that the rendering of services other than audit services by Marcum LLP is compatible with maintaining the principal accountant’s independence.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oard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color w:val="000000"/>
          <w:spacing w:val="4"/>
          <w:sz w:val="14"/>
        </w:rPr>
        <w:t>irectors</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ecommends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V</w:t>
      </w:r>
      <w:r>
        <w:rPr>
          <w:rFonts w:ascii="Times New Roman;Times;serif" w:hAnsi="Times New Roman;Times;serif"/>
          <w:b/>
          <w:i w:val="false"/>
          <w:caps/>
          <w:color w:val="000000"/>
          <w:spacing w:val="4"/>
          <w:sz w:val="14"/>
        </w:rPr>
        <w:t>ote</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w:t>
      </w:r>
      <w:r>
        <w:rPr>
          <w:rFonts w:ascii="Times New Roman;Times;serif" w:hAnsi="Times New Roman;Times;serif"/>
          <w:b/>
          <w:i w:val="false"/>
          <w:caps w:val="false"/>
          <w:smallCaps w:val="false"/>
          <w:color w:val="000000"/>
          <w:spacing w:val="4"/>
          <w:sz w:val="20"/>
        </w:rPr>
        <w:t xml:space="preserve"> F</w:t>
      </w:r>
      <w:r>
        <w:rPr>
          <w:rFonts w:ascii="Times New Roman;Times;serif" w:hAnsi="Times New Roman;Times;serif"/>
          <w:b/>
          <w:i w:val="false"/>
          <w:caps/>
          <w:color w:val="000000"/>
          <w:spacing w:val="4"/>
          <w:sz w:val="14"/>
        </w:rPr>
        <w:t>avor</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roposal</w:t>
      </w:r>
      <w:r>
        <w:rPr>
          <w:rFonts w:ascii="Times New Roman;Times;serif" w:hAnsi="Times New Roman;Times;serif"/>
          <w:b/>
          <w:i w:val="false"/>
          <w:caps w:val="false"/>
          <w:smallCaps w:val="false"/>
          <w:color w:val="000000"/>
          <w:spacing w:val="4"/>
          <w:sz w:val="20"/>
        </w:rPr>
        <w:t xml:space="preserve"> 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4"/>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color w:val="000000"/>
          <w:spacing w:val="4"/>
          <w:sz w:val="14"/>
        </w:rPr>
        <w:t>roposal</w:t>
      </w:r>
      <w:r>
        <w:rPr>
          <w:rFonts w:ascii="Times New Roman;Times;serif" w:hAnsi="Times New Roman;Times;serif"/>
          <w:b/>
          <w:i w:val="false"/>
          <w:caps w:val="false"/>
          <w:smallCaps w:val="false"/>
          <w:color w:val="000000"/>
          <w:spacing w:val="4"/>
          <w:sz w:val="20"/>
        </w:rPr>
        <w:t xml:space="preserve"> 4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pproval</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val="false"/>
          <w:smallCaps w:val="false"/>
          <w:color w:val="000000"/>
          <w:spacing w:val="4"/>
          <w:sz w:val="20"/>
        </w:rPr>
        <w:t xml:space="preserve"> C</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ompany</w:t>
      </w:r>
      <w:r>
        <w:rPr>
          <w:rFonts w:ascii="Times New Roman;Times;serif" w:hAnsi="Times New Roman;Times;serif"/>
          <w:b/>
          <w:i w:val="false"/>
          <w:caps/>
          <w:color w:val="000000"/>
          <w:spacing w:val="4"/>
          <w:sz w:val="20"/>
        </w:rPr>
        <w:t>’</w:t>
      </w:r>
      <w:r>
        <w:rPr>
          <w:rFonts w:ascii="Times New Roman;Times;serif" w:hAnsi="Times New Roman;Times;serif"/>
          <w:b/>
          <w:i w:val="false"/>
          <w:caps/>
          <w:color w:val="000000"/>
          <w:spacing w:val="4"/>
          <w:sz w:val="14"/>
        </w:rPr>
        <w:t>s</w:t>
      </w:r>
      <w:r>
        <w:rPr>
          <w:rFonts w:ascii="Times New Roman;Times;serif" w:hAnsi="Times New Roman;Times;serif"/>
          <w:b/>
          <w:i w:val="false"/>
          <w:caps w:val="false"/>
          <w:smallCaps w:val="false"/>
          <w:color w:val="000000"/>
          <w:spacing w:val="4"/>
          <w:sz w:val="20"/>
        </w:rPr>
        <w:t xml:space="preserve"> 2020 E</w:t>
      </w:r>
      <w:r>
        <w:rPr>
          <w:rFonts w:ascii="Times New Roman;Times;serif" w:hAnsi="Times New Roman;Times;serif"/>
          <w:b/>
          <w:i w:val="false"/>
          <w:caps/>
          <w:color w:val="000000"/>
          <w:spacing w:val="4"/>
          <w:sz w:val="14"/>
        </w:rPr>
        <w:t>quity</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ncentive</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requesting stockholder approval of the Marker Therapeutics, Inc. 2020 Equity Incentive Plan (the “2020 Plan”). The 2020 Plan is intended to be the successor to the Company’s 2014 Omnibus Stock Ownership Plan, as amended (the “2014 Plan”) and the Company’s 2009 Stock Incentive Plan, as amended (the “2009 Plan” and together with the 2014 Plan, the “Prior Plans”).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Why We Are Asking Our Stockholders to Approve the 2020 Plan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we maintain the 2014 Plan to grant equity awards to our employees, non-employee directors and consultants. We are seeking stockholder approval of the 2020 Plan to increase the number of shares available for the grant of stock options, restricted stock unit awards and other awards, which will enable us to have a competitive equity incentive program to compete with our peer group for key talent. If the 2020 Plan is approved by our stockholders, no additional awards will be granted under the Prior Plans.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2020 Plan by our stockholders will allow us to grant stock options, restricted stock unit awards and other awards at levels determined appropriate by the Board of Directors or Compensation Committee. The 2020 Plan will also allow us to utilize a broad array of equity incentives in order to secure and retain the services of our employees, non-employee directors and consultants, and to provide long-term incentives that align the interests of our employees, non-employee directors and consultants with the interests of our stockholders.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Requested Shares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4 is approved by our stockholders, then subject to adjustment for certain changes in our capitalization, the aggregate number of shares of our common stock that may be issued under the 2020 Plan will not exceed the sum of (i) 3,260,000 new shares, (ii) the number of shares remaining available for the grant of new awards under the Prior Plans as of immediately prior to the effective date of the 2020 Plan, and (iii) certain shares subject to outstanding awards granted under the Prior Plans that may become available for issuance under the 2020 Plan, as such shares become available from time to time (as further described below in “Description of the 2020 Plan—Shares Available for Awards”).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Stockholder Approval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4 is approved by our stockholders, the 2020 Plan will become effective as of the date of the Annual Meeting and no additional awards will be granted under the Prior Plans. In the event that our stockholders do not approve this Proposal 4, the 2020 Plan will not become effective and the 2014 Plan will continue to be effective in accordance with its terms.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Why You Should Vote to Approve the 2020 Plan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Equity Awards Are an Important Part of Our Compensation Philosophy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believes that the grant of equity awards is a key element underlying our ability to attract, retain and motivate our employees, non-employee directors and consultants because of the strong competition for highly trained and experienced individuals among biopharmaceutical companies. Therefore, the Board of Directors believes that the 2020 Plan is in the best interests of our business and our stockholders and recommends a vote in favor of this Proposal 4.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will allow us to continue to utilize equity awards as long-term incentives to secure and retain the services of our employees, non-employee directors and consultants, consistent with our compensation philosophy and common compensation practice for our industry. To date, equity awards have been a key aspect of our program to attract and retain key employees, non-employee directors and consultants. We believe the use of equity awards strongly aligns the interests of our employees with those of our stockholders by placing a considerable proportion of our employees’ total compensation “at risk” because it is contingent 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appreciation in value of our common stock. In addition, we believe equity awards encourage employee ownership of our common stock and promote retention through the reward of long-term Company performance.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Carefully Manage the Use of Equity Awards and Dilution is Reasonable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philosophy reflects broad-based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non-employee directors and consultants.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Overhang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certain information regarding our use of equity awards. </w:t>
      </w:r>
    </w:p>
    <w:tbl>
      <w:tblPr>
        <w:tblW w:w="8812" w:type="dxa"/>
        <w:jc w:val="left"/>
        <w:tblInd w:w="1393" w:type="dxa"/>
        <w:tblCellMar>
          <w:top w:w="0" w:type="dxa"/>
          <w:left w:w="0" w:type="dxa"/>
          <w:bottom w:w="28" w:type="dxa"/>
          <w:right w:w="0" w:type="dxa"/>
        </w:tblCellMar>
      </w:tblPr>
      <w:tblGrid>
        <w:gridCol w:w="6146"/>
        <w:gridCol w:w="109"/>
        <w:gridCol w:w="109"/>
        <w:gridCol w:w="2293"/>
        <w:gridCol w:w="155"/>
      </w:tblGrid>
      <w:tr>
        <w:trPr/>
        <w:tc>
          <w:tcPr>
            <w:tcW w:w="614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93" w:type="dxa"/>
            <w:tcBorders>
              <w:bottom w:val="single" w:sz="2" w:space="0" w:color="000000"/>
            </w:tcBorders>
            <w:shd w:fill="auto" w:val="clear"/>
            <w:tcMar>
              <w:bottom w:w="50" w:type="dxa"/>
            </w:tcMar>
            <w:vAlign w:val="center"/>
          </w:tcPr>
          <w:p>
            <w:pPr>
              <w:pStyle w:val="TableContents"/>
              <w:spacing w:before="0" w:after="0"/>
              <w:jc w:val="center"/>
              <w:rPr/>
            </w:pPr>
            <w:r>
              <w:rPr>
                <w:spacing w:val="4"/>
              </w:rPr>
              <w:t>As of December 31, 2019</w:t>
            </w:r>
            <w:r>
              <w:rPr/>
              <w:t xml:space="preserv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6146" w:type="dxa"/>
            <w:tcBorders/>
            <w:shd w:fill="CCEDFF" w:val="clear"/>
            <w:tcMar>
              <w:bottom w:w="0" w:type="dxa"/>
            </w:tcMar>
            <w:vAlign w:val="center"/>
          </w:tcPr>
          <w:p>
            <w:pPr>
              <w:pStyle w:val="TableContents"/>
              <w:spacing w:before="0" w:after="0"/>
              <w:ind w:left="200" w:right="0" w:hanging="200"/>
              <w:rPr>
                <w:spacing w:val="4"/>
              </w:rPr>
            </w:pPr>
            <w:r>
              <w:rPr>
                <w:spacing w:val="4"/>
              </w:rPr>
              <w:t xml:space="preserve">Total number of shares of common stock subject to outstanding stock options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293" w:type="dxa"/>
            <w:tcBorders/>
            <w:shd w:fill="CCEDFF" w:val="clear"/>
            <w:tcMar>
              <w:bottom w:w="0" w:type="dxa"/>
            </w:tcMar>
            <w:vAlign w:val="center"/>
          </w:tcPr>
          <w:p>
            <w:pPr>
              <w:pStyle w:val="TableContents"/>
              <w:spacing w:before="0" w:after="0"/>
              <w:jc w:val="center"/>
              <w:rPr>
                <w:spacing w:val="4"/>
              </w:rPr>
            </w:pPr>
            <w:r>
              <w:rPr>
                <w:spacing w:val="4"/>
              </w:rPr>
              <w:t xml:space="preserve">4,983,314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auto" w:val="clear"/>
            <w:tcMar>
              <w:bottom w:w="0" w:type="dxa"/>
            </w:tcMar>
            <w:vAlign w:val="center"/>
          </w:tcPr>
          <w:p>
            <w:pPr>
              <w:pStyle w:val="TableContents"/>
              <w:spacing w:before="0" w:after="283"/>
              <w:rPr>
                <w:spacing w:val="4"/>
              </w:rPr>
            </w:pPr>
            <w:r>
              <w:rPr>
                <w:spacing w:val="4"/>
              </w:rPr>
              <w:t xml:space="preserve">Weighted-average exercise price of outstanding stock options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93" w:type="dxa"/>
            <w:tcBorders/>
            <w:shd w:fill="auto" w:val="clear"/>
            <w:tcMar>
              <w:bottom w:w="0" w:type="dxa"/>
            </w:tcMar>
            <w:vAlign w:val="center"/>
          </w:tcPr>
          <w:p>
            <w:pPr>
              <w:pStyle w:val="TableContents"/>
              <w:spacing w:before="0" w:after="0"/>
              <w:jc w:val="center"/>
              <w:rPr>
                <w:spacing w:val="4"/>
              </w:rPr>
            </w:pPr>
            <w:r>
              <w:rPr>
                <w:spacing w:val="4"/>
              </w:rPr>
              <w:t xml:space="preserve">$7.79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CCEDFF" w:val="clear"/>
            <w:tcMar>
              <w:bottom w:w="0" w:type="dxa"/>
            </w:tcMar>
            <w:vAlign w:val="center"/>
          </w:tcPr>
          <w:p>
            <w:pPr>
              <w:pStyle w:val="TableContents"/>
              <w:spacing w:before="0" w:after="283"/>
              <w:rPr>
                <w:spacing w:val="4"/>
              </w:rPr>
            </w:pPr>
            <w:r>
              <w:rPr>
                <w:spacing w:val="4"/>
              </w:rPr>
              <w:t xml:space="preserve">Weighted-average remaining term of outstanding stock options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293" w:type="dxa"/>
            <w:tcBorders/>
            <w:shd w:fill="CCEDFF" w:val="clear"/>
            <w:tcMar>
              <w:bottom w:w="0" w:type="dxa"/>
            </w:tcMar>
            <w:vAlign w:val="center"/>
          </w:tcPr>
          <w:p>
            <w:pPr>
              <w:pStyle w:val="TableContents"/>
              <w:spacing w:before="0" w:after="0"/>
              <w:jc w:val="center"/>
              <w:rPr>
                <w:spacing w:val="4"/>
              </w:rPr>
            </w:pPr>
            <w:r>
              <w:rPr>
                <w:spacing w:val="4"/>
              </w:rPr>
              <w:t xml:space="preserve">8.9 years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auto" w:val="clear"/>
            <w:tcMar>
              <w:bottom w:w="0" w:type="dxa"/>
            </w:tcMar>
            <w:vAlign w:val="center"/>
          </w:tcPr>
          <w:p>
            <w:pPr>
              <w:pStyle w:val="TableContents"/>
              <w:spacing w:before="0" w:after="0"/>
              <w:ind w:left="200" w:right="0" w:hanging="200"/>
              <w:rPr>
                <w:spacing w:val="4"/>
              </w:rPr>
            </w:pPr>
            <w:r>
              <w:rPr>
                <w:spacing w:val="4"/>
              </w:rPr>
              <w:t xml:space="preserve">Total number of shares of common stock subject to outstanding full value awards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93" w:type="dxa"/>
            <w:tcBorders/>
            <w:shd w:fill="auto" w:val="clear"/>
            <w:tcMar>
              <w:bottom w:w="0" w:type="dxa"/>
            </w:tcMar>
            <w:vAlign w:val="center"/>
          </w:tcPr>
          <w:p>
            <w:pPr>
              <w:pStyle w:val="TableContents"/>
              <w:spacing w:before="0" w:after="0"/>
              <w:jc w:val="center"/>
              <w:rPr>
                <w:spacing w:val="4"/>
              </w:rPr>
            </w:pPr>
            <w:r>
              <w:rPr>
                <w:spacing w:val="4"/>
              </w:rPr>
              <w:t xml:space="preserve">0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CCEDFF" w:val="clear"/>
            <w:tcMar>
              <w:bottom w:w="0" w:type="dxa"/>
            </w:tcMar>
            <w:vAlign w:val="center"/>
          </w:tcPr>
          <w:p>
            <w:pPr>
              <w:pStyle w:val="TableContents"/>
              <w:spacing w:before="0" w:after="0"/>
              <w:ind w:left="200" w:right="0" w:hanging="200"/>
              <w:rPr/>
            </w:pPr>
            <w:r>
              <w:rPr>
                <w:spacing w:val="4"/>
              </w:rPr>
              <w:t>Total number of shares of common stock available for grant under the 2014 Plan</w:t>
            </w:r>
            <w:r>
              <w:rPr>
                <w:spacing w:val="3"/>
                <w:sz w:val="15"/>
              </w:rPr>
              <w:t>(1)</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293" w:type="dxa"/>
            <w:tcBorders/>
            <w:shd w:fill="CCEDFF" w:val="clear"/>
            <w:tcMar>
              <w:bottom w:w="0" w:type="dxa"/>
            </w:tcMar>
            <w:vAlign w:val="center"/>
          </w:tcPr>
          <w:p>
            <w:pPr>
              <w:pStyle w:val="TableContents"/>
              <w:spacing w:before="0" w:after="0"/>
              <w:jc w:val="center"/>
              <w:rPr>
                <w:spacing w:val="4"/>
              </w:rPr>
            </w:pPr>
            <w:r>
              <w:rPr>
                <w:spacing w:val="4"/>
              </w:rPr>
              <w:t xml:space="preserve">2,533,036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auto" w:val="clear"/>
            <w:tcMar>
              <w:bottom w:w="0" w:type="dxa"/>
            </w:tcMar>
            <w:vAlign w:val="center"/>
          </w:tcPr>
          <w:p>
            <w:pPr>
              <w:pStyle w:val="TableContents"/>
              <w:spacing w:before="0" w:after="283"/>
              <w:rPr>
                <w:spacing w:val="4"/>
              </w:rPr>
            </w:pPr>
            <w:r>
              <w:rPr>
                <w:spacing w:val="4"/>
              </w:rPr>
              <w:t xml:space="preserve">Total number of shares of common stock outstanding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93" w:type="dxa"/>
            <w:tcBorders/>
            <w:shd w:fill="auto" w:val="clear"/>
            <w:tcMar>
              <w:bottom w:w="0" w:type="dxa"/>
            </w:tcMar>
            <w:vAlign w:val="center"/>
          </w:tcPr>
          <w:p>
            <w:pPr>
              <w:pStyle w:val="TableContents"/>
              <w:spacing w:before="0" w:after="0"/>
              <w:jc w:val="center"/>
              <w:rPr>
                <w:spacing w:val="4"/>
              </w:rPr>
            </w:pPr>
            <w:r>
              <w:rPr>
                <w:spacing w:val="4"/>
              </w:rPr>
              <w:t xml:space="preserve">45,728,831 </w:t>
            </w:r>
          </w:p>
        </w:tc>
        <w:tc>
          <w:tcPr>
            <w:tcW w:w="155" w:type="dxa"/>
            <w:tcBorders/>
            <w:shd w:fill="auto" w:val="clear"/>
            <w:tcMar>
              <w:bottom w:w="0" w:type="dxa"/>
            </w:tcMar>
            <w:vAlign w:val="center"/>
          </w:tcPr>
          <w:p>
            <w:pPr>
              <w:pStyle w:val="TableContents"/>
              <w:spacing w:before="0" w:after="283"/>
              <w:rPr/>
            </w:pPr>
            <w:r>
              <w:rPr/>
              <w:t>​</w:t>
            </w:r>
          </w:p>
        </w:tc>
      </w:tr>
      <w:tr>
        <w:trPr/>
        <w:tc>
          <w:tcPr>
            <w:tcW w:w="6146" w:type="dxa"/>
            <w:tcBorders/>
            <w:shd w:fill="CCEDFF" w:val="clear"/>
            <w:tcMar>
              <w:bottom w:w="0" w:type="dxa"/>
            </w:tcMar>
            <w:vAlign w:val="center"/>
          </w:tcPr>
          <w:p>
            <w:pPr>
              <w:pStyle w:val="TableContents"/>
              <w:spacing w:before="0" w:after="0"/>
              <w:ind w:left="200" w:right="0" w:hanging="200"/>
              <w:rPr>
                <w:spacing w:val="4"/>
              </w:rPr>
            </w:pPr>
            <w:r>
              <w:rPr>
                <w:spacing w:val="4"/>
              </w:rPr>
              <w:t xml:space="preserve">Per-share closing price of common stock as reported on Nasdaq Global Market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293" w:type="dxa"/>
            <w:tcBorders/>
            <w:shd w:fill="CCEDFF" w:val="clear"/>
            <w:tcMar>
              <w:bottom w:w="0" w:type="dxa"/>
            </w:tcMar>
            <w:vAlign w:val="center"/>
          </w:tcPr>
          <w:p>
            <w:pPr>
              <w:pStyle w:val="TableContents"/>
              <w:spacing w:before="0" w:after="0"/>
              <w:jc w:val="center"/>
              <w:rPr/>
            </w:pPr>
            <w:r>
              <w:rPr>
                <w:spacing w:val="4"/>
              </w:rPr>
              <w:t>$2.88</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18" w:after="0"/>
        <w:ind w:left="1793"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As of December 31, 2019, there were no shares of common stock available for grant under any of our equity incentive plans, other than the 2014 Plan (as described in this table). </w:t>
      </w:r>
      <w:r>
        <mc:AlternateContent>
          <mc:Choice Requires="wps">
            <w:drawing>
              <wp:anchor behindDoc="0" distT="87630" distB="0" distL="0" distR="0" simplePos="0" locked="0" layoutInCell="1" allowOverlap="1" relativeHeight="38">
                <wp:simplePos x="0" y="0"/>
                <wp:positionH relativeFrom="column">
                  <wp:align>left</wp:align>
                </wp:positionH>
                <wp:positionV relativeFrom="line">
                  <wp:align>top</wp:align>
                </wp:positionV>
                <wp:extent cx="254000" cy="262890"/>
                <wp:effectExtent l="0" t="0" r="0" b="0"/>
                <wp:wrapSquare wrapText="largest"/>
                <wp:docPr id="34" name="Frame32"/>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both"/>
                              <w:rPr>
                                <w:sz w:val="18"/>
                              </w:rPr>
                            </w:pPr>
                            <w:r>
                              <w:rPr>
                                <w:spacing w:val="3"/>
                                <w:sz w:val="14"/>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spacing w:before="0" w:after="283"/>
                        <w:jc w:val="both"/>
                        <w:rPr>
                          <w:sz w:val="18"/>
                        </w:rPr>
                      </w:pPr>
                      <w:r>
                        <w:rPr>
                          <w:spacing w:val="3"/>
                          <w:sz w:val="14"/>
                        </w:rPr>
                        <w:t>(1)</w:t>
                      </w:r>
                      <w:r>
                        <w:rPr>
                          <w:sz w:val="18"/>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Size of Our Share Reserve Request Is Reasonable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Proposal 4 is approved by our stockholders, we will have 3,260,000 new shares available for grant after the Annual Meeting, subject to adjustment for certain changes in our capitalization.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2020 Plan Combines Compensation and Governance Best Practices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includes provisions that are designed to protect our stockholders’ interests and to reflect corporate governance best practices, including: </w:t>
      </w:r>
    </w:p>
    <w:p>
      <w:pPr>
        <w:pStyle w:val="TextBody"/>
        <w:spacing w:lineRule="atLeast" w:line="240" w:before="11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approval is required for additional shares</w:t>
      </w:r>
      <w:r>
        <w:rPr>
          <w:rFonts w:ascii="Times New Roman;Times;serif" w:hAnsi="Times New Roman;Times;serif"/>
          <w:b w:val="false"/>
          <w:i w:val="false"/>
          <w:caps w:val="false"/>
          <w:smallCaps w:val="false"/>
          <w:color w:val="000000"/>
          <w:spacing w:val="4"/>
          <w:sz w:val="20"/>
        </w:rPr>
        <w:t xml:space="preserve">. The 2020 Plan does not contain an annual “evergreen” provision. The 2020 Plan authorizes a fixed number of shares, so that stockholder approval is required to issue any additional shares.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largest"/>
                <wp:docPr id="35" name="Frame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Fungible share counting.</w:t>
      </w:r>
      <w:r>
        <w:rPr>
          <w:rFonts w:ascii="Times New Roman;Times;serif" w:hAnsi="Times New Roman;Times;serif"/>
          <w:b w:val="false"/>
          <w:i w:val="false"/>
          <w:caps w:val="false"/>
          <w:smallCaps w:val="false"/>
          <w:color w:val="000000"/>
          <w:spacing w:val="4"/>
          <w:sz w:val="20"/>
        </w:rPr>
        <w:t xml:space="preserve"> The 2020 Plan contains a “fungible share counting” structure, whereby the number of shares of our common stock available for issuance under the 2020 Plan will be reduced by (i) one share for each share issued pursuant to a stock option or stock appreciation right with an exercise price that is at least 100% of the fair market value of our common stock on the date of grant (an “Appreciation Award”) granted under the 2020 Plan and (ii) 1.23 shares for each share issued pursuant to an award that is not an Appreciation Award (a “Full Value Award”) granted under the 2020 Plan. As part of such fungible share counting structure, the number of shares of our common stock available for issuance under the 2020 Plan will be increased by (i) one share for each share that becomes available again for issuance under the terms of the 2020 Plan subject to an Appreciation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largest"/>
                <wp:docPr id="36" name="Frame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and (ii) 1.23 shares for each share that becomes available again for issuance under the terms of the 2020 Plan subject to a Full Value Award. </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liberal share recycling of Full Value Awards</w:t>
      </w:r>
      <w:r>
        <w:rPr>
          <w:rFonts w:ascii="Times New Roman;Times;serif" w:hAnsi="Times New Roman;Times;serif"/>
          <w:b w:val="false"/>
          <w:i w:val="false"/>
          <w:caps w:val="false"/>
          <w:smallCaps w:val="false"/>
          <w:color w:val="000000"/>
          <w:spacing w:val="4"/>
          <w:sz w:val="20"/>
        </w:rPr>
        <w:t xml:space="preserve">. The following shares will not become available again for issuance under the 2020 Plan: (i) shares underlying Full Value Awards that are reacquired or withheld (or not issued) by us to satisfy the purchase price of an award; (ii) shares underlying Full Value Awards that are reacquired or withheld (or not issued) by us to satisfy a tax withholding obligation in connection with an award; and (iii) any shares repurchased by us on the open market with the proceeds of the purchase price of Full Value Awards.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largest"/>
                <wp:docPr id="37" name="Frame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Repricing is not allowed</w:t>
      </w:r>
      <w:r>
        <w:rPr>
          <w:rFonts w:ascii="Times New Roman;Times;serif" w:hAnsi="Times New Roman;Times;serif"/>
          <w:b w:val="false"/>
          <w:i w:val="false"/>
          <w:caps w:val="false"/>
          <w:smallCaps w:val="false"/>
          <w:color w:val="000000"/>
          <w:spacing w:val="4"/>
          <w:sz w:val="20"/>
        </w:rPr>
        <w:t xml:space="preserve">. The 2020 Plan prohibits the repricing of outstanding stock options and stock appreciation rights, and the cancellation of any outstanding stock options or stock appreciation rights that have an exercise or strike price greater than the then-current fair market value of our common stock in exchange for cash or other stock awards under the 2020 Plan, without prior stockholder approval.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largest"/>
                <wp:docPr id="38" name="Frame3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discounted stock options or stock appreciation rights</w:t>
      </w:r>
      <w:r>
        <w:rPr>
          <w:rFonts w:ascii="Times New Roman;Times;serif" w:hAnsi="Times New Roman;Times;serif"/>
          <w:b w:val="false"/>
          <w:i w:val="false"/>
          <w:caps w:val="false"/>
          <w:smallCaps w:val="false"/>
          <w:color w:val="000000"/>
          <w:spacing w:val="4"/>
          <w:sz w:val="20"/>
        </w:rPr>
        <w:t xml:space="preserve">. All stock options and stock appreciation rights granted under the 2020 Plan must have an exercise price equal to or greater than the fair market value of our common stock on the date the stock option or stock appreciation right is granted.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largest"/>
                <wp:docPr id="39" name="Frame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 on non-employee director compensation</w:t>
      </w:r>
      <w:r>
        <w:rPr>
          <w:rFonts w:ascii="Times New Roman;Times;serif" w:hAnsi="Times New Roman;Times;serif"/>
          <w:b w:val="false"/>
          <w:i w:val="false"/>
          <w:caps w:val="false"/>
          <w:smallCaps w:val="false"/>
          <w:color w:val="000000"/>
          <w:spacing w:val="4"/>
          <w:sz w:val="20"/>
        </w:rPr>
        <w:t xml:space="preserve">. The aggregate value of all compensation granted or paid by us to any individual for service as a non-employee director with respect to any calendar year (such period, the “annual period”), including awards granted under the 2020 Plan and cash fees paid to such non-employee director, will not exceed (i) $500,000 in total value or (ii) in the event such non-employee director is first appointed or elected to the Board of Directors during such annual period, $750,000 in total value. For purposes of these limitations, the value of any equity awards is calculated based on the grant date fair value of such awards for financial reporting purposes.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largest"/>
                <wp:docPr id="40" name="Frame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dividends and dividend equivalents</w:t>
      </w:r>
      <w:r>
        <w:rPr>
          <w:rFonts w:ascii="Times New Roman;Times;serif" w:hAnsi="Times New Roman;Times;serif"/>
          <w:b w:val="false"/>
          <w:i w:val="false"/>
          <w:caps w:val="false"/>
          <w:smallCaps w:val="false"/>
          <w:color w:val="000000"/>
          <w:spacing w:val="4"/>
          <w:sz w:val="20"/>
        </w:rPr>
        <w:t xml:space="preserve">. The 2020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largest"/>
                <wp:docPr id="41" name="Frame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Awards subject to forfeiture/clawback</w:t>
      </w:r>
      <w:r>
        <w:rPr>
          <w:rFonts w:ascii="Times New Roman;Times;serif" w:hAnsi="Times New Roman;Times;serif"/>
          <w:b w:val="false"/>
          <w:i w:val="false"/>
          <w:caps w:val="false"/>
          <w:smallCaps w:val="false"/>
          <w:color w:val="000000"/>
          <w:spacing w:val="4"/>
          <w:sz w:val="20"/>
        </w:rPr>
        <w:t xml:space="preserve">. Awards granted under the 2020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largest"/>
                <wp:docPr id="42" name="Frame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Termination of stock options and stock appreciation rights on a participant’s termination for cause</w:t>
      </w:r>
      <w:r>
        <w:rPr>
          <w:rFonts w:ascii="Times New Roman;Times;serif" w:hAnsi="Times New Roman;Times;serif"/>
          <w:b w:val="false"/>
          <w:i w:val="false"/>
          <w:caps w:val="false"/>
          <w:smallCaps w:val="false"/>
          <w:color w:val="000000"/>
          <w:spacing w:val="4"/>
          <w:sz w:val="20"/>
        </w:rPr>
        <w:t xml:space="preserve">. If a participant’s service is terminated for cause, which is defined under the 2020 Plan as (i) the participant’s attempted commission of, or participation in, a fraud or act of dishonesty against the Company; (ii) the participant’s intentional, material violation of any contract or agreement between the participant and the Company or of any statutory duty owed to the Company; (iii) the participant’s unauthorized use or disclosure of the Company’s confidential information or trade secrets; or (iv) the participant’s gross misconduct, the participant’s stock options and stock appreciation rights terminate immediately, and the participant is prohibited from exercising his or her stock options and stock appreciation rights.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largest"/>
                <wp:docPr id="43" name="Frame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liberal change in control definition</w:t>
      </w:r>
      <w:r>
        <w:rPr>
          <w:rFonts w:ascii="Times New Roman;Times;serif" w:hAnsi="Times New Roman;Times;serif"/>
          <w:b w:val="false"/>
          <w:i w:val="false"/>
          <w:caps w:val="false"/>
          <w:smallCaps w:val="false"/>
          <w:color w:val="000000"/>
          <w:spacing w:val="4"/>
          <w:sz w:val="20"/>
        </w:rPr>
        <w:t xml:space="preserve">. The change in control definition in the 2020 Plan is not a “liberal” definition. A change in control transaction must actually occur in order for the change in control provisions in the 2020 Plan to be triggered.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largest"/>
                <wp:docPr id="44" name="Frame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accelerated vesting of assumed awards upon change in control</w:t>
      </w:r>
      <w:r>
        <w:rPr>
          <w:rFonts w:ascii="Times New Roman;Times;serif" w:hAnsi="Times New Roman;Times;serif"/>
          <w:b w:val="false"/>
          <w:i w:val="false"/>
          <w:caps w:val="false"/>
          <w:smallCaps w:val="false"/>
          <w:color w:val="000000"/>
          <w:spacing w:val="4"/>
          <w:sz w:val="20"/>
        </w:rPr>
        <w:t xml:space="preserve">. The 2020 Plan does not provide for accelerated vesting of awards that are assumed by an acquirer upon a change in control.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254000" cy="350520"/>
                <wp:effectExtent l="0" t="0" r="0" b="0"/>
                <wp:wrapSquare wrapText="largest"/>
                <wp:docPr id="45" name="Frame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Material amendments require stockholder approval</w:t>
      </w:r>
      <w:r>
        <w:rPr>
          <w:rFonts w:ascii="Times New Roman;Times;serif" w:hAnsi="Times New Roman;Times;serif"/>
          <w:b w:val="false"/>
          <w:i w:val="false"/>
          <w:caps w:val="false"/>
          <w:smallCaps w:val="false"/>
          <w:color w:val="000000"/>
          <w:spacing w:val="4"/>
          <w:sz w:val="20"/>
        </w:rPr>
        <w:t xml:space="preserve">. Consistent with Nasdaq rules, the 2020 Plan requires stockholder approval of any material revisions to the 2020 Plan. In addition, certain other amendments to the 2020 Plan require stockholder approval. </w:t>
      </w:r>
      <w:r>
        <mc:AlternateContent>
          <mc:Choice Requires="wps">
            <w:drawing>
              <wp:anchor behindDoc="0" distT="6477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largest"/>
                <wp:docPr id="46" name="Frame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Vote Required </w:t>
      </w:r>
    </w:p>
    <w:p>
      <w:pPr>
        <w:pStyle w:val="TextBody"/>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Annual Meeting, the stockholders are being asked to approve the 2020 Plan. The affirmative vote of the holders of a majority of the shares represented at the virtual meeting or by proxy at the Annual Meeting and entitled to vote on the item will be required to approve the 2020 Plan. </w:t>
      </w:r>
      <w:r>
        <w:rPr>
          <w:rFonts w:ascii="Times New Roman;Times;serif" w:hAnsi="Times New Roman;Times;serif"/>
          <w:b/>
          <w:i w:val="false"/>
          <w:caps w:val="false"/>
          <w:smallCaps w:val="false"/>
          <w:color w:val="000000"/>
          <w:spacing w:val="4"/>
          <w:sz w:val="20"/>
        </w:rPr>
        <w:t>The Board of Directors recommends voting “FOR” the approval of the 2020 Plan.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Description of the 2020 Plan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features of the 2020 Plan are described below. The following description of the 2020 Plan is a summary only and is qualified in its entirety by reference to the complete text of the 2020 Plan. Stockholders are urged to read the actual text of the 2020 Plan in its entirety, which is attached to this proxy statement as Appendix A.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Purpose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2020 Plan is also designed to align employees’ interests with stockholder interests.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Successor to Prior Plans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is intended to be the successor to the Prior Plans. If the 2020 Plan is approved by our stockholders, no additional awards will be granted under the Prior Plans. If the 2020 Plan is not approved by our stockholders, the 2020 Plan will not become effective and the 2014 Plan will continue to be effective in accordance with its terms.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Types of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2020 Plan provide for the grant of incentive stock options, nonstatutory stock options, stock appreciation rights, restricted stock awards, restricted stock unit awards, performance awards, and other awards.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Shares Available for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for certain changes in our capitalization, the aggregate number of shares of our common stock that may be issued under the 2020 Plan will not exceed the sum of (i) 3,260,000 new shares, (ii) the number of shares remaining available for the grant of new awards under the Prior Plans as of immediately prior to the effective date of the 2020 Plan and (iii) the Prior Plans’ Returning Shares (as defined below), as such shares become available from time to time.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“Prior Plans’ Returning Shares” are shares of our common stock subject to outstanding awards granted under the Prior Plans that on or following the effective date of the 2020 Plan: (i) are not issued because such award or any portion thereof expires or otherwise terminates without all of the shares covered by such award having been issued; (ii) are not issued because such award or any portion thereof is settled in cash; (iii) are forfeited back to or repurchased by us because of the failure to meet a contingency or condition required for the vesting of such shares, (iv) are withheld or reacquired by us to satisfy the exercise, strike or purchase price; or (v) are withheld or reacquired by us to satisfy a tax withholding obligation.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our common stock available for issuance under the 2020 Plan will be reduced by (i) one share for each share of our common stock issued pursuant to an Appreciation Award (i.e., a stock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 or stock appreciation right with an exercise or strike price of at least 100% of the fair market value of the underlying common stock on the date of grant), and (ii) 1.23 shares for each share of our common stock issued pursuant to a Full Value Award (i.e., an award that is not an Appreciation Award).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actions will not result in an issuance of shares of our common stock under the 2020 Plan and accordingly will not reduce the number of shares of our common stock available for issuance under the 2020 Plan: (i) the expiration or termination of any portion of an award granted under the 2020 Plan without the shares covered by such portion of the award having been issued; (ii) the settlement of any portion of an award granted under the 2020 Plan in cash; (iii) the withholding of shares to satisfy the exercise or strike price of an Appreciation Award; or (iv) the withholding of shares to satisfy a tax withholding obligation in connection with an Appreciation Award.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shares of our common stock issued pursuant to an award granted under the 2020 Plan are (i) forfeited back to or repurchased by us because of the failure to meet a contingency or condition required for the vesting of such shares or if any shares; (ii) reacquired by us to satisfy the exercise or strike price of an Appreciation Award; or (iii) reacquired by us to satisfy a tax withholding obligation in connection with an Appreciation Award, then such shares will become available again for issuance under the 2020 Plan. For each share subject to a Full Value Award, the number of shares of our common stock available for issuance under the 2020 Plan will increase by 1.23 shares.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shares of our common stock reacquired or withheld (or not issued) by us to satisfy the purchase price of a Full Value Award will no longer be available for issuance under the 2020 Plan, including any shares subject to a Full Value Award that are not delivered to a participant because such Full Value Award is settled through a reduction of shares subject to such Full Value Award. In addition, any shares reacquired or withheld (or not issued) by us to satisfy a tax withholding obligation in connection with a Full Value Award, or any shares repurchased by us on the open market with the proceeds from the purchase price of a Full Value Award will no longer be available for issuance under the Plan.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Eligibility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(including our affiliates’) employees, non-employee directors and consultants are eligible to participate in the 2020 Plan and may receive all types of awards other than incentive stock options. Incentive stock options may be granted under the 2020 Plan only to our (including our affiliates’) employees.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20, 2020, we (including our affiliates) had 29 employees, five non-employee directors and 13 consultants.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Administration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will be administered by our Board of Directors, which may in turn delegate some or all of the administration of the 2020 Plan to a committee or committees composed of members of the Board of Directors. Our Board of Directors has delegated concurrent authority to administer the 2020 Plan to our Compensation Committee, but may, at any time, revest in itself some or all of the power delegated to our Compensation Committee. Our Board of Directors and Compensation Committee are each considered to be a Plan Administrator for purpose of this Proposal 4.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2020 Plan, the Plan Administrator may determine the recipients, the types of awards to be granted, the number of shares of our common stock subject to or the cash value of awards, and the terms and conditions of awards granted under the 2020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 strike price of stock options and stock appreciation rights granted under the 2020 Plan.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 will specify the total number of shares of our common stock that may be subject to the awards granted by such executive officer. The executive officer may not grant an award to himself or herself.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Repricing; Cancellation and Re-Grant of Stock Options or Stock Appreciation Rights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Plan, unless our stockholders have approved such an action within 12 months prior to such an event, the Plan Administrator does not have the authority to reprice any outstanding stock option or stock appreciation right by (1) reducing the exercise or strike price of the stock option or stock appreciation right or (2) canceling any outstanding stock option or stock appreciation right that has an exercise or strike price greater than the then-current fair market value of our common stock in exchange for cash or other awards.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Dividends and Dividend Equivalents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provides that (i) no dividends or dividend equivalents may be paid with respect to any shares of our common 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 Subject to the foregoing, the 2020 Plan further provides that dividends or dividend equivalents may be paid or credited to shares of our common stock subject to a restricted stock award or restricted stock unit award granted under the 2020 Plan, as determined by the Plan Administrator and specified in the applicable award agreement.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Limit on Non-Employee Director Compensation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value of all compensation granted or paid by us to any individual for service as a non-employee director with respect to any calendar year (such period, the “annual period”), including awards granted under the 2020 Plan and cash fees paid to such non-employee director, will not exceed (i) $500,000 in total value or (ii) in the event such non-employee director is first appointed or elected to the Board of Directors during such annual period, $750,000 in total value. For purposes of these limitations, the value of any equity awards is calculated based on the grant date fair value of such awards for financial reporting purposes.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Stock Options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may be granted under the 2020 Plan pursuant to stock option agreements. The 2020 Plan permits the grant of stock options that are intended to qualify as incentive stock options, or ISOs, and nonstatutory stock options, or NSOs.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a stock option granted under the 2020 Plan may not be less than 100% of the fair market value of the common stock subject to the stock option on the date of grant and, in some cases (see “—Limitations on Incentive Stock Options” below), may not be less than 110% of such fair market value.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stock options granted under the 2020 Plan may not exceed ten years from the date of grant and, in some cases (see “—Limitations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4 as “continuous service”) terminates (other than for cause (as defined in the 2020 Plan) or the participant’s death or disability (as defined in the 2020 Plan)),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the participant may exercise any vested stock options for up to 12 months following the participant’s termination due to the participant’s disability. Except as otherwise provided in a participant’s stock option agreement or other written agreement with us or one of our affiliates, if a participant’s continuous service terminates due to the participant’s death (or the participant dies within a specified period following termination of continuous service), the participant’s beneficiary may exercise any vested stock options for up to 18 months following the participant’s death. Except as explicitly provided otherwise in a participant’s stock option agreement or other written agreement with us or one of our affiliates,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or one of our affiliates, the term of a stock option may be extended if a participant’s continuous service terminates for any reason other than for cause and, at any time during the last 30 days of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 </w:t>
      </w:r>
    </w:p>
    <w:p>
      <w:pPr>
        <w:pStyle w:val="TextBody"/>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Acceptable forms of consideration for the purchase of our common stock pursuant to the exercise of a stock option under the 2020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 </w:t>
      </w:r>
    </w:p>
    <w:p>
      <w:pPr>
        <w:pStyle w:val="TextBody"/>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granted under the 2020 Plan may become exercisable in cumulative increments, or “vest,” as determined by the Plan Administrator at the rate specified in the stock option agreement. Shares covered by different stock options granted under the 2020 Plan may be subject to different vesting schedules as the Plan Administrator may determine. </w:t>
      </w:r>
    </w:p>
    <w:p>
      <w:pPr>
        <w:pStyle w:val="TextBody"/>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Administrator may impose limitations on the transferability of stock options granted under the 2020 Plan in its discretion. Generally, a participant may not transfer a stock option granted under the 2020 Plan other than by will or the laws of descent and distribution or, subject to approval by the Plan Administrator, pursuant to a domestic relations order. However, the Plan Administrator may permit transfer of a stock option in a manner that is not prohibited by applicable tax and securities laws. Options may not be transferred to a third party financial institution for value.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Limitations on Incentive Stock Options </w:t>
      </w:r>
    </w:p>
    <w:p>
      <w:pPr>
        <w:pStyle w:val="TextBody"/>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 </w:t>
      </w:r>
    </w:p>
    <w:p>
      <w:pPr>
        <w:pStyle w:val="TextBody"/>
        <w:spacing w:lineRule="atLeast" w:line="240" w:before="10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the ISO must be at least 110% of the fair market value of the common stock subject to the ISO on the date of grant; and </w:t>
      </w:r>
      <w:r>
        <mc:AlternateContent>
          <mc:Choice Requires="wps">
            <w:drawing>
              <wp:anchor behindDoc="0" distT="6858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largest"/>
                <wp:docPr id="47" name="Frame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of the ISO must not exceed five years from the date of grant. </w:t>
      </w:r>
      <w:r>
        <mc:AlternateContent>
          <mc:Choice Requires="wps">
            <w:drawing>
              <wp:anchor behindDoc="0" distT="6858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largest"/>
                <wp:docPr id="48" name="Frame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adjustment for certain changes in our capitalization, the aggregate maximum number of shares of our common stock that may be issued pursuant to the exercise of ISOs under the 2020 Plan is 13,453,608 shares.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Stock Appreciation Rights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appreciation rights may be granted under the 2020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 stock appreciation rights granted under the 2020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2020 Plan.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Restricted Stock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awards may be granted under the 2020 Plan pursuant to restricted stock award agreements. A restricted stock award may be granted in consideration for cash, check, bank draft or money order payable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Restricted Stock Unit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unit awards may be granted under the 2020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Performance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allows us to grant performance awards. A performance award is an award that may vest or may be exercised, or that may become earned and paid, contingent upon the attainment of pre-determined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goals under the 2020 Plan are, for a performance period, the one or more goals established by the Plan Administrator for the performance period based upon the performance criteria that the Plan Administrator will select.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Plan Administrator will appropriately make adjustments in the method of calculating the attainment of the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Plan Administrator retains the discretion to define the manner of calculating the performance criteria it selects to use for a performance period and to reduce or eliminate the compensation or economic benefit due upon the attainment of any performance goal.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Other Awards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forms of awards valued in whole or in part by reference to, or otherwise based on, our common stock may be granted either alone or in addition to other awards under the 2020 Plan. Subject to the terms of the 2020 Plan, the Plan Administrator will have sole and complete authority to determine the persons to whom and the time or times at which such other awards will be granted, the number of shares of our common stock to be granted and all other terms and conditions of such other awards.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Clawback Policy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granted under the 2020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other clawback policy that the Company adopts. In addition, the Board of Directors may impose other clawback, recovery or recoupment provisions in an award agreement, including a reacquisition right in respect of previously acquired shares or other cash or property upon the occurrence of cause.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Changes to Capital Structure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certain capitalization adjustments, the Plan Administrator will appropriately and proportionately adjust: (i) the class(es) and maximum number of shares of our common stock subject to the 2020 Plan; (ii) the class(es) and maximum number of shares of our common stock that may be issued pursuant to the exercise of ISOs; and (iii) the class(es) and number of shares of our common stock and the exercise, strike or purchase price per share of our common stock subject to outstanding awards.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Corporate Transaction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applies to each outstanding award under the 2020 Plan in the event of a corporate transaction (as defined in the 2020 Plan and described below), unless provided otherwise in the applicable award agreement, in any other written agreement between a participant and the Company or an affiliate, or in any director compensation policy of the Company. For purposes of this Proposal 4, the term “Transaction” will mean such corporate transaction.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Transaction, any awards outstanding under the 2020 Plan may be assumed, continued or substituted for by any surviving 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(i) with respect to any such awards that are held by participants who are employees or non-employee directors and, in each case, whose continuous service has not terminated prior to the effective time of the Transaction (such participants, the “current employee and director participants”), the vesting (and exercisability, if applicable) of such awards will be accelerated in full (and with respect to any such awards that are subject to performance-based vesting conditions or requirements, vesting will be deemed to be satisfied at the target level of performance as of the date of the Transaction) to a date prior to the effective time of the Transaction (contingent upon the effectiveness of the Transaction), and such awards will terminate if not exercised (if applicable) at or prior to the effective time of the Transaction, and any reacquisition or repurchase rights held by us with respect to such awards will lapse (contingent upon the effectiveness of the Transaction), and (ii) any such awards that are held by persons other than current employee and director participants will terminate if not exercised (if applicable) at or prior to the effective time of the Transaction, except that any reacquisition or repurchase rights held by us with respect to such awards will not terminate and may continue to be exercised notwithstanding the Transaction.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an award will terminate if not exercised at or prior to the effective time of a Transaction, the Plan Administrator may provide that the holder of such award may not exercise such award but instead will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a payment equal in value to the excess, if any, of (i) the value of the property the participant would have received upon the exercise of the award, over (ii) any exercise price payable by such holder in connection with such exercise.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an “assumed award” generally means any outstanding award under the 2020 Plan that was assumed or continued, or any outstanding similar award that was granted in substitution for an award under the 2020 Plan, in each case by the acquiring entity in connection with the applicable Transaction.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Plan, a “corporate transaction” generally means the consummation of any one or more of the following events: (1) a sale or other disposition of all or substantially all of our assets; (2) a sale or other disposition of at least 50% of our outstanding securities; (3) a merger, consolidation or similar transaction where we do not survive the transaction; or (4) a merger, consolidation or similar transaction where we do survive the transaction but the shares of our common stock outstanding immediately before such transaction are converted or exchanged into other property by virtue of the transaction.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Change in Control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provided otherwise in the applicable award agreement, in any other written agreement or plan between a participant and the Company or an affiliate, or in any director compensation policy of the Company, an award will not be subject to additional acceleration of vesting and exercisability upon or after a change in control.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our stockholders approve or our Board of Directors approves our complete dissolution or liquidation, or our complete dissolution or liquidation otherwise occurs;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 of our Board of Directors becomes comprised of individuals who were not serving on our Board of Directors on the date the 2020 Plan was adopted by our Compensation Committee (the “incumbent Board of Directors”), or whose nomination, appointment, or election was not approved by a majority of the incumbent Board of Directors still in office.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Plan Amendments and Termination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Administrator will have the authority to amend or terminate the 2020 Plan at any time. However, except as otherwise provided in the 2020 Plan, no amendment or termination of the 2020 Plan may materially impair a participant’s rights under his or her outstanding awards without the participant’s consent. We will obtain stockholder approval of any amendment to the 2020 Plan as required by applicable law and listing requirements.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U.S. Federal Income Tax Consequences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United States federal income tax consequences to participants and us with respect to participation in the 2020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2020 Plan. The 2020 Plan is not qualified under the provisions of Section 401(a) of the Internal Revenue Code of 1986, as amended, (the “Code”) and is not subject to any of the provisions of the Employee Retirement Income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Act of 1974. Our ability to realize the benefit of any tax deductions described below depends on our generation of taxable income as well as the requirement of reasonableness and the satisfaction of our tax reporting obligations.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Nonstatutory Stock Options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 of reasonableness, the provisions of Section 162(m) of the Code, and the satisfaction of a tax reporting obligation, we will generally be entitled to a tax deduction equal to the taxable ordinary income realized by the participant.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Incentive Stock Options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Restricted Stock Awards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recipient of a restricted stock award will recognize ordinary income at the time the stock is received equal to the excess, if any, of the fair market value of the stock received over any amount paid by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Restricted Stock Unit Awards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recipient’s basis for the determination of gain or loss upon the subsequent disposition of shares acquired from a restricted stock unit award will be the amount paid for such shares plus any ordinary income recognized when the stock is delivered.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Stock Appreciation Rights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Section 162(m) Limitations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162(m) of the Code, compensation paid to any publicly held corporation’s “covered employees” that exceeds $1 million per taxable year for any covered employee is generally non-deductible. Awards granted under the 2020 Plan will be subject to the deduction limit under Section 162(m) of the Code and will not be eligible to qualify for the performance-based compensation exception under Section 162(m) of the Code pursuant to the transition relief provided by the Tax Cuts and Jobs Act.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40"/>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New Plan Benefits under 2020 Plan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future benefits under the 2020 Plan. </w:t>
      </w:r>
    </w:p>
    <w:tbl>
      <w:tblPr>
        <w:tblW w:w="8812" w:type="dxa"/>
        <w:jc w:val="left"/>
        <w:tblInd w:w="1393" w:type="dxa"/>
        <w:tblCellMar>
          <w:top w:w="0" w:type="dxa"/>
          <w:left w:w="0" w:type="dxa"/>
          <w:bottom w:w="42" w:type="dxa"/>
          <w:right w:w="0" w:type="dxa"/>
        </w:tblCellMar>
      </w:tblPr>
      <w:tblGrid>
        <w:gridCol w:w="6342"/>
        <w:gridCol w:w="109"/>
        <w:gridCol w:w="109"/>
        <w:gridCol w:w="129"/>
        <w:gridCol w:w="129"/>
        <w:gridCol w:w="376"/>
        <w:gridCol w:w="130"/>
        <w:gridCol w:w="109"/>
        <w:gridCol w:w="109"/>
        <w:gridCol w:w="193"/>
        <w:gridCol w:w="193"/>
        <w:gridCol w:w="534"/>
        <w:gridCol w:w="194"/>
        <w:gridCol w:w="156"/>
      </w:tblGrid>
      <w:tr>
        <w:trPr/>
        <w:tc>
          <w:tcPr>
            <w:tcW w:w="6342" w:type="dxa"/>
            <w:tcBorders>
              <w:bottom w:val="single" w:sz="2" w:space="0" w:color="000000"/>
            </w:tcBorders>
            <w:shd w:fill="auto" w:val="clear"/>
            <w:vAlign w:val="center"/>
          </w:tcPr>
          <w:p>
            <w:pPr>
              <w:pStyle w:val="TableContents"/>
              <w:spacing w:before="0" w:after="0"/>
              <w:jc w:val="left"/>
              <w:rPr>
                <w:spacing w:val="4"/>
              </w:rPr>
            </w:pPr>
            <w:r>
              <w:rPr>
                <w:spacing w:val="4"/>
              </w:rPr>
              <w:t xml:space="preserve">Name and Position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64" w:type="dxa"/>
            <w:gridSpan w:val="4"/>
            <w:tcBorders>
              <w:bottom w:val="single" w:sz="2" w:space="0" w:color="000000"/>
            </w:tcBorders>
            <w:shd w:fill="auto" w:val="clear"/>
            <w:vAlign w:val="center"/>
          </w:tcPr>
          <w:p>
            <w:pPr>
              <w:pStyle w:val="TableContents"/>
              <w:spacing w:before="0" w:after="0"/>
              <w:jc w:val="center"/>
              <w:rPr/>
            </w:pPr>
            <w:r>
              <w:rPr>
                <w:spacing w:val="4"/>
              </w:rPr>
              <w:t xml:space="preserve">Dollar </w:t>
            </w:r>
            <w:r>
              <w:rPr/>
              <w:br/>
            </w:r>
            <w:r>
              <w:rPr>
                <w:spacing w:val="4"/>
              </w:rPr>
              <w:t xml:space="preserve">Value </w:t>
            </w:r>
            <w:r>
              <w:rPr/>
              <w:br/>
            </w:r>
            <w:r>
              <w:rPr>
                <w:spacing w:val="4"/>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pPr>
            <w:r>
              <w:rPr>
                <w:spacing w:val="4"/>
              </w:rPr>
              <w:t>Number of</w:t>
            </w:r>
            <w:r>
              <w:rPr/>
              <w:t xml:space="preserve"> </w:t>
              <w:br/>
            </w:r>
            <w:r>
              <w:rPr>
                <w:spacing w:val="4"/>
              </w:rPr>
              <w:t xml:space="preserve">Units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6342" w:type="dxa"/>
            <w:tcBorders/>
            <w:shd w:fill="CCEDFF" w:val="clear"/>
            <w:tcMar>
              <w:bottom w:w="0" w:type="dxa"/>
            </w:tcMar>
            <w:vAlign w:val="center"/>
          </w:tcPr>
          <w:p>
            <w:pPr>
              <w:pStyle w:val="TableContents"/>
              <w:spacing w:before="0" w:after="0"/>
              <w:ind w:left="200" w:right="0" w:hanging="200"/>
              <w:jc w:val="left"/>
              <w:rPr/>
            </w:pPr>
            <w:r>
              <w:rPr>
                <w:spacing w:val="4"/>
              </w:rPr>
              <w:t>Peter Hoang</w:t>
            </w:r>
            <w:r>
              <w:rPr/>
              <w:t xml:space="preserve"> </w:t>
              <w:br/>
            </w:r>
            <w:r>
              <w:rPr>
                <w:spacing w:val="4"/>
              </w:rPr>
              <w:t>     President, Chief Executive Officer and Director</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jc w:val="right"/>
              <w:rPr/>
            </w:pPr>
            <w:r>
              <w:rPr/>
              <w:t>​</w:t>
            </w:r>
          </w:p>
        </w:tc>
        <w:tc>
          <w:tcPr>
            <w:tcW w:w="376" w:type="dxa"/>
            <w:tcBorders/>
            <w:shd w:fill="CCEDFF" w:val="clear"/>
            <w:tcMar>
              <w:bottom w:w="0" w:type="dxa"/>
            </w:tcMar>
            <w:vAlign w:val="center"/>
          </w:tcPr>
          <w:p>
            <w:pPr>
              <w:pStyle w:val="TableContents"/>
              <w:spacing w:before="0" w:after="283"/>
              <w:jc w:val="right"/>
              <w:rPr/>
            </w:pPr>
            <w:r>
              <w:rPr/>
              <w:t>(1)</w:t>
            </w:r>
          </w:p>
        </w:tc>
        <w:tc>
          <w:tcPr>
            <w:tcW w:w="130"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jc w:val="right"/>
              <w:rPr/>
            </w:pPr>
            <w:r>
              <w:rPr/>
              <w:t>​</w:t>
            </w:r>
          </w:p>
        </w:tc>
        <w:tc>
          <w:tcPr>
            <w:tcW w:w="534" w:type="dxa"/>
            <w:tcBorders/>
            <w:shd w:fill="CCEDFF" w:val="clear"/>
            <w:tcMar>
              <w:bottom w:w="0" w:type="dxa"/>
            </w:tcMar>
            <w:vAlign w:val="center"/>
          </w:tcPr>
          <w:p>
            <w:pPr>
              <w:pStyle w:val="TableContents"/>
              <w:spacing w:before="0" w:after="283"/>
              <w:jc w:val="right"/>
              <w:rPr/>
            </w:pPr>
            <w:r>
              <w:rPr/>
              <w:t>(1)</w:t>
            </w:r>
          </w:p>
        </w:tc>
        <w:tc>
          <w:tcPr>
            <w:tcW w:w="194" w:type="dxa"/>
            <w:tcBorders/>
            <w:shd w:fill="CCEDFF"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342" w:type="dxa"/>
            <w:tcBorders/>
            <w:shd w:fill="auto" w:val="clear"/>
            <w:tcMar>
              <w:bottom w:w="0" w:type="dxa"/>
            </w:tcMar>
            <w:vAlign w:val="center"/>
          </w:tcPr>
          <w:p>
            <w:pPr>
              <w:pStyle w:val="TableContents"/>
              <w:spacing w:before="0" w:after="0"/>
              <w:ind w:left="200" w:right="0" w:hanging="200"/>
              <w:jc w:val="left"/>
              <w:rPr/>
            </w:pPr>
            <w:r>
              <w:rPr>
                <w:spacing w:val="4"/>
              </w:rPr>
              <w:t>Anthony Kim</w:t>
            </w:r>
            <w:r>
              <w:rPr/>
              <w:t xml:space="preserve"> </w:t>
              <w:br/>
            </w:r>
            <w:r>
              <w:rPr>
                <w:spacing w:val="4"/>
              </w:rPr>
              <w:t>     Chief Financial Officer</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376" w:type="dxa"/>
            <w:tcBorders/>
            <w:shd w:fill="auto" w:val="clear"/>
            <w:tcMar>
              <w:bottom w:w="0" w:type="dxa"/>
            </w:tcMar>
            <w:vAlign w:val="center"/>
          </w:tcPr>
          <w:p>
            <w:pPr>
              <w:pStyle w:val="TableContents"/>
              <w:spacing w:before="0" w:after="283"/>
              <w:jc w:val="right"/>
              <w:rPr/>
            </w:pPr>
            <w:r>
              <w:rPr/>
              <w:t>(1)</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jc w:val="right"/>
              <w:rPr/>
            </w:pPr>
            <w:r>
              <w:rPr/>
              <w:t>​</w:t>
            </w:r>
          </w:p>
        </w:tc>
        <w:tc>
          <w:tcPr>
            <w:tcW w:w="534" w:type="dxa"/>
            <w:tcBorders/>
            <w:shd w:fill="auto" w:val="clear"/>
            <w:tcMar>
              <w:bottom w:w="0" w:type="dxa"/>
            </w:tcMar>
            <w:vAlign w:val="center"/>
          </w:tcPr>
          <w:p>
            <w:pPr>
              <w:pStyle w:val="TableContents"/>
              <w:spacing w:before="0" w:after="283"/>
              <w:jc w:val="right"/>
              <w:rPr/>
            </w:pPr>
            <w:r>
              <w:rPr/>
              <w:t>(1)</w:t>
            </w:r>
          </w:p>
        </w:tc>
        <w:tc>
          <w:tcPr>
            <w:tcW w:w="194"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342" w:type="dxa"/>
            <w:tcBorders/>
            <w:shd w:fill="CCEDFF" w:val="clear"/>
            <w:tcMar>
              <w:bottom w:w="0" w:type="dxa"/>
            </w:tcMar>
            <w:vAlign w:val="center"/>
          </w:tcPr>
          <w:p>
            <w:pPr>
              <w:pStyle w:val="TableContents"/>
              <w:spacing w:before="0" w:after="0"/>
              <w:ind w:left="200" w:right="0" w:hanging="200"/>
              <w:jc w:val="left"/>
              <w:rPr/>
            </w:pPr>
            <w:r>
              <w:rPr>
                <w:spacing w:val="4"/>
              </w:rPr>
              <w:t>Mythili Koneru</w:t>
            </w:r>
            <w:r>
              <w:rPr/>
              <w:t xml:space="preserve"> </w:t>
              <w:br/>
            </w:r>
            <w:r>
              <w:rPr>
                <w:spacing w:val="4"/>
              </w:rPr>
              <w:t>     Chief Medical Officer</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jc w:val="right"/>
              <w:rPr/>
            </w:pPr>
            <w:r>
              <w:rPr/>
              <w:t>​</w:t>
            </w:r>
          </w:p>
        </w:tc>
        <w:tc>
          <w:tcPr>
            <w:tcW w:w="376" w:type="dxa"/>
            <w:tcBorders/>
            <w:shd w:fill="CCEDFF" w:val="clear"/>
            <w:tcMar>
              <w:bottom w:w="0" w:type="dxa"/>
            </w:tcMar>
            <w:vAlign w:val="center"/>
          </w:tcPr>
          <w:p>
            <w:pPr>
              <w:pStyle w:val="TableContents"/>
              <w:spacing w:before="0" w:after="283"/>
              <w:jc w:val="right"/>
              <w:rPr/>
            </w:pPr>
            <w:r>
              <w:rPr/>
              <w:t>(1)</w:t>
            </w:r>
          </w:p>
        </w:tc>
        <w:tc>
          <w:tcPr>
            <w:tcW w:w="130"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jc w:val="right"/>
              <w:rPr/>
            </w:pPr>
            <w:r>
              <w:rPr/>
              <w:t>​</w:t>
            </w:r>
          </w:p>
        </w:tc>
        <w:tc>
          <w:tcPr>
            <w:tcW w:w="534" w:type="dxa"/>
            <w:tcBorders/>
            <w:shd w:fill="CCEDFF" w:val="clear"/>
            <w:tcMar>
              <w:bottom w:w="0" w:type="dxa"/>
            </w:tcMar>
            <w:vAlign w:val="center"/>
          </w:tcPr>
          <w:p>
            <w:pPr>
              <w:pStyle w:val="TableContents"/>
              <w:spacing w:before="0" w:after="283"/>
              <w:jc w:val="right"/>
              <w:rPr/>
            </w:pPr>
            <w:r>
              <w:rPr/>
              <w:t>(1)</w:t>
            </w:r>
          </w:p>
        </w:tc>
        <w:tc>
          <w:tcPr>
            <w:tcW w:w="194" w:type="dxa"/>
            <w:tcBorders/>
            <w:shd w:fill="CCEDFF"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342" w:type="dxa"/>
            <w:tcBorders/>
            <w:shd w:fill="auto" w:val="clear"/>
            <w:tcMar>
              <w:bottom w:w="0" w:type="dxa"/>
            </w:tcMar>
            <w:vAlign w:val="center"/>
          </w:tcPr>
          <w:p>
            <w:pPr>
              <w:pStyle w:val="TableContents"/>
              <w:spacing w:before="0" w:after="283"/>
              <w:jc w:val="left"/>
              <w:rPr/>
            </w:pPr>
            <w:r>
              <w:rPr>
                <w:spacing w:val="4"/>
              </w:rPr>
              <w:t>All current executive officers as a group</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376" w:type="dxa"/>
            <w:tcBorders/>
            <w:shd w:fill="auto" w:val="clear"/>
            <w:tcMar>
              <w:bottom w:w="0" w:type="dxa"/>
            </w:tcMar>
            <w:vAlign w:val="center"/>
          </w:tcPr>
          <w:p>
            <w:pPr>
              <w:pStyle w:val="TableContents"/>
              <w:spacing w:before="0" w:after="283"/>
              <w:jc w:val="right"/>
              <w:rPr/>
            </w:pPr>
            <w:r>
              <w:rPr/>
              <w:t>(1)</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jc w:val="right"/>
              <w:rPr/>
            </w:pPr>
            <w:r>
              <w:rPr/>
              <w:t>​</w:t>
            </w:r>
          </w:p>
        </w:tc>
        <w:tc>
          <w:tcPr>
            <w:tcW w:w="534" w:type="dxa"/>
            <w:tcBorders/>
            <w:shd w:fill="auto" w:val="clear"/>
            <w:tcMar>
              <w:bottom w:w="0" w:type="dxa"/>
            </w:tcMar>
            <w:vAlign w:val="center"/>
          </w:tcPr>
          <w:p>
            <w:pPr>
              <w:pStyle w:val="TableContents"/>
              <w:spacing w:before="0" w:after="283"/>
              <w:jc w:val="right"/>
              <w:rPr/>
            </w:pPr>
            <w:r>
              <w:rPr/>
              <w:t>(1)</w:t>
            </w:r>
          </w:p>
        </w:tc>
        <w:tc>
          <w:tcPr>
            <w:tcW w:w="194"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342" w:type="dxa"/>
            <w:tcBorders/>
            <w:shd w:fill="CCEDFF" w:val="clear"/>
            <w:tcMar>
              <w:bottom w:w="0" w:type="dxa"/>
            </w:tcMar>
            <w:vAlign w:val="center"/>
          </w:tcPr>
          <w:p>
            <w:pPr>
              <w:pStyle w:val="TableContents"/>
              <w:spacing w:before="0" w:after="283"/>
              <w:jc w:val="left"/>
              <w:rPr/>
            </w:pPr>
            <w:r>
              <w:rPr>
                <w:spacing w:val="4"/>
              </w:rPr>
              <w:t>All current directors who are not executive officers as a group</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rPr/>
            </w:pPr>
            <w:r>
              <w:rPr/>
              <w:t>​</w:t>
            </w:r>
          </w:p>
        </w:tc>
        <w:tc>
          <w:tcPr>
            <w:tcW w:w="129" w:type="dxa"/>
            <w:tcBorders/>
            <w:shd w:fill="CCEDFF" w:val="clear"/>
            <w:tcMar>
              <w:bottom w:w="0" w:type="dxa"/>
            </w:tcMar>
            <w:vAlign w:val="center"/>
          </w:tcPr>
          <w:p>
            <w:pPr>
              <w:pStyle w:val="TableContents"/>
              <w:spacing w:before="0" w:after="283"/>
              <w:jc w:val="right"/>
              <w:rPr/>
            </w:pPr>
            <w:r>
              <w:rPr/>
              <w:t>​</w:t>
            </w:r>
          </w:p>
        </w:tc>
        <w:tc>
          <w:tcPr>
            <w:tcW w:w="376" w:type="dxa"/>
            <w:tcBorders/>
            <w:shd w:fill="CCEDFF" w:val="clear"/>
            <w:tcMar>
              <w:bottom w:w="0" w:type="dxa"/>
            </w:tcMar>
            <w:vAlign w:val="center"/>
          </w:tcPr>
          <w:p>
            <w:pPr>
              <w:pStyle w:val="TableContents"/>
              <w:spacing w:before="0" w:after="283"/>
              <w:jc w:val="right"/>
              <w:rPr/>
            </w:pPr>
            <w:r>
              <w:rPr/>
              <w:t>(2)</w:t>
            </w:r>
          </w:p>
        </w:tc>
        <w:tc>
          <w:tcPr>
            <w:tcW w:w="130"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rPr/>
            </w:pPr>
            <w:r>
              <w:rPr/>
              <w:t>​</w:t>
            </w:r>
          </w:p>
        </w:tc>
        <w:tc>
          <w:tcPr>
            <w:tcW w:w="193" w:type="dxa"/>
            <w:tcBorders/>
            <w:shd w:fill="CCEDFF" w:val="clear"/>
            <w:tcMar>
              <w:bottom w:w="0" w:type="dxa"/>
            </w:tcMar>
            <w:vAlign w:val="center"/>
          </w:tcPr>
          <w:p>
            <w:pPr>
              <w:pStyle w:val="TableContents"/>
              <w:spacing w:before="0" w:after="283"/>
              <w:jc w:val="right"/>
              <w:rPr/>
            </w:pPr>
            <w:r>
              <w:rPr/>
              <w:t>​</w:t>
            </w:r>
          </w:p>
        </w:tc>
        <w:tc>
          <w:tcPr>
            <w:tcW w:w="534" w:type="dxa"/>
            <w:tcBorders/>
            <w:shd w:fill="CCEDFF" w:val="clear"/>
            <w:tcMar>
              <w:bottom w:w="0" w:type="dxa"/>
            </w:tcMar>
            <w:vAlign w:val="center"/>
          </w:tcPr>
          <w:p>
            <w:pPr>
              <w:pStyle w:val="TableContents"/>
              <w:spacing w:before="0" w:after="283"/>
              <w:jc w:val="right"/>
              <w:rPr/>
            </w:pPr>
            <w:r>
              <w:rPr/>
              <w:t>(2)</w:t>
            </w:r>
          </w:p>
        </w:tc>
        <w:tc>
          <w:tcPr>
            <w:tcW w:w="194" w:type="dxa"/>
            <w:tcBorders/>
            <w:shd w:fill="CCEDFF"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6342" w:type="dxa"/>
            <w:tcBorders/>
            <w:shd w:fill="auto" w:val="clear"/>
            <w:tcMar>
              <w:bottom w:w="0" w:type="dxa"/>
            </w:tcMar>
            <w:vAlign w:val="center"/>
          </w:tcPr>
          <w:p>
            <w:pPr>
              <w:pStyle w:val="TableContents"/>
              <w:spacing w:before="0" w:after="0"/>
              <w:ind w:left="200" w:right="0" w:hanging="200"/>
              <w:jc w:val="left"/>
              <w:rPr/>
            </w:pPr>
            <w:r>
              <w:rPr>
                <w:spacing w:val="4"/>
              </w:rPr>
              <w:t>All current employees, including current officers who are not executive officers, as a group</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376" w:type="dxa"/>
            <w:tcBorders/>
            <w:shd w:fill="auto" w:val="clear"/>
            <w:tcMar>
              <w:bottom w:w="0" w:type="dxa"/>
            </w:tcMar>
            <w:vAlign w:val="center"/>
          </w:tcPr>
          <w:p>
            <w:pPr>
              <w:pStyle w:val="TableContents"/>
              <w:spacing w:before="0" w:after="283"/>
              <w:jc w:val="right"/>
              <w:rPr/>
            </w:pPr>
            <w:r>
              <w:rPr/>
              <w:t>(1)</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jc w:val="right"/>
              <w:rPr/>
            </w:pPr>
            <w:r>
              <w:rPr/>
              <w:t>​</w:t>
            </w:r>
          </w:p>
        </w:tc>
        <w:tc>
          <w:tcPr>
            <w:tcW w:w="534" w:type="dxa"/>
            <w:tcBorders/>
            <w:shd w:fill="auto" w:val="clear"/>
            <w:tcMar>
              <w:bottom w:w="0" w:type="dxa"/>
            </w:tcMar>
            <w:vAlign w:val="center"/>
          </w:tcPr>
          <w:p>
            <w:pPr>
              <w:pStyle w:val="TableContents"/>
              <w:spacing w:before="0" w:after="283"/>
              <w:jc w:val="right"/>
              <w:rPr/>
            </w:pPr>
            <w:r>
              <w:rPr/>
              <w:t>(1)</w:t>
            </w:r>
          </w:p>
        </w:tc>
        <w:tc>
          <w:tcPr>
            <w:tcW w:w="194"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20" w:after="0"/>
        <w:ind w:left="2593" w:right="80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Awards granted under the 2020 Plan to our executive officers and other employees are discretionary and are not subject to set benefits or amounts under the terms of the 2020 Plan, and we have not granted any awards under the 2020 Plan subject to stockholder approval of this Proposal 4. Accordingly, the benefits or amounts that will be received by or allocated to our executive officers and other employees under the 2020 Plan are not determinable. </w:t>
      </w:r>
      <w:r>
        <mc:AlternateContent>
          <mc:Choice Requires="wps">
            <w:drawing>
              <wp:anchor behindDoc="0" distT="76200" distB="0" distL="508000" distR="0" simplePos="0" locked="0" layoutInCell="1" allowOverlap="1" relativeHeight="53">
                <wp:simplePos x="0" y="0"/>
                <wp:positionH relativeFrom="column">
                  <wp:align>left</wp:align>
                </wp:positionH>
                <wp:positionV relativeFrom="line">
                  <wp:align>top</wp:align>
                </wp:positionV>
                <wp:extent cx="254000" cy="233680"/>
                <wp:effectExtent l="0" t="0" r="0" b="0"/>
                <wp:wrapSquare wrapText="largest"/>
                <wp:docPr id="49" name="Frame47"/>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2593" w:right="80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Awards granted under the 2020 Plan to our non-employee directors are discretionary and are not subject to set benefits or amounts under the terms of the 2020 Plan. However, pursuant to our current compensation program for non-employee directors, each of our current non-employee directors annually is eligible to receive $40,000 of his or her annual retainer in common stock on the date of such year’s annual meeting of stockholders, with such shares determined based on the closing price for our common stock on the day preceding the date of such annual meeting. On and after the date of the Annual Meeting, any such stock options will be granted under the 2020 Plan if this Proposal 4 is approved by our stockholders. For additional information regarding our current compensation program for non-employee directors, please see “Narrative to Director Compensation Table.” </w:t>
      </w:r>
      <w:r>
        <mc:AlternateContent>
          <mc:Choice Requires="wps">
            <w:drawing>
              <wp:anchor behindDoc="0" distT="50800" distB="0" distL="508000" distR="0" simplePos="0" locked="0" layoutInCell="1" allowOverlap="1" relativeHeight="54">
                <wp:simplePos x="0" y="0"/>
                <wp:positionH relativeFrom="column">
                  <wp:align>left</wp:align>
                </wp:positionH>
                <wp:positionV relativeFrom="line">
                  <wp:align>top</wp:align>
                </wp:positionV>
                <wp:extent cx="254000" cy="254000"/>
                <wp:effectExtent l="0" t="0" r="0" b="0"/>
                <wp:wrapSquare wrapText="largest"/>
                <wp:docPr id="50" name="Frame4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4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color w:val="000000"/>
          <w:spacing w:val="4"/>
          <w:sz w:val="14"/>
        </w:rPr>
        <w: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color w:val="000000"/>
          <w:spacing w:val="4"/>
          <w:sz w:val="14"/>
        </w:rPr>
        <w:t>oard</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color w:val="000000"/>
          <w:spacing w:val="4"/>
          <w:sz w:val="14"/>
        </w:rPr>
        <w:t>irectors</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ecommends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V</w:t>
      </w:r>
      <w:r>
        <w:rPr>
          <w:rFonts w:ascii="Times New Roman;Times;serif" w:hAnsi="Times New Roman;Times;serif"/>
          <w:b/>
          <w:i w:val="false"/>
          <w:caps/>
          <w:color w:val="000000"/>
          <w:spacing w:val="4"/>
          <w:sz w:val="14"/>
        </w:rPr>
        <w:t>ote</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w:t>
      </w:r>
      <w:r>
        <w:rPr>
          <w:rFonts w:ascii="Times New Roman;Times;serif" w:hAnsi="Times New Roman;Times;serif"/>
          <w:b/>
          <w:i w:val="false"/>
          <w:caps w:val="false"/>
          <w:smallCaps w:val="false"/>
          <w:color w:val="000000"/>
          <w:spacing w:val="4"/>
          <w:sz w:val="20"/>
        </w:rPr>
        <w:t xml:space="preserve"> F</w:t>
      </w:r>
      <w:r>
        <w:rPr>
          <w:rFonts w:ascii="Times New Roman;Times;serif" w:hAnsi="Times New Roman;Times;serif"/>
          <w:b/>
          <w:i w:val="false"/>
          <w:caps/>
          <w:color w:val="000000"/>
          <w:spacing w:val="4"/>
          <w:sz w:val="14"/>
        </w:rPr>
        <w:t>avor</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roposal</w:t>
      </w:r>
      <w:r>
        <w:rPr>
          <w:rFonts w:ascii="Times New Roman;Times;serif" w:hAnsi="Times New Roman;Times;serif"/>
          <w:b/>
          <w:i w:val="false"/>
          <w:caps/>
          <w:color w:val="000000"/>
          <w:spacing w:val="4"/>
          <w:sz w:val="20"/>
        </w:rPr>
        <w:t xml:space="preserve"> 4.</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XOF"/>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w:t>
      </w:r>
      <w:r>
        <w:rPr>
          <w:rFonts w:ascii="Times New Roman;Times;serif" w:hAnsi="Times New Roman;Times;serif"/>
          <w:b/>
          <w:i w:val="false"/>
          <w:caps/>
          <w:color w:val="000000"/>
          <w:spacing w:val="4"/>
          <w:sz w:val="14"/>
        </w:rPr>
        <w:t>xecutive</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color w:val="000000"/>
          <w:spacing w:val="4"/>
          <w:sz w:val="14"/>
        </w:rPr>
        <w:t>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and their respective ages as of March 25, 2020, are as follows: </w:t>
      </w:r>
    </w:p>
    <w:tbl>
      <w:tblPr>
        <w:tblW w:w="8812" w:type="dxa"/>
        <w:jc w:val="left"/>
        <w:tblInd w:w="1393" w:type="dxa"/>
        <w:tblCellMar>
          <w:top w:w="0" w:type="dxa"/>
          <w:left w:w="0" w:type="dxa"/>
          <w:bottom w:w="50" w:type="dxa"/>
          <w:right w:w="0" w:type="dxa"/>
        </w:tblCellMar>
      </w:tblPr>
      <w:tblGrid>
        <w:gridCol w:w="2962"/>
        <w:gridCol w:w="109"/>
        <w:gridCol w:w="109"/>
        <w:gridCol w:w="576"/>
        <w:gridCol w:w="109"/>
        <w:gridCol w:w="109"/>
        <w:gridCol w:w="4682"/>
        <w:gridCol w:w="156"/>
      </w:tblGrid>
      <w:tr>
        <w:trPr/>
        <w:tc>
          <w:tcPr>
            <w:tcW w:w="2962" w:type="dxa"/>
            <w:tcBorders>
              <w:bottom w:val="single" w:sz="2" w:space="0" w:color="000000"/>
            </w:tcBorders>
            <w:shd w:fill="auto" w:val="clear"/>
            <w:vAlign w:val="center"/>
          </w:tcPr>
          <w:p>
            <w:pPr>
              <w:pStyle w:val="TableContents"/>
              <w:spacing w:before="0" w:after="0"/>
              <w:rPr>
                <w:spacing w:val="4"/>
              </w:rPr>
            </w:pPr>
            <w:r>
              <w:rPr>
                <w:spacing w:val="4"/>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6" w:type="dxa"/>
            <w:tcBorders>
              <w:bottom w:val="single" w:sz="2" w:space="0" w:color="000000"/>
            </w:tcBorders>
            <w:shd w:fill="auto" w:val="clear"/>
            <w:vAlign w:val="center"/>
          </w:tcPr>
          <w:p>
            <w:pPr>
              <w:pStyle w:val="TableContents"/>
              <w:spacing w:before="0" w:after="0"/>
              <w:jc w:val="center"/>
              <w:rPr>
                <w:spacing w:val="4"/>
              </w:rPr>
            </w:pPr>
            <w:r>
              <w:rPr>
                <w:spacing w:val="4"/>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682" w:type="dxa"/>
            <w:tcBorders>
              <w:bottom w:val="single" w:sz="2" w:space="0" w:color="000000"/>
            </w:tcBorders>
            <w:shd w:fill="auto" w:val="clear"/>
            <w:vAlign w:val="center"/>
          </w:tcPr>
          <w:p>
            <w:pPr>
              <w:pStyle w:val="TableContents"/>
              <w:spacing w:before="0" w:after="0"/>
              <w:rPr>
                <w:spacing w:val="4"/>
              </w:rPr>
            </w:pPr>
            <w:r>
              <w:rPr>
                <w:spacing w:val="4"/>
              </w:rPr>
              <w:t xml:space="preserve">Position(s)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pPr>
            <w:r>
              <w:rPr>
                <w:spacing w:val="4"/>
              </w:rPr>
              <w:t>Executive Officers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Peter Hoang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48</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President, Chief Executive Officer and Director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Anthony Kim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44</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Chief Financial Officer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Juan Vera,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40</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Chief Development Officer and Director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Mythili Koneru, M.D.,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42</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Chief Medical Officer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Michael Loiacono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54</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Chief Accounting Officer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Nadia Agopyan,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58</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Vice President, Regulatory Affairs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Gerald Garrett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55</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Vice President, Clinical Operations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Tsvetelina Hoang, Ph.D.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47</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spacing w:val="4"/>
              </w:rPr>
            </w:pPr>
            <w:r>
              <w:rPr>
                <w:spacing w:val="4"/>
              </w:rPr>
              <w:t xml:space="preserve">Vice President, Research &amp; Development </w:t>
            </w:r>
          </w:p>
        </w:tc>
        <w:tc>
          <w:tcPr>
            <w:tcW w:w="156" w:type="dxa"/>
            <w:tcBorders/>
            <w:shd w:fill="auto" w:val="clear"/>
            <w:tcMar>
              <w:bottom w:w="0" w:type="dxa"/>
            </w:tcMar>
            <w:vAlign w:val="center"/>
          </w:tcPr>
          <w:p>
            <w:pPr>
              <w:pStyle w:val="TableContents"/>
              <w:spacing w:before="0" w:after="283"/>
              <w:rPr/>
            </w:pPr>
            <w:r>
              <w:rPr/>
              <w:t>​</w:t>
            </w:r>
          </w:p>
        </w:tc>
      </w:tr>
      <w:tr>
        <w:trPr/>
        <w:tc>
          <w:tcPr>
            <w:tcW w:w="2962" w:type="dxa"/>
            <w:tcBorders/>
            <w:shd w:fill="auto" w:val="clear"/>
            <w:tcMar>
              <w:bottom w:w="0" w:type="dxa"/>
            </w:tcMar>
            <w:vAlign w:val="center"/>
          </w:tcPr>
          <w:p>
            <w:pPr>
              <w:pStyle w:val="TableContents"/>
              <w:spacing w:before="0" w:after="283"/>
              <w:rPr>
                <w:spacing w:val="4"/>
              </w:rPr>
            </w:pPr>
            <w:r>
              <w:rPr>
                <w:spacing w:val="4"/>
              </w:rPr>
              <w:t xml:space="preserve">Anna Szymanska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0"/>
              <w:jc w:val="right"/>
              <w:rPr/>
            </w:pPr>
            <w:r>
              <w:rPr>
                <w:spacing w:val="4"/>
              </w:rPr>
              <w:t>46</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82" w:type="dxa"/>
            <w:tcBorders/>
            <w:shd w:fill="auto" w:val="clear"/>
            <w:tcMar>
              <w:bottom w:w="0" w:type="dxa"/>
            </w:tcMar>
            <w:vAlign w:val="center"/>
          </w:tcPr>
          <w:p>
            <w:pPr>
              <w:pStyle w:val="TableContents"/>
              <w:spacing w:before="0" w:after="283"/>
              <w:rPr/>
            </w:pPr>
            <w:r>
              <w:rPr>
                <w:spacing w:val="4"/>
              </w:rPr>
              <w:t>Vice President, Quality</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66"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biographies of Peter Hoang and Juan Vera are set forth in “Proposal 1: Election of Directors” above.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Anthony Kim</w:t>
      </w:r>
      <w:r>
        <w:rPr>
          <w:rFonts w:ascii="Times New Roman;Times;serif" w:hAnsi="Times New Roman;Times;serif"/>
          <w:b w:val="false"/>
          <w:i w:val="false"/>
          <w:caps w:val="false"/>
          <w:smallCaps w:val="false"/>
          <w:color w:val="000000"/>
          <w:spacing w:val="4"/>
          <w:sz w:val="20"/>
        </w:rPr>
        <w:t xml:space="preserve"> has served as our Chief Financial Officer since November 2018. Mr. Kim previously served as an Executive Director in the Healthcare Group of Nomura Securities International, Inc. from October 2017 until November 2018. Before joining Nomura, Mr. Kim served as Senior Vice President in the Healthcare Group of Houlihan Lokey from April 2016 to October 2017 and, prior to that, as a Senior Vice President at Jefferies in their Healthcare Group from 2012 to March 2016. Mr. Kim earned an AB in Economics from the University of Chicago and an M.B.A. with a concentration in Finance from the Anderson School of Management at the University of California, Los Angeles.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Mythili Koneru, M.D., Ph.D.</w:t>
      </w:r>
      <w:r>
        <w:rPr>
          <w:rFonts w:ascii="Times New Roman;Times;serif" w:hAnsi="Times New Roman;Times;serif"/>
          <w:b w:val="false"/>
          <w:i w:val="false"/>
          <w:caps w:val="false"/>
          <w:smallCaps w:val="false"/>
          <w:color w:val="000000"/>
          <w:spacing w:val="4"/>
          <w:sz w:val="20"/>
        </w:rPr>
        <w:t xml:space="preserve"> has served as our Chief Medical Officer since December 2019. Dr. Koneru served as our Senior Vice President of Clinical Development from February 2019 to December 2019. Dr. Koneru previously served in positions of increasing responsibility at Eli Lilly and Company from April 2015 to February 2019, most recently as Associate Vice President of Immuno-Oncology. Prior to Eli Lilly, Dr. Koneru was an oncology fellow in the laboratory of Dr. Renier Brentjens at Memorial Sloan-Kettering Cancer Center. Dr. Koneru earned a B.A. in Cellular and Molecular Biology from the University of Chicago, a Ph.D. in Biomedical Research: Tumor Immunology from New York University and an M.D. from the Robert Wood Johnson Medical School.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Michael Loiacono</w:t>
      </w:r>
      <w:r>
        <w:rPr>
          <w:rFonts w:ascii="Times New Roman;Times;serif" w:hAnsi="Times New Roman;Times;serif"/>
          <w:b w:val="false"/>
          <w:i w:val="false"/>
          <w:caps w:val="false"/>
          <w:smallCaps w:val="false"/>
          <w:color w:val="000000"/>
          <w:spacing w:val="4"/>
          <w:sz w:val="20"/>
        </w:rPr>
        <w:t xml:space="preserve"> has served as our Chief Accounting Officer, Secretary and Treasurer since August 2016. Mr. Loiacono also previously served as our Chief Financial Officer from August 2016 until November 2018 when the roles of Chief Accounting Officer and Chief Financial Officer of the Company were separated. Mr. Loiacono previously was responsible for strategic development at FTCI, Inc. from 2013 to August 2016. Mr. Loiacono earned a B.S. from Rutgers University.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Nadia Agopyan, Ph.D.</w:t>
      </w:r>
      <w:r>
        <w:rPr>
          <w:rFonts w:ascii="Times New Roman;Times;serif" w:hAnsi="Times New Roman;Times;serif"/>
          <w:b w:val="false"/>
          <w:i w:val="false"/>
          <w:caps w:val="false"/>
          <w:smallCaps w:val="false"/>
          <w:color w:val="000000"/>
          <w:spacing w:val="4"/>
          <w:sz w:val="20"/>
        </w:rPr>
        <w:t xml:space="preserve"> has served as our Vice President of Regulatory Affairs since August 2019. Ms. Agopyan previously served as Director of Regulatory Affairs of Kite Pharma, a subsidiary of Gilead Sciences, from April 2015 to August 2019. She also served as Global Regulatory Lead at Baxter Biosciences from 2012 to April 2015. Ms. Agopyan earned a B.Sc. and a Ph.D. in Neurophysiology from McGill University.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Gerald Garrett</w:t>
      </w:r>
      <w:r>
        <w:rPr>
          <w:rFonts w:ascii="Times New Roman;Times;serif" w:hAnsi="Times New Roman;Times;serif"/>
          <w:b w:val="false"/>
          <w:i w:val="false"/>
          <w:caps w:val="false"/>
          <w:smallCaps w:val="false"/>
          <w:color w:val="000000"/>
          <w:spacing w:val="4"/>
          <w:sz w:val="20"/>
        </w:rPr>
        <w:t xml:space="preserve"> has served as our Vice President of Clinical Operations since November 2019, a position he held from April 2016 to November 2019 as a consultant and thereafter as our employee. Mr. Garrett has also owned and operated CMB Consulting, Inc., a contract research organization, since 2003. Mr. Garrett earned a B.S. in Biology from Texas A&amp;M University.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Tsvetelina P. Hoang, Ph.D.</w:t>
      </w:r>
      <w:r>
        <w:rPr>
          <w:rFonts w:ascii="Times New Roman;Times;serif" w:hAnsi="Times New Roman;Times;serif"/>
          <w:b w:val="false"/>
          <w:i w:val="false"/>
          <w:caps w:val="false"/>
          <w:smallCaps w:val="false"/>
          <w:color w:val="000000"/>
          <w:spacing w:val="4"/>
          <w:sz w:val="20"/>
        </w:rPr>
        <w:t xml:space="preserve"> has served as our Vice President of Research and Development since July 2018. She previously served in positions of increasing responsibility at Bellicum Pharmaceuticals, Inc. from February 2015 to July 2018, including as Senior Scientist and most recently as Director of Translational Research. Previously, she was a member of the faculty at The University of Texas MD Anderson Cancer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 from 2013 to 2015. Ms. Hoang earned a combined B.S./M.S. in Molecular Biophysics and Biochemistry from Yale University and a Ph.D in Biology from Johns Hopkins University.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Anna Szymanska</w:t>
      </w:r>
      <w:r>
        <w:rPr>
          <w:rFonts w:ascii="Times New Roman;Times;serif" w:hAnsi="Times New Roman;Times;serif"/>
          <w:b w:val="false"/>
          <w:i w:val="false"/>
          <w:caps w:val="false"/>
          <w:smallCaps w:val="false"/>
          <w:color w:val="000000"/>
          <w:spacing w:val="4"/>
          <w:sz w:val="20"/>
        </w:rPr>
        <w:t xml:space="preserve"> has served as our Vice President of Quality since December 2019. She previously served as our Senior Director of Quality from April 2019 to December 2019. Prior to joining our Company, Ms. Szymanska served as Director of Quality Control for Bellicum Pharmaceuticals, Inc. from May 2016 to March 2019. She also served as Quality Validation Specialists and Project Manager of Opexa Therapeutics, Inc. from August 2015 to March 2016 and in roles of increasing responsibility at Woodfield Pharmaceutical, LLC (formerly Pernix Manufacturing, LLC) from 2008 to August 2015, most recently as Director of Microbiology. Ms. Szymanska earned an M.S. in Microbiology from the University of Warsaw.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OO"/>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320" w:before="120"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color w:val="000000"/>
          <w:spacing w:val="6"/>
          <w:sz w:val="28"/>
        </w:rPr>
        <w:t>S</w:t>
      </w:r>
      <w:r>
        <w:rPr>
          <w:rFonts w:ascii="Times New Roman;Times;serif" w:hAnsi="Times New Roman;Times;serif"/>
          <w:b/>
          <w:i w:val="false"/>
          <w:caps/>
          <w:color w:val="000000"/>
          <w:spacing w:val="6"/>
          <w:sz w:val="20"/>
        </w:rPr>
        <w:t>ecurity</w:t>
      </w:r>
      <w:r>
        <w:rPr>
          <w:rFonts w:ascii="Times New Roman;Times;serif" w:hAnsi="Times New Roman;Times;serif"/>
          <w:b/>
          <w:i w:val="false"/>
          <w:caps/>
          <w:color w:val="000000"/>
          <w:spacing w:val="6"/>
          <w:sz w:val="28"/>
        </w:rPr>
        <w:t xml:space="preserve"> O</w:t>
      </w:r>
      <w:r>
        <w:rPr>
          <w:rFonts w:ascii="Times New Roman;Times;serif" w:hAnsi="Times New Roman;Times;serif"/>
          <w:b/>
          <w:i w:val="false"/>
          <w:caps/>
          <w:color w:val="000000"/>
          <w:spacing w:val="6"/>
          <w:sz w:val="20"/>
        </w:rPr>
        <w:t>wnership</w:t>
      </w:r>
      <w:r>
        <w:rPr>
          <w:rFonts w:ascii="Times New Roman;Times;serif" w:hAnsi="Times New Roman;Times;serif"/>
          <w:b/>
          <w:i w:val="false"/>
          <w:caps/>
          <w:color w:val="000000"/>
          <w:spacing w:val="6"/>
          <w:sz w:val="28"/>
        </w:rPr>
        <w:t xml:space="preserve"> </w:t>
      </w:r>
      <w:r>
        <w:rPr>
          <w:rFonts w:ascii="Times New Roman;Times;serif" w:hAnsi="Times New Roman;Times;serif"/>
          <w:b/>
          <w:i w:val="false"/>
          <w:caps/>
          <w:color w:val="000000"/>
          <w:spacing w:val="6"/>
          <w:sz w:val="20"/>
        </w:rPr>
        <w:t>of</w:t>
      </w:r>
      <w:r>
        <w:rPr>
          <w:rFonts w:ascii="Times New Roman;Times;serif" w:hAnsi="Times New Roman;Times;serif"/>
          <w:b/>
          <w:i w:val="false"/>
          <w:caps/>
          <w:color w:val="000000"/>
          <w:spacing w:val="6"/>
          <w:sz w:val="28"/>
        </w:rPr>
        <w:t xml:space="preserve">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color w:val="000000"/>
          <w:spacing w:val="6"/>
          <w:sz w:val="28"/>
        </w:rPr>
        <w:t>C</w:t>
      </w:r>
      <w:r>
        <w:rPr>
          <w:rFonts w:ascii="Times New Roman;Times;serif" w:hAnsi="Times New Roman;Times;serif"/>
          <w:b/>
          <w:i w:val="false"/>
          <w:caps/>
          <w:color w:val="000000"/>
          <w:spacing w:val="6"/>
          <w:sz w:val="20"/>
        </w:rPr>
        <w:t>ertain</w:t>
      </w:r>
      <w:r>
        <w:rPr>
          <w:rFonts w:ascii="Times New Roman;Times;serif" w:hAnsi="Times New Roman;Times;serif"/>
          <w:b/>
          <w:i w:val="false"/>
          <w:caps/>
          <w:color w:val="000000"/>
          <w:spacing w:val="6"/>
          <w:sz w:val="28"/>
        </w:rPr>
        <w:t xml:space="preserve"> B</w:t>
      </w:r>
      <w:r>
        <w:rPr>
          <w:rFonts w:ascii="Times New Roman;Times;serif" w:hAnsi="Times New Roman;Times;serif"/>
          <w:b/>
          <w:i w:val="false"/>
          <w:caps/>
          <w:color w:val="000000"/>
          <w:spacing w:val="6"/>
          <w:sz w:val="20"/>
        </w:rPr>
        <w:t>eneficial</w:t>
      </w:r>
      <w:r>
        <w:rPr>
          <w:rFonts w:ascii="Times New Roman;Times;serif" w:hAnsi="Times New Roman;Times;serif"/>
          <w:b/>
          <w:i w:val="false"/>
          <w:caps/>
          <w:color w:val="000000"/>
          <w:spacing w:val="6"/>
          <w:sz w:val="28"/>
        </w:rPr>
        <w:t xml:space="preserve"> O</w:t>
      </w:r>
      <w:r>
        <w:rPr>
          <w:rFonts w:ascii="Times New Roman;Times;serif" w:hAnsi="Times New Roman;Times;serif"/>
          <w:b/>
          <w:i w:val="false"/>
          <w:caps/>
          <w:color w:val="000000"/>
          <w:spacing w:val="6"/>
          <w:sz w:val="20"/>
        </w:rPr>
        <w:t>wners</w:t>
      </w:r>
      <w:r>
        <w:rPr>
          <w:rFonts w:ascii="Times New Roman;Times;serif" w:hAnsi="Times New Roman;Times;serif"/>
          <w:b/>
          <w:i w:val="false"/>
          <w:caps/>
          <w:color w:val="000000"/>
          <w:spacing w:val="6"/>
          <w:sz w:val="28"/>
        </w:rPr>
        <w:t xml:space="preserve"> </w:t>
      </w:r>
      <w:r>
        <w:rPr>
          <w:rFonts w:ascii="Times New Roman;Times;serif" w:hAnsi="Times New Roman;Times;serif"/>
          <w:b/>
          <w:i w:val="false"/>
          <w:caps/>
          <w:color w:val="000000"/>
          <w:spacing w:val="6"/>
          <w:sz w:val="20"/>
        </w:rPr>
        <w:t>and</w:t>
      </w:r>
      <w:r>
        <w:rPr>
          <w:rFonts w:ascii="Times New Roman;Times;serif" w:hAnsi="Times New Roman;Times;serif"/>
          <w:b/>
          <w:i w:val="false"/>
          <w:caps/>
          <w:color w:val="000000"/>
          <w:spacing w:val="6"/>
          <w:sz w:val="28"/>
        </w:rPr>
        <w:t xml:space="preserve"> M</w:t>
      </w:r>
      <w:r>
        <w:rPr>
          <w:rFonts w:ascii="Times New Roman;Times;serif" w:hAnsi="Times New Roman;Times;serif"/>
          <w:b/>
          <w:i w:val="false"/>
          <w:caps/>
          <w:color w:val="000000"/>
          <w:spacing w:val="6"/>
          <w:sz w:val="20"/>
        </w:rPr>
        <w:t>anagement</w:t>
      </w:r>
      <w:r>
        <w:rPr>
          <w:rFonts w:ascii="Times New Roman;Times;serif" w:hAnsi="Times New Roman;Times;serif"/>
          <w:b/>
          <w:i w:val="false"/>
          <w:caps/>
          <w:color w:val="000000"/>
          <w:spacing w:val="6"/>
          <w:sz w:val="28"/>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ownership of the Company’s common stock as of March 1, 2020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March 1, 2020. </w:t>
      </w:r>
    </w:p>
    <w:tbl>
      <w:tblPr>
        <w:tblW w:w="8812" w:type="dxa"/>
        <w:jc w:val="left"/>
        <w:tblInd w:w="1393" w:type="dxa"/>
        <w:tblCellMar>
          <w:top w:w="0" w:type="dxa"/>
          <w:left w:w="0" w:type="dxa"/>
          <w:bottom w:w="28" w:type="dxa"/>
          <w:right w:w="0" w:type="dxa"/>
        </w:tblCellMar>
      </w:tblPr>
      <w:tblGrid>
        <w:gridCol w:w="5177"/>
        <w:gridCol w:w="109"/>
        <w:gridCol w:w="109"/>
        <w:gridCol w:w="109"/>
        <w:gridCol w:w="109"/>
        <w:gridCol w:w="1186"/>
        <w:gridCol w:w="109"/>
        <w:gridCol w:w="109"/>
        <w:gridCol w:w="109"/>
        <w:gridCol w:w="163"/>
        <w:gridCol w:w="163"/>
        <w:gridCol w:w="1041"/>
        <w:gridCol w:w="163"/>
        <w:gridCol w:w="156"/>
      </w:tblGrid>
      <w:tr>
        <w:trPr/>
        <w:tc>
          <w:tcPr>
            <w:tcW w:w="517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61" w:type="dxa"/>
            <w:gridSpan w:val="10"/>
            <w:tcBorders>
              <w:bottom w:val="single" w:sz="2" w:space="0" w:color="000000"/>
            </w:tcBorders>
            <w:shd w:fill="auto" w:val="clear"/>
            <w:tcMar>
              <w:bottom w:w="50" w:type="dxa"/>
            </w:tcMar>
            <w:vAlign w:val="center"/>
          </w:tcPr>
          <w:p>
            <w:pPr>
              <w:pStyle w:val="TableContents"/>
              <w:spacing w:before="0" w:after="0"/>
              <w:jc w:val="center"/>
              <w:rPr/>
            </w:pPr>
            <w:r>
              <w:rPr>
                <w:spacing w:val="4"/>
              </w:rPr>
              <w:t>Beneficial Ownership</w:t>
            </w:r>
            <w:r>
              <w:rPr>
                <w:spacing w:val="3"/>
                <w:sz w:val="15"/>
              </w:rPr>
              <w:t>(1)</w:t>
            </w:r>
            <w:r>
              <w:rPr/>
              <w:t xml:space="preserve">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5177" w:type="dxa"/>
            <w:tcBorders>
              <w:bottom w:val="single" w:sz="2" w:space="0" w:color="000000"/>
            </w:tcBorders>
            <w:shd w:fill="auto" w:val="clear"/>
            <w:tcMar>
              <w:bottom w:w="42" w:type="dxa"/>
            </w:tcMar>
            <w:vAlign w:val="center"/>
          </w:tcPr>
          <w:p>
            <w:pPr>
              <w:pStyle w:val="TableContents"/>
              <w:spacing w:before="0" w:after="0"/>
              <w:jc w:val="center"/>
              <w:rPr>
                <w:spacing w:val="4"/>
              </w:rPr>
            </w:pPr>
            <w:r>
              <w:rPr>
                <w:spacing w:val="4"/>
              </w:rPr>
              <w:t xml:space="preserve">Beneficial Owner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2" w:type="dxa"/>
            </w:tcMar>
            <w:vAlign w:val="center"/>
          </w:tcPr>
          <w:p>
            <w:pPr>
              <w:pStyle w:val="TableContents"/>
              <w:spacing w:before="0" w:after="0"/>
              <w:jc w:val="center"/>
              <w:rPr/>
            </w:pPr>
            <w:r>
              <w:rPr>
                <w:spacing w:val="4"/>
              </w:rPr>
              <w:t xml:space="preserve">Number of </w:t>
            </w:r>
            <w:r>
              <w:rPr/>
              <w:br/>
            </w:r>
            <w:r>
              <w:rPr>
                <w:spacing w:val="4"/>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0" w:type="dxa"/>
            <w:gridSpan w:val="4"/>
            <w:tcBorders>
              <w:bottom w:val="single" w:sz="2" w:space="0" w:color="000000"/>
            </w:tcBorders>
            <w:shd w:fill="auto" w:val="clear"/>
            <w:tcMar>
              <w:bottom w:w="42" w:type="dxa"/>
            </w:tcMar>
            <w:vAlign w:val="center"/>
          </w:tcPr>
          <w:p>
            <w:pPr>
              <w:pStyle w:val="TableContents"/>
              <w:spacing w:before="0" w:after="0"/>
              <w:jc w:val="center"/>
              <w:rPr>
                <w:spacing w:val="4"/>
              </w:rPr>
            </w:pPr>
            <w:r>
              <w:rPr>
                <w:spacing w:val="4"/>
              </w:rPr>
              <w:t xml:space="preserve">Percent of Total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283"/>
              <w:jc w:val="left"/>
              <w:rPr/>
            </w:pPr>
            <w:r>
              <w:rPr>
                <w:spacing w:val="4"/>
              </w:rPr>
              <w:t>5% or greater stockholders: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New Enterprise Associates</w:t>
            </w:r>
            <w:r>
              <w:rPr>
                <w:spacing w:val="3"/>
                <w:sz w:val="15"/>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8,750,000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17.5%</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Eastern Capital Limited</w:t>
            </w:r>
            <w:r>
              <w:rPr>
                <w:spacing w:val="3"/>
                <w:sz w:val="15"/>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5,300,002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11.2%</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Aisling Capital IV LP</w:t>
            </w:r>
            <w:r>
              <w:rPr>
                <w:spacing w:val="3"/>
                <w:sz w:val="15"/>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3,500,000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7.3%</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Dr. Ann Leen</w:t>
            </w:r>
            <w:r>
              <w:rPr>
                <w:spacing w:val="3"/>
                <w:sz w:val="15"/>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2,903,344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6.2%</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283"/>
              <w:jc w:val="left"/>
              <w:rPr/>
            </w:pPr>
            <w:r>
              <w:rPr>
                <w:spacing w:val="4"/>
              </w:rPr>
              <w:t>Named executive officers and directors</w:t>
            </w:r>
            <w:r>
              <w:rPr>
                <w:i w:val="false"/>
                <w:caps w:val="false"/>
                <w:smallCaps w:val="false"/>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Peter L. Hoang</w:t>
            </w:r>
            <w:r>
              <w:rPr>
                <w:spacing w:val="3"/>
                <w:sz w:val="15"/>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736,955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1.6%</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Anthony Kim</w:t>
            </w:r>
            <w:r>
              <w:rPr>
                <w:spacing w:val="3"/>
                <w:sz w:val="15"/>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153,527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 xml:space="preserve">​ </w:t>
            </w:r>
            <w:r>
              <w:rPr/>
              <w:t xml:space="preserve">* </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Mythili Koneru</w:t>
            </w:r>
            <w:r>
              <w:rPr>
                <w:spacing w:val="3"/>
                <w:sz w:val="15"/>
              </w:rPr>
              <w:t>(8)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100,417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 xml:space="preserve">​ </w:t>
            </w:r>
            <w:r>
              <w:rPr/>
              <w:t xml:space="preserve">* </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David Eansor</w:t>
            </w:r>
            <w:r>
              <w:rPr>
                <w:spacing w:val="3"/>
                <w:sz w:val="15"/>
              </w:rPr>
              <w:t>(9)</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17,159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 xml:space="preserve">​ </w:t>
            </w:r>
            <w:r>
              <w:rPr/>
              <w:t xml:space="preserve">* </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Steven Elms</w:t>
            </w:r>
            <w:r>
              <w:rPr>
                <w:spacing w:val="3"/>
                <w:sz w:val="15"/>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3,504,168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7.3%</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David Laskow-Pooley</w:t>
            </w:r>
            <w:r>
              <w:rPr>
                <w:spacing w:val="3"/>
                <w:sz w:val="15"/>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38,043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 xml:space="preserve">​ </w:t>
            </w:r>
            <w:r>
              <w:rPr/>
              <w:t xml:space="preserve">* </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Dr. Juan Vera, M.D</w:t>
            </w:r>
            <w:r>
              <w:rPr>
                <w:spacing w:val="3"/>
                <w:sz w:val="15"/>
              </w:rPr>
              <w:t>(12)</w:t>
            </w:r>
            <w:r>
              <w:rPr>
                <w:spacing w:val="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2,906,261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6.2%</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Frederick Wasserman</w:t>
            </w:r>
            <w:r>
              <w:rPr>
                <w:spacing w:val="3"/>
                <w:sz w:val="15"/>
              </w:rPr>
              <w:t>(13)</w:t>
            </w: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38,043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 xml:space="preserve">​ </w:t>
            </w:r>
            <w:r>
              <w:rPr/>
              <w:t xml:space="preserve">* </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5177" w:type="dxa"/>
            <w:tcBorders/>
            <w:shd w:fill="CCEEFF" w:val="clear"/>
            <w:tcMar>
              <w:bottom w:w="0" w:type="dxa"/>
            </w:tcMar>
            <w:vAlign w:val="center"/>
          </w:tcPr>
          <w:p>
            <w:pPr>
              <w:pStyle w:val="TableContents"/>
              <w:spacing w:before="0" w:after="0"/>
              <w:ind w:left="200" w:right="0" w:hanging="0"/>
              <w:jc w:val="left"/>
              <w:rPr/>
            </w:pPr>
            <w:r>
              <w:rPr>
                <w:spacing w:val="4"/>
              </w:rPr>
              <w:t>John Wilson</w:t>
            </w:r>
            <w:r>
              <w:rPr>
                <w:spacing w:val="3"/>
                <w:sz w:val="15"/>
              </w:rPr>
              <w:t>(14)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8,275,886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jc w:val="right"/>
              <w:rPr/>
            </w:pPr>
            <w:r>
              <w:rPr/>
              <w:t>​</w:t>
            </w:r>
          </w:p>
        </w:tc>
        <w:tc>
          <w:tcPr>
            <w:tcW w:w="1041" w:type="dxa"/>
            <w:tcBorders/>
            <w:shd w:fill="CCEEFF" w:val="clear"/>
            <w:tcMar>
              <w:bottom w:w="0" w:type="dxa"/>
            </w:tcMar>
            <w:vAlign w:val="center"/>
          </w:tcPr>
          <w:p>
            <w:pPr>
              <w:pStyle w:val="TableContents"/>
              <w:spacing w:before="0" w:after="283"/>
              <w:jc w:val="right"/>
              <w:rPr/>
            </w:pPr>
            <w:r>
              <w:rPr/>
              <w:t>17.1%</w:t>
            </w:r>
          </w:p>
        </w:tc>
        <w:tc>
          <w:tcPr>
            <w:tcW w:w="163"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5177" w:type="dxa"/>
            <w:tcBorders/>
            <w:shd w:fill="auto" w:val="clear"/>
            <w:tcMar>
              <w:bottom w:w="0" w:type="dxa"/>
            </w:tcMar>
            <w:vAlign w:val="center"/>
          </w:tcPr>
          <w:p>
            <w:pPr>
              <w:pStyle w:val="TableContents"/>
              <w:spacing w:before="0" w:after="0"/>
              <w:ind w:left="200" w:right="0" w:hanging="0"/>
              <w:jc w:val="left"/>
              <w:rPr/>
            </w:pPr>
            <w:r>
              <w:rPr>
                <w:spacing w:val="4"/>
              </w:rPr>
              <w:t>All executive officers and directors as a group (14 persons)</w:t>
            </w:r>
            <w:r>
              <w:rPr>
                <w:spacing w:val="3"/>
                <w:sz w:val="15"/>
              </w:rPr>
              <w:t>(15)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16,080,262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jc w:val="right"/>
              <w:rPr/>
            </w:pPr>
            <w:r>
              <w:rPr/>
              <w:t>​</w:t>
            </w:r>
          </w:p>
        </w:tc>
        <w:tc>
          <w:tcPr>
            <w:tcW w:w="1041" w:type="dxa"/>
            <w:tcBorders/>
            <w:shd w:fill="auto" w:val="clear"/>
            <w:tcMar>
              <w:bottom w:w="0" w:type="dxa"/>
            </w:tcMar>
            <w:vAlign w:val="center"/>
          </w:tcPr>
          <w:p>
            <w:pPr>
              <w:pStyle w:val="TableContents"/>
              <w:spacing w:before="0" w:after="283"/>
              <w:jc w:val="right"/>
              <w:rPr/>
            </w:pPr>
            <w:r>
              <w:rPr/>
              <w:t>30.9%</w:t>
            </w:r>
          </w:p>
        </w:tc>
        <w:tc>
          <w:tcPr>
            <w:tcW w:w="163"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w:t>
      </w:r>
      <w:r>
        <mc:AlternateContent>
          <mc:Choice Requires="wps">
            <w:drawing>
              <wp:anchor behindDoc="0" distT="10033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largest"/>
                <wp:docPr id="51" name="Frame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46,187,165 shares outstanding on March 1, 2020, adjusted as required by rules promulgated by the SEC. </w:t>
      </w:r>
      <w:r>
        <mc:AlternateContent>
          <mc:Choice Requires="wps">
            <w:drawing>
              <wp:anchor behindDoc="0" distT="49530" distB="0" distL="0" distR="0" simplePos="0" locked="0" layoutInCell="1" allowOverlap="1" relativeHeight="56">
                <wp:simplePos x="0" y="0"/>
                <wp:positionH relativeFrom="column">
                  <wp:align>left</wp:align>
                </wp:positionH>
                <wp:positionV relativeFrom="line">
                  <wp:align>top</wp:align>
                </wp:positionV>
                <wp:extent cx="533400" cy="350520"/>
                <wp:effectExtent l="0" t="0" r="0" b="0"/>
                <wp:wrapSquare wrapText="largest"/>
                <wp:docPr id="52" name="Frame50"/>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has been obtained from a Schedule 13D filed on filed on October 25, 2018 with the SEC by New Enterprise Associates 16, L.P. (“NEA 16”) and its affiliates. Consists of (a) 5,000,000 shares of common stock held directly by NEA 16 and (b) 3,750,000 shares of common stock issuable upon the exercise of warrants held directly by NEA 16. NEA Partners 16, L.P.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 </w:t>
      </w:r>
      <w:r>
        <mc:AlternateContent>
          <mc:Choice Requires="wps">
            <w:drawing>
              <wp:anchor behindDoc="0" distT="50800" distB="0" distL="0" distR="0" simplePos="0" locked="0" layoutInCell="1" allowOverlap="1" relativeHeight="57">
                <wp:simplePos x="0" y="0"/>
                <wp:positionH relativeFrom="column">
                  <wp:align>left</wp:align>
                </wp:positionH>
                <wp:positionV relativeFrom="line">
                  <wp:align>top</wp:align>
                </wp:positionV>
                <wp:extent cx="533400" cy="350520"/>
                <wp:effectExtent l="0" t="0" r="0" b="0"/>
                <wp:wrapSquare wrapText="largest"/>
                <wp:docPr id="53" name="Frame51"/>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has been obtained from a Schedule 13D/A jointly filed on February 20, 2020 with the SEC by Eastern Capital Limited (“Eastern Capital”) and its affiliates. Consists of (a) 4,050,001 shares of common stock held directly by Eastern Capital and (b) 1,250,001 shares of common stock issuable upon exercise of warrants held directly by Eastern Capital. All warrants are subject to a limit of exercise to the extent (and only to the extent) that Eastern Capital Limited or any of its affiliates would beneficially own in excess of 49.9% of the common stock of the Company after giving effect to such exercise. Eastern Capital is wholly owned by Portfolio Services Ltd., of which Kenneth B. Dart is the sole owner. Eastern Capital, Portfolio Services Ltd. and Kenneth B. Dart share voting and dispositive power with regard to the shares owned directly by Eastern Capital . The principal business address for all entities and individuals affiliated with Eastern Capital Limited is 10 Market Street, #773 Camana Bay Grand Cayman, KY1-9006 Cayman Islands.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533400" cy="350520"/>
                <wp:effectExtent l="0" t="0" r="0" b="0"/>
                <wp:wrapSquare wrapText="largest"/>
                <wp:docPr id="54" name="Frame52"/>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has been obtained from a Schedule 13D filed on October 19, 2018 with the SEC by Aisling Capital IV, LP (“Aisling”) and its affiliates. Consists of (a) 2,000,000 shares of common stock held directly by Aisling (b) 1,500,000 shares of common stock issuable upon exercise of warrants held directly by Aisling. Aisling Capital Partners IV, LP, (“Aisling LP”) is the general partner of Aisling and Aisling Capital Partners IV LLC, (“Aisling LLC”) is the general partner of Aisling LLC. Steven Elms, a member of the Company’s board of directors, and Mr. Andrew Schiff are the managing members of Aisling LLC (together, the “Managing Members”). Aisling, Aisling LP, Aisling LLC and the Managing Members share voting and dispositive power with regard to the shares owned directly by Aisling. The principal business address for all entities and individuals affiliated with Aisling is Aisling Capital, 888 Seventh Avenue, 12th Floor, New York, NY 10106. </w:t>
      </w:r>
      <w:r>
        <mc:AlternateContent>
          <mc:Choice Requires="wps">
            <w:drawing>
              <wp:anchor behindDoc="0" distT="50800" distB="0" distL="0" distR="0" simplePos="0" locked="0" layoutInCell="1" allowOverlap="1" relativeHeight="59">
                <wp:simplePos x="0" y="0"/>
                <wp:positionH relativeFrom="column">
                  <wp:align>left</wp:align>
                </wp:positionH>
                <wp:positionV relativeFrom="line">
                  <wp:align>top</wp:align>
                </wp:positionV>
                <wp:extent cx="533400" cy="350520"/>
                <wp:effectExtent l="0" t="0" r="0" b="0"/>
                <wp:wrapSquare wrapText="largest"/>
                <wp:docPr id="55" name="Frame53"/>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1,993,059 shares of common stock, (b) 722,783 shares of common stock issuable upon exercise of warrants within 60 days of March 1, 2020 and (c) 187,502 shares of common stock issuable upon exercise of options within 60 days of March 1, 2020. </w:t>
      </w:r>
      <w:r>
        <mc:AlternateContent>
          <mc:Choice Requires="wps">
            <w:drawing>
              <wp:anchor behindDoc="0" distT="50800" distB="0" distL="0" distR="0" simplePos="0" locked="0" layoutInCell="1" allowOverlap="1" relativeHeight="60">
                <wp:simplePos x="0" y="0"/>
                <wp:positionH relativeFrom="column">
                  <wp:align>left</wp:align>
                </wp:positionH>
                <wp:positionV relativeFrom="line">
                  <wp:align>top</wp:align>
                </wp:positionV>
                <wp:extent cx="533400" cy="350520"/>
                <wp:effectExtent l="0" t="0" r="0" b="0"/>
                <wp:wrapSquare wrapText="largest"/>
                <wp:docPr id="56" name="Frame54"/>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189,711 shares of common stock and (b) 547,244 shares of common stock issuable upon exercise of options within 60 days of March 1, 2020. </w:t>
      </w:r>
      <w:r>
        <mc:AlternateContent>
          <mc:Choice Requires="wps">
            <w:drawing>
              <wp:anchor behindDoc="0" distT="50800" distB="0" distL="0" distR="0" simplePos="0" locked="0" layoutInCell="1" allowOverlap="1" relativeHeight="61">
                <wp:simplePos x="0" y="0"/>
                <wp:positionH relativeFrom="column">
                  <wp:align>left</wp:align>
                </wp:positionH>
                <wp:positionV relativeFrom="line">
                  <wp:align>top</wp:align>
                </wp:positionV>
                <wp:extent cx="533400" cy="350520"/>
                <wp:effectExtent l="0" t="0" r="0" b="0"/>
                <wp:wrapSquare wrapText="largest"/>
                <wp:docPr id="57" name="Frame55"/>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153,327 shares of common stock issuable upon exercise of options within 60 days of March 1, 2020. </w:t>
      </w:r>
      <w:r>
        <mc:AlternateContent>
          <mc:Choice Requires="wps">
            <w:drawing>
              <wp:anchor behindDoc="0" distT="50800" distB="0" distL="0" distR="0" simplePos="0" locked="0" layoutInCell="1" allowOverlap="1" relativeHeight="62">
                <wp:simplePos x="0" y="0"/>
                <wp:positionH relativeFrom="column">
                  <wp:align>left</wp:align>
                </wp:positionH>
                <wp:positionV relativeFrom="line">
                  <wp:align>top</wp:align>
                </wp:positionV>
                <wp:extent cx="533400" cy="350520"/>
                <wp:effectExtent l="0" t="0" r="0" b="0"/>
                <wp:wrapSquare wrapText="largest"/>
                <wp:docPr id="58" name="Frame56"/>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100,417 shares of common stock issuable upon exercise of options within 60 days of March 1, 2020. </w:t>
      </w:r>
      <w:r>
        <mc:AlternateContent>
          <mc:Choice Requires="wps">
            <w:drawing>
              <wp:anchor behindDoc="0" distT="50800" distB="0" distL="0" distR="0" simplePos="0" locked="0" layoutInCell="1" allowOverlap="1" relativeHeight="63">
                <wp:simplePos x="0" y="0"/>
                <wp:positionH relativeFrom="column">
                  <wp:align>left</wp:align>
                </wp:positionH>
                <wp:positionV relativeFrom="line">
                  <wp:align>top</wp:align>
                </wp:positionV>
                <wp:extent cx="533400" cy="350520"/>
                <wp:effectExtent l="0" t="0" r="0" b="0"/>
                <wp:wrapSquare wrapText="largest"/>
                <wp:docPr id="59" name="Frame57"/>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7,260 shares of common stock and (b) 9,899 shares of common stock issuable upon exercise of options within 60 days of March 1, 2020. </w:t>
      </w:r>
      <w:r>
        <mc:AlternateContent>
          <mc:Choice Requires="wps">
            <w:drawing>
              <wp:anchor behindDoc="0" distT="50800" distB="0" distL="0" distR="0" simplePos="0" locked="0" layoutInCell="1" allowOverlap="1" relativeHeight="64">
                <wp:simplePos x="0" y="0"/>
                <wp:positionH relativeFrom="column">
                  <wp:align>left</wp:align>
                </wp:positionH>
                <wp:positionV relativeFrom="line">
                  <wp:align>top</wp:align>
                </wp:positionV>
                <wp:extent cx="533400" cy="350520"/>
                <wp:effectExtent l="0" t="0" r="0" b="0"/>
                <wp:wrapSquare wrapText="largest"/>
                <wp:docPr id="60" name="Frame58"/>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2,000,000 shares of common stock held directly by Aisling as described above in footnote 4, (b) 1,500,000 shares of common stock issuable upon exercise of warrants held directly by Aisling as described above in footnote 4 and (c) 4,168 shares of common stock issuable upon exercise of options within 60 days of March 1, 2020. Mr. Elms disclaims beneficial ownership of Aisling’s interest in the Company except to the extent of his pecuniary interest therein. </w:t>
      </w:r>
      <w:r>
        <mc:AlternateContent>
          <mc:Choice Requires="wps">
            <w:drawing>
              <wp:anchor behindDoc="0" distT="50800" distB="0" distL="0" distR="0" simplePos="0" locked="0" layoutInCell="1" allowOverlap="1" relativeHeight="65">
                <wp:simplePos x="0" y="0"/>
                <wp:positionH relativeFrom="column">
                  <wp:align>left</wp:align>
                </wp:positionH>
                <wp:positionV relativeFrom="line">
                  <wp:align>top</wp:align>
                </wp:positionV>
                <wp:extent cx="533400" cy="350520"/>
                <wp:effectExtent l="0" t="0" r="0" b="0"/>
                <wp:wrapSquare wrapText="largest"/>
                <wp:docPr id="61" name="Frame59"/>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25,543 shares of common stock and (b) 12,500 shares of common stock issuable upon exercise of options within 60 days of March 1, 2020. </w:t>
      </w:r>
      <w:r>
        <mc:AlternateContent>
          <mc:Choice Requires="wps">
            <w:drawing>
              <wp:anchor behindDoc="0" distT="50800" distB="0" distL="0" distR="0" simplePos="0" locked="0" layoutInCell="1" allowOverlap="1" relativeHeight="66">
                <wp:simplePos x="0" y="0"/>
                <wp:positionH relativeFrom="column">
                  <wp:align>left</wp:align>
                </wp:positionH>
                <wp:positionV relativeFrom="line">
                  <wp:align>top</wp:align>
                </wp:positionV>
                <wp:extent cx="533400" cy="350520"/>
                <wp:effectExtent l="0" t="0" r="0" b="0"/>
                <wp:wrapSquare wrapText="largest"/>
                <wp:docPr id="62" name="Frame60"/>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1,993,059 shares of common stock, (b) 722,783 shares of common stock issuable upon exercise of warrants within 60 days of March 1, 2020 and (c) 190,419 shares of common stock issuable upon exercise of options within 60 days of March 1, 2020. </w:t>
      </w:r>
      <w:r>
        <mc:AlternateContent>
          <mc:Choice Requires="wps">
            <w:drawing>
              <wp:anchor behindDoc="0" distT="50800" distB="0" distL="0" distR="0" simplePos="0" locked="0" layoutInCell="1" allowOverlap="1" relativeHeight="67">
                <wp:simplePos x="0" y="0"/>
                <wp:positionH relativeFrom="column">
                  <wp:align>left</wp:align>
                </wp:positionH>
                <wp:positionV relativeFrom="line">
                  <wp:align>top</wp:align>
                </wp:positionV>
                <wp:extent cx="533400" cy="350520"/>
                <wp:effectExtent l="0" t="0" r="0" b="0"/>
                <wp:wrapSquare wrapText="largest"/>
                <wp:docPr id="63" name="Frame61"/>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25,543 shares of common stock and (b) 12,500 shares of common stock issuable upon exercise of options within 60 days of March 1, 2020. </w:t>
      </w:r>
      <w:r>
        <mc:AlternateContent>
          <mc:Choice Requires="wps">
            <w:drawing>
              <wp:anchor behindDoc="0" distT="50800" distB="0" distL="0" distR="0" simplePos="0" locked="0" layoutInCell="1" allowOverlap="1" relativeHeight="68">
                <wp:simplePos x="0" y="0"/>
                <wp:positionH relativeFrom="column">
                  <wp:align>left</wp:align>
                </wp:positionH>
                <wp:positionV relativeFrom="line">
                  <wp:align>top</wp:align>
                </wp:positionV>
                <wp:extent cx="533400" cy="350520"/>
                <wp:effectExtent l="0" t="0" r="0" b="0"/>
                <wp:wrapSquare wrapText="largest"/>
                <wp:docPr id="64" name="Frame62"/>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6,068,043 shares of common stock, (b) 2,197,944 shares of common stock issuable upon exercise of warrants within 60 days of March 1, 2020 and (c) 9,899 shares of common stock issuable upon exercise of options within 60 days of March 1, 2020. </w:t>
      </w:r>
      <w:r>
        <mc:AlternateContent>
          <mc:Choice Requires="wps">
            <w:drawing>
              <wp:anchor behindDoc="0" distT="50800" distB="0" distL="0" distR="0" simplePos="0" locked="0" layoutInCell="1" allowOverlap="1" relativeHeight="69">
                <wp:simplePos x="0" y="0"/>
                <wp:positionH relativeFrom="column">
                  <wp:align>left</wp:align>
                </wp:positionH>
                <wp:positionV relativeFrom="line">
                  <wp:align>top</wp:align>
                </wp:positionV>
                <wp:extent cx="533400" cy="350520"/>
                <wp:effectExtent l="0" t="0" r="0" b="0"/>
                <wp:wrapSquare wrapText="largest"/>
                <wp:docPr id="65" name="Frame63"/>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23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(a) 10,309,159 shares of common stock, (b) 4,420,727 shares of common stock issuable upon exercise of warrants within 60 days of March 1, 2020 and (c) 1,350,376 shares of common stock issuable upon exercise of options within 60 days of March 1, 2020.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533400" cy="350520"/>
                <wp:effectExtent l="0" t="0" r="0" b="0"/>
                <wp:wrapSquare wrapText="largest"/>
                <wp:docPr id="66" name="Frame64"/>
                <a:graphic xmlns:a="http://schemas.openxmlformats.org/drawingml/2006/main">
                  <a:graphicData uri="http://schemas.microsoft.com/office/word/2010/wordprocessingShape">
                    <wps:wsp>
                      <wps:cNvSpPr txBox="1"/>
                      <wps:spPr>
                        <a:xfrm>
                          <a:off x="0" y="0"/>
                          <a:ext cx="533400" cy="350520"/>
                        </a:xfrm>
                        <a:prstGeom prst="rect"/>
                      </wps:spPr>
                      <wps:txbx>
                        <w:txbxContent>
                          <w:p>
                            <w:pPr>
                              <w:pStyle w:val="TextBody"/>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320" w:before="120" w:after="9760"/>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color w:val="000000"/>
          <w:spacing w:val="6"/>
          <w:sz w:val="28"/>
        </w:rPr>
        <w:t>D</w:t>
      </w:r>
      <w:r>
        <w:rPr>
          <w:rFonts w:ascii="Times New Roman;Times;serif" w:hAnsi="Times New Roman;Times;serif"/>
          <w:b/>
          <w:i w:val="false"/>
          <w:caps/>
          <w:color w:val="000000"/>
          <w:spacing w:val="6"/>
          <w:sz w:val="20"/>
        </w:rPr>
        <w:t>elinquent</w:t>
      </w:r>
      <w:r>
        <w:rPr>
          <w:rFonts w:ascii="Times New Roman;Times;serif" w:hAnsi="Times New Roman;Times;serif"/>
          <w:b/>
          <w:i w:val="false"/>
          <w:caps/>
          <w:color w:val="000000"/>
          <w:spacing w:val="6"/>
          <w:sz w:val="28"/>
        </w:rPr>
        <w:t xml:space="preserve"> S</w:t>
      </w:r>
      <w:r>
        <w:rPr>
          <w:rFonts w:ascii="Times New Roman;Times;serif" w:hAnsi="Times New Roman;Times;serif"/>
          <w:b/>
          <w:i w:val="false"/>
          <w:caps/>
          <w:color w:val="000000"/>
          <w:spacing w:val="6"/>
          <w:sz w:val="20"/>
        </w:rPr>
        <w:t>ection</w:t>
      </w:r>
      <w:r>
        <w:rPr>
          <w:rFonts w:ascii="Times New Roman;Times;serif" w:hAnsi="Times New Roman;Times;serif"/>
          <w:b/>
          <w:i w:val="false"/>
          <w:caps/>
          <w:color w:val="000000"/>
          <w:spacing w:val="6"/>
          <w:sz w:val="28"/>
        </w:rPr>
        <w:t xml:space="preserve"> 16(A) R</w:t>
      </w:r>
      <w:r>
        <w:rPr>
          <w:rFonts w:ascii="Times New Roman;Times;serif" w:hAnsi="Times New Roman;Times;serif"/>
          <w:b/>
          <w:i w:val="false"/>
          <w:caps/>
          <w:color w:val="000000"/>
          <w:spacing w:val="6"/>
          <w:sz w:val="20"/>
        </w:rPr>
        <w:t>eports</w:t>
      </w:r>
      <w:r>
        <w:rPr>
          <w:rFonts w:ascii="Times New Roman;Times;serif" w:hAnsi="Times New Roman;Times;serif"/>
          <w:b/>
          <w:i w:val="false"/>
          <w:caps/>
          <w:color w:val="000000"/>
          <w:spacing w:val="6"/>
          <w:sz w:val="28"/>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Company’s knowledge, based solely on a review of the copies of such reports furnished to the Company and written representations that no other reports were required, during the fiscal year ended December 31, 2019, all Section 16(a) filing requirements applicable to its officers, directors and greater than ten percent beneficial owners were complied with.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XCO"/>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320" w:before="120" w:after="283"/>
        <w:ind w:left="139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color w:val="000000"/>
          <w:spacing w:val="6"/>
          <w:sz w:val="28"/>
        </w:rPr>
        <w:t>E</w:t>
      </w:r>
      <w:r>
        <w:rPr>
          <w:rFonts w:ascii="Times New Roman;Times;serif" w:hAnsi="Times New Roman;Times;serif"/>
          <w:b/>
          <w:i w:val="false"/>
          <w:caps/>
          <w:color w:val="000000"/>
          <w:spacing w:val="6"/>
          <w:sz w:val="20"/>
        </w:rPr>
        <w:t>xecutive</w:t>
      </w:r>
      <w:r>
        <w:rPr>
          <w:rFonts w:ascii="Times New Roman;Times;serif" w:hAnsi="Times New Roman;Times;serif"/>
          <w:b/>
          <w:i w:val="false"/>
          <w:caps/>
          <w:color w:val="000000"/>
          <w:spacing w:val="6"/>
          <w:sz w:val="28"/>
        </w:rPr>
        <w:t xml:space="preserve"> C</w:t>
      </w:r>
      <w:r>
        <w:rPr>
          <w:rFonts w:ascii="Times New Roman;Times;serif" w:hAnsi="Times New Roman;Times;serif"/>
          <w:b/>
          <w:i w:val="false"/>
          <w:caps/>
          <w:color w:val="000000"/>
          <w:spacing w:val="6"/>
          <w:sz w:val="20"/>
        </w:rPr>
        <w:t>ompensation</w:t>
      </w:r>
      <w:r>
        <w:rPr>
          <w:rFonts w:ascii="Times New Roman;Times;serif" w:hAnsi="Times New Roman;Times;serif"/>
          <w:b/>
          <w:i w:val="false"/>
          <w:caps/>
          <w:color w:val="000000"/>
          <w:spacing w:val="6"/>
          <w:sz w:val="28"/>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2019 and 2018. Our named executive officers for 2019 include our principal executive officer and our two other most highly compensated executive officers: </w:t>
      </w:r>
    </w:p>
    <w:p>
      <w:pPr>
        <w:pStyle w:val="TextBody"/>
        <w:spacing w:lineRule="atLeast" w:line="240" w:before="12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Peter Hoang, our President and Chief Executive Officer;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largest"/>
                <wp:docPr id="67" name="Frame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Anthony Kim, our Chief Financial Officer; and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largest"/>
                <wp:docPr id="68" name="Frame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Mythili Koneru, our Chief Medical Officer.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largest"/>
                <wp:docPr id="69" name="Frame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80" w:before="240" w:after="283"/>
        <w:rPr>
          <w:rFonts w:ascii="Times New Roman;Times;serif" w:hAnsi="Times New Roman;Times;serif"/>
          <w:b/>
          <w:i w:val="false"/>
          <w:caps w:val="false"/>
          <w:smallCaps w:val="false"/>
          <w:color w:val="000000"/>
          <w:sz w:val="24"/>
        </w:rPr>
      </w:pPr>
      <w:r>
        <w:rPr>
          <w:rFonts w:ascii="Times New Roman;Times;serif" w:hAnsi="Times New Roman;Times;serif"/>
          <w:b/>
          <w:i w:val="false"/>
          <w:caps/>
          <w:color w:val="000000"/>
          <w:spacing w:val="5"/>
          <w:sz w:val="24"/>
        </w:rPr>
        <w:t>S</w:t>
      </w:r>
      <w:r>
        <w:rPr>
          <w:rFonts w:ascii="Times New Roman;Times;serif" w:hAnsi="Times New Roman;Times;serif"/>
          <w:b/>
          <w:i w:val="false"/>
          <w:caps/>
          <w:color w:val="000000"/>
          <w:spacing w:val="5"/>
          <w:sz w:val="18"/>
        </w:rPr>
        <w:t>ummary</w:t>
      </w:r>
      <w:r>
        <w:rPr>
          <w:rFonts w:ascii="Times New Roman;Times;serif" w:hAnsi="Times New Roman;Times;serif"/>
          <w:b/>
          <w:i w:val="false"/>
          <w:caps/>
          <w:color w:val="000000"/>
          <w:spacing w:val="5"/>
          <w:sz w:val="24"/>
        </w:rPr>
        <w:t xml:space="preserve"> C</w:t>
      </w:r>
      <w:r>
        <w:rPr>
          <w:rFonts w:ascii="Times New Roman;Times;serif" w:hAnsi="Times New Roman;Times;serif"/>
          <w:b/>
          <w:i w:val="false"/>
          <w:caps/>
          <w:color w:val="000000"/>
          <w:spacing w:val="5"/>
          <w:sz w:val="18"/>
        </w:rPr>
        <w:t>ompensation</w:t>
      </w:r>
      <w:r>
        <w:rPr>
          <w:rFonts w:ascii="Times New Roman;Times;serif" w:hAnsi="Times New Roman;Times;serif"/>
          <w:b/>
          <w:i w:val="false"/>
          <w:caps/>
          <w:color w:val="000000"/>
          <w:spacing w:val="5"/>
          <w:sz w:val="24"/>
        </w:rPr>
        <w:t xml:space="preserve"> T</w:t>
      </w:r>
      <w:r>
        <w:rPr>
          <w:rFonts w:ascii="Times New Roman;Times;serif" w:hAnsi="Times New Roman;Times;serif"/>
          <w:b/>
          <w:i w:val="false"/>
          <w:caps/>
          <w:color w:val="000000"/>
          <w:spacing w:val="5"/>
          <w:sz w:val="18"/>
        </w:rPr>
        <w:t>able</w:t>
      </w:r>
      <w:r>
        <w:rPr>
          <w:rFonts w:ascii="Times New Roman;Times;serif" w:hAnsi="Times New Roman;Times;serif"/>
          <w:b/>
          <w:i w:val="false"/>
          <w:caps/>
          <w:color w:val="000000"/>
          <w:spacing w:val="5"/>
          <w:sz w:val="24"/>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compensation awarded to, earned by and paid to our named executive officers with respect to the years ended December 31, 2019 and 2018, respectively. </w:t>
      </w:r>
    </w:p>
    <w:tbl>
      <w:tblPr>
        <w:tblW w:w="8888" w:type="dxa"/>
        <w:jc w:val="left"/>
        <w:tblInd w:w="1393" w:type="dxa"/>
        <w:tblCellMar>
          <w:top w:w="0" w:type="dxa"/>
          <w:left w:w="0" w:type="dxa"/>
          <w:bottom w:w="28" w:type="dxa"/>
          <w:right w:w="0" w:type="dxa"/>
        </w:tblCellMar>
      </w:tblPr>
      <w:tblGrid>
        <w:gridCol w:w="124"/>
        <w:gridCol w:w="970"/>
        <w:gridCol w:w="109"/>
        <w:gridCol w:w="109"/>
        <w:gridCol w:w="598"/>
        <w:gridCol w:w="109"/>
        <w:gridCol w:w="109"/>
        <w:gridCol w:w="955"/>
        <w:gridCol w:w="109"/>
        <w:gridCol w:w="109"/>
        <w:gridCol w:w="831"/>
        <w:gridCol w:w="109"/>
        <w:gridCol w:w="109"/>
        <w:gridCol w:w="1222"/>
        <w:gridCol w:w="109"/>
        <w:gridCol w:w="109"/>
        <w:gridCol w:w="1504"/>
        <w:gridCol w:w="109"/>
        <w:gridCol w:w="109"/>
        <w:gridCol w:w="1222"/>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970"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Name and Principal Position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98"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55" w:type="dxa"/>
            <w:tcBorders>
              <w:bottom w:val="single" w:sz="2" w:space="0" w:color="000000"/>
            </w:tcBorders>
            <w:shd w:fill="auto" w:val="clear"/>
            <w:tcMar>
              <w:bottom w:w="43" w:type="dxa"/>
            </w:tcMar>
            <w:vAlign w:val="center"/>
          </w:tcPr>
          <w:p>
            <w:pPr>
              <w:pStyle w:val="TableContents"/>
              <w:spacing w:before="0" w:after="0"/>
              <w:jc w:val="center"/>
              <w:rPr/>
            </w:pPr>
            <w:r>
              <w:rPr>
                <w:spacing w:val="3"/>
              </w:rPr>
              <w:t>Salary</w:t>
            </w:r>
            <w:r>
              <w:rPr/>
              <w:t xml:space="preserve"> </w:t>
              <w:br/>
            </w: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31" w:type="dxa"/>
            <w:tcBorders>
              <w:bottom w:val="single" w:sz="2" w:space="0" w:color="000000"/>
            </w:tcBorders>
            <w:shd w:fill="auto" w:val="clear"/>
            <w:tcMar>
              <w:bottom w:w="43" w:type="dxa"/>
            </w:tcMar>
            <w:vAlign w:val="center"/>
          </w:tcPr>
          <w:p>
            <w:pPr>
              <w:pStyle w:val="TableContents"/>
              <w:spacing w:before="0" w:after="0"/>
              <w:jc w:val="center"/>
              <w:rPr/>
            </w:pPr>
            <w:r>
              <w:rPr>
                <w:spacing w:val="3"/>
              </w:rPr>
              <w:t>Bonus</w:t>
            </w:r>
            <w:r>
              <w:rPr/>
              <w:t xml:space="preserve"> </w:t>
              <w:br/>
            </w: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2" w:type="dxa"/>
            <w:tcBorders>
              <w:bottom w:val="single" w:sz="2" w:space="0" w:color="000000"/>
            </w:tcBorders>
            <w:shd w:fill="auto" w:val="clear"/>
            <w:tcMar>
              <w:bottom w:w="43" w:type="dxa"/>
            </w:tcMar>
            <w:vAlign w:val="center"/>
          </w:tcPr>
          <w:p>
            <w:pPr>
              <w:pStyle w:val="TableContents"/>
              <w:spacing w:before="0" w:after="0"/>
              <w:jc w:val="center"/>
              <w:rPr/>
            </w:pPr>
            <w:r>
              <w:rPr>
                <w:spacing w:val="3"/>
              </w:rPr>
              <w:t>Option</w:t>
            </w:r>
            <w:r>
              <w:rPr/>
              <w:t xml:space="preserve"> </w:t>
              <w:br/>
            </w:r>
            <w:r>
              <w:rPr>
                <w:spacing w:val="3"/>
              </w:rPr>
              <w:t>Awards</w:t>
            </w:r>
            <w:r>
              <w:rPr/>
              <w:t xml:space="preserve"> </w:t>
              <w:br/>
            </w:r>
            <w:r>
              <w:rPr>
                <w:spacing w:val="3"/>
              </w:rPr>
              <w:t>($)</w:t>
            </w:r>
            <w:r>
              <w:rPr>
                <w:spacing w:val="2"/>
                <w:sz w:val="12"/>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04"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Non-Equity </w:t>
            </w:r>
            <w:r>
              <w:rPr/>
              <w:br/>
            </w:r>
            <w:r>
              <w:rPr>
                <w:spacing w:val="3"/>
              </w:rPr>
              <w:t xml:space="preserve">Incentive Plan </w:t>
            </w:r>
            <w:r>
              <w:rPr/>
              <w:br/>
            </w:r>
            <w:r>
              <w:rPr>
                <w:spacing w:val="3"/>
              </w:rPr>
              <w:t xml:space="preserve">Compensation </w:t>
            </w:r>
            <w:r>
              <w:rPr/>
              <w:br/>
            </w:r>
            <w:r>
              <w:rPr>
                <w:spacing w:val="3"/>
              </w:rPr>
              <w:t>($)</w:t>
            </w:r>
            <w:r>
              <w:rPr>
                <w:spacing w:val="2"/>
                <w:sz w:val="12"/>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2" w:type="dxa"/>
            <w:tcBorders>
              <w:bottom w:val="single" w:sz="2" w:space="0" w:color="000000"/>
            </w:tcBorders>
            <w:shd w:fill="auto" w:val="clear"/>
            <w:tcMar>
              <w:bottom w:w="43" w:type="dxa"/>
            </w:tcMar>
            <w:vAlign w:val="center"/>
          </w:tcPr>
          <w:p>
            <w:pPr>
              <w:pStyle w:val="TableContents"/>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DFF" w:val="clear"/>
            <w:tcMar>
              <w:bottom w:w="0" w:type="dxa"/>
            </w:tcMar>
            <w:vAlign w:val="center"/>
          </w:tcPr>
          <w:p>
            <w:pPr>
              <w:pStyle w:val="TableContents"/>
              <w:spacing w:before="0" w:after="283"/>
              <w:rPr/>
            </w:pPr>
            <w:r>
              <w:rPr/>
              <w:t>​</w:t>
            </w:r>
          </w:p>
        </w:tc>
        <w:tc>
          <w:tcPr>
            <w:tcW w:w="970" w:type="dxa"/>
            <w:tcBorders/>
            <w:shd w:fill="CCEDFF" w:val="clear"/>
            <w:tcMar>
              <w:bottom w:w="0" w:type="dxa"/>
            </w:tcMar>
            <w:vAlign w:val="center"/>
          </w:tcPr>
          <w:p>
            <w:pPr>
              <w:pStyle w:val="TableContents"/>
              <w:spacing w:before="0" w:after="0"/>
              <w:ind w:left="200" w:right="0" w:hanging="200"/>
              <w:jc w:val="left"/>
              <w:rPr/>
            </w:pPr>
            <w:r>
              <w:rPr>
                <w:spacing w:val="4"/>
              </w:rPr>
              <w:t>Peter Hoang</w:t>
            </w:r>
            <w:r>
              <w:rPr>
                <w:spacing w:val="3"/>
                <w:sz w:val="15"/>
              </w:rPr>
              <w:t>(2)</w:t>
            </w:r>
            <w:r>
              <w:rPr/>
              <w:t xml:space="preserve"> </w:t>
              <w:br/>
            </w:r>
            <w:r>
              <w:rPr>
                <w:i/>
                <w:spacing w:val="4"/>
              </w:rPr>
              <w:t>President and Chief Executive Officer</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598" w:type="dxa"/>
            <w:tcBorders/>
            <w:shd w:fill="CCEDFF" w:val="clear"/>
            <w:tcMar>
              <w:bottom w:w="0" w:type="dxa"/>
            </w:tcMar>
            <w:vAlign w:val="center"/>
          </w:tcPr>
          <w:p>
            <w:pPr>
              <w:pStyle w:val="TableContents"/>
              <w:spacing w:before="0" w:after="0"/>
              <w:jc w:val="center"/>
              <w:rPr>
                <w:spacing w:val="4"/>
              </w:rPr>
            </w:pPr>
            <w:r>
              <w:rPr>
                <w:spacing w:val="4"/>
              </w:rPr>
              <w:t xml:space="preserve">2019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955" w:type="dxa"/>
            <w:tcBorders/>
            <w:shd w:fill="CCEDFF" w:val="clear"/>
            <w:tcMar>
              <w:bottom w:w="0" w:type="dxa"/>
            </w:tcMar>
            <w:vAlign w:val="center"/>
          </w:tcPr>
          <w:p>
            <w:pPr>
              <w:pStyle w:val="TableContents"/>
              <w:spacing w:before="0" w:after="0"/>
              <w:jc w:val="center"/>
              <w:rPr>
                <w:spacing w:val="4"/>
              </w:rPr>
            </w:pPr>
            <w:r>
              <w:rPr>
                <w:spacing w:val="4"/>
              </w:rPr>
              <w:t xml:space="preserve">380,000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831" w:type="dxa"/>
            <w:tcBorders/>
            <w:shd w:fill="CCEDFF"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04" w:type="dxa"/>
            <w:tcBorders/>
            <w:shd w:fill="CCEDFF" w:val="clear"/>
            <w:tcMar>
              <w:bottom w:w="0" w:type="dxa"/>
            </w:tcMar>
            <w:vAlign w:val="center"/>
          </w:tcPr>
          <w:p>
            <w:pPr>
              <w:pStyle w:val="TableContents"/>
              <w:spacing w:before="0" w:after="0"/>
              <w:jc w:val="center"/>
              <w:rPr/>
            </w:pPr>
            <w:r>
              <w:rPr>
                <w:spacing w:val="4"/>
              </w:rPr>
              <w:t>71,665</w:t>
            </w:r>
            <w:r>
              <w:rPr>
                <w:spacing w:val="3"/>
                <w:sz w:val="15"/>
              </w:rPr>
              <w:t>(6)</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spacing w:val="4"/>
              </w:rPr>
            </w:pPr>
            <w:r>
              <w:rPr>
                <w:spacing w:val="4"/>
              </w:rPr>
              <w:t xml:space="preserve">451,665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DFF" w:val="clear"/>
            <w:tcMar>
              <w:bottom w:w="0" w:type="dxa"/>
            </w:tcMar>
            <w:vAlign w:val="center"/>
          </w:tcPr>
          <w:p>
            <w:pPr>
              <w:pStyle w:val="TableContents"/>
              <w:spacing w:before="0" w:after="283"/>
              <w:rPr/>
            </w:pPr>
            <w:r>
              <w:rPr/>
              <w:t>​</w:t>
            </w:r>
          </w:p>
        </w:tc>
        <w:tc>
          <w:tcPr>
            <w:tcW w:w="970" w:type="dxa"/>
            <w:tcBorders/>
            <w:shd w:fill="CCEDFF" w:val="clear"/>
            <w:tcMar>
              <w:bottom w:w="0" w:type="dxa"/>
            </w:tcMar>
            <w:vAlign w:val="center"/>
          </w:tcPr>
          <w:p>
            <w:pPr>
              <w:pStyle w:val="TableContents"/>
              <w:spacing w:before="0" w:after="283"/>
              <w:jc w:val="left"/>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598" w:type="dxa"/>
            <w:tcBorders/>
            <w:shd w:fill="CCEDFF" w:val="clear"/>
            <w:tcMar>
              <w:bottom w:w="0" w:type="dxa"/>
            </w:tcMar>
            <w:vAlign w:val="center"/>
          </w:tcPr>
          <w:p>
            <w:pPr>
              <w:pStyle w:val="TableContents"/>
              <w:spacing w:before="0" w:after="0"/>
              <w:jc w:val="center"/>
              <w:rPr>
                <w:spacing w:val="4"/>
              </w:rPr>
            </w:pPr>
            <w:r>
              <w:rPr>
                <w:spacing w:val="4"/>
              </w:rPr>
              <w:t xml:space="preserve">2018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955" w:type="dxa"/>
            <w:tcBorders/>
            <w:shd w:fill="CCEDFF" w:val="clear"/>
            <w:tcMar>
              <w:bottom w:w="0" w:type="dxa"/>
            </w:tcMar>
            <w:vAlign w:val="center"/>
          </w:tcPr>
          <w:p>
            <w:pPr>
              <w:pStyle w:val="TableContents"/>
              <w:spacing w:before="0" w:after="0"/>
              <w:jc w:val="center"/>
              <w:rPr>
                <w:spacing w:val="4"/>
              </w:rPr>
            </w:pPr>
            <w:r>
              <w:rPr>
                <w:spacing w:val="4"/>
              </w:rPr>
              <w:t xml:space="preserve">362,500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831" w:type="dxa"/>
            <w:tcBorders/>
            <w:shd w:fill="CCEDFF"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spacing w:val="4"/>
              </w:rPr>
            </w:pPr>
            <w:r>
              <w:rPr>
                <w:spacing w:val="4"/>
              </w:rPr>
              <w:t xml:space="preserve">12,469,870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04" w:type="dxa"/>
            <w:tcBorders/>
            <w:shd w:fill="CCEDFF" w:val="clear"/>
            <w:tcMar>
              <w:bottom w:w="0" w:type="dxa"/>
            </w:tcMar>
            <w:vAlign w:val="center"/>
          </w:tcPr>
          <w:p>
            <w:pPr>
              <w:pStyle w:val="TableContents"/>
              <w:spacing w:before="0" w:after="0"/>
              <w:jc w:val="center"/>
              <w:rPr>
                <w:spacing w:val="4"/>
              </w:rPr>
            </w:pPr>
            <w:r>
              <w:rPr>
                <w:spacing w:val="4"/>
              </w:rPr>
              <w:t xml:space="preserve">181,250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spacing w:val="4"/>
              </w:rPr>
            </w:pPr>
            <w:r>
              <w:rPr>
                <w:spacing w:val="4"/>
              </w:rPr>
              <w:t xml:space="preserve">13,013,620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70" w:type="dxa"/>
            <w:tcBorders/>
            <w:shd w:fill="auto" w:val="clear"/>
            <w:tcMar>
              <w:bottom w:w="0" w:type="dxa"/>
            </w:tcMar>
            <w:vAlign w:val="center"/>
          </w:tcPr>
          <w:p>
            <w:pPr>
              <w:pStyle w:val="TableContents"/>
              <w:spacing w:before="0" w:after="0"/>
              <w:ind w:left="200" w:right="0" w:hanging="200"/>
              <w:jc w:val="left"/>
              <w:rPr/>
            </w:pPr>
            <w:r>
              <w:rPr>
                <w:spacing w:val="4"/>
              </w:rPr>
              <w:t>Anthony Kim</w:t>
            </w:r>
            <w:r>
              <w:rPr/>
              <w:t xml:space="preserve"> </w:t>
              <w:br/>
            </w:r>
            <w:r>
              <w:rPr>
                <w:i/>
                <w:spacing w:val="4"/>
              </w:rPr>
              <w:t>Chief Financial Officer</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8" w:type="dxa"/>
            <w:tcBorders/>
            <w:shd w:fill="auto" w:val="clear"/>
            <w:tcMar>
              <w:bottom w:w="0" w:type="dxa"/>
            </w:tcMar>
            <w:vAlign w:val="center"/>
          </w:tcPr>
          <w:p>
            <w:pPr>
              <w:pStyle w:val="TableContents"/>
              <w:spacing w:before="0" w:after="0"/>
              <w:jc w:val="center"/>
              <w:rPr>
                <w:spacing w:val="4"/>
              </w:rPr>
            </w:pPr>
            <w:r>
              <w:rPr>
                <w:spacing w:val="4"/>
              </w:rPr>
              <w:t xml:space="preserve">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5" w:type="dxa"/>
            <w:tcBorders/>
            <w:shd w:fill="auto" w:val="clear"/>
            <w:tcMar>
              <w:bottom w:w="0" w:type="dxa"/>
            </w:tcMar>
            <w:vAlign w:val="center"/>
          </w:tcPr>
          <w:p>
            <w:pPr>
              <w:pStyle w:val="TableContents"/>
              <w:spacing w:before="0" w:after="0"/>
              <w:jc w:val="center"/>
              <w:rPr>
                <w:spacing w:val="4"/>
              </w:rPr>
            </w:pPr>
            <w:r>
              <w:rPr>
                <w:spacing w:val="4"/>
              </w:rPr>
              <w:t xml:space="preserve">375,000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31" w:type="dxa"/>
            <w:tcBorders/>
            <w:shd w:fill="auto"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2" w:type="dxa"/>
            <w:tcBorders/>
            <w:shd w:fill="auto"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4" w:type="dxa"/>
            <w:tcBorders/>
            <w:shd w:fill="auto" w:val="clear"/>
            <w:tcMar>
              <w:bottom w:w="0" w:type="dxa"/>
            </w:tcMar>
            <w:vAlign w:val="center"/>
          </w:tcPr>
          <w:p>
            <w:pPr>
              <w:pStyle w:val="TableContents"/>
              <w:spacing w:before="0" w:after="0"/>
              <w:jc w:val="center"/>
              <w:rPr/>
            </w:pPr>
            <w:r>
              <w:rPr>
                <w:spacing w:val="4"/>
              </w:rPr>
              <w:t>56,523</w:t>
            </w:r>
            <w:r>
              <w:rPr>
                <w:spacing w:val="3"/>
                <w:sz w:val="15"/>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2" w:type="dxa"/>
            <w:tcBorders/>
            <w:shd w:fill="auto" w:val="clear"/>
            <w:tcMar>
              <w:bottom w:w="0" w:type="dxa"/>
            </w:tcMar>
            <w:vAlign w:val="center"/>
          </w:tcPr>
          <w:p>
            <w:pPr>
              <w:pStyle w:val="TableContents"/>
              <w:spacing w:before="0" w:after="0"/>
              <w:jc w:val="center"/>
              <w:rPr>
                <w:spacing w:val="4"/>
              </w:rPr>
            </w:pPr>
            <w:r>
              <w:rPr>
                <w:spacing w:val="4"/>
              </w:rPr>
              <w:t xml:space="preserve">431,523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7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98" w:type="dxa"/>
            <w:tcBorders/>
            <w:shd w:fill="auto" w:val="clear"/>
            <w:tcMar>
              <w:bottom w:w="0" w:type="dxa"/>
            </w:tcMar>
            <w:vAlign w:val="center"/>
          </w:tcPr>
          <w:p>
            <w:pPr>
              <w:pStyle w:val="TableContents"/>
              <w:spacing w:before="0" w:after="0"/>
              <w:jc w:val="center"/>
              <w:rPr>
                <w:spacing w:val="4"/>
              </w:rPr>
            </w:pPr>
            <w:r>
              <w:rPr>
                <w:spacing w:val="4"/>
              </w:rPr>
              <w:t xml:space="preserve">2018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5" w:type="dxa"/>
            <w:tcBorders/>
            <w:shd w:fill="auto" w:val="clear"/>
            <w:tcMar>
              <w:bottom w:w="0" w:type="dxa"/>
            </w:tcMar>
            <w:vAlign w:val="center"/>
          </w:tcPr>
          <w:p>
            <w:pPr>
              <w:pStyle w:val="TableContents"/>
              <w:spacing w:before="0" w:after="0"/>
              <w:jc w:val="center"/>
              <w:rPr/>
            </w:pPr>
            <w:r>
              <w:rPr>
                <w:spacing w:val="4"/>
              </w:rPr>
              <w:t>28,846</w:t>
            </w:r>
            <w:r>
              <w:rPr>
                <w:spacing w:val="3"/>
                <w:sz w:val="15"/>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2" w:type="dxa"/>
            <w:tcBorders/>
            <w:shd w:fill="auto" w:val="clear"/>
            <w:tcMar>
              <w:bottom w:w="0" w:type="dxa"/>
            </w:tcMar>
            <w:vAlign w:val="center"/>
          </w:tcPr>
          <w:p>
            <w:pPr>
              <w:pStyle w:val="TableContents"/>
              <w:spacing w:before="0" w:after="0"/>
              <w:jc w:val="center"/>
              <w:rPr>
                <w:spacing w:val="4"/>
              </w:rPr>
            </w:pPr>
            <w:r>
              <w:rPr>
                <w:spacing w:val="4"/>
              </w:rPr>
              <w:t xml:space="preserve">2,716,000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4" w:type="dxa"/>
            <w:tcBorders/>
            <w:shd w:fill="auto"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2" w:type="dxa"/>
            <w:tcBorders/>
            <w:shd w:fill="auto" w:val="clear"/>
            <w:tcMar>
              <w:bottom w:w="0" w:type="dxa"/>
            </w:tcMar>
            <w:vAlign w:val="center"/>
          </w:tcPr>
          <w:p>
            <w:pPr>
              <w:pStyle w:val="TableContents"/>
              <w:spacing w:before="0" w:after="0"/>
              <w:jc w:val="center"/>
              <w:rPr>
                <w:spacing w:val="4"/>
              </w:rPr>
            </w:pPr>
            <w:r>
              <w:rPr>
                <w:spacing w:val="4"/>
              </w:rPr>
              <w:t xml:space="preserve">2,774,846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DFF" w:val="clear"/>
            <w:tcMar>
              <w:bottom w:w="0" w:type="dxa"/>
            </w:tcMar>
            <w:vAlign w:val="center"/>
          </w:tcPr>
          <w:p>
            <w:pPr>
              <w:pStyle w:val="TableContents"/>
              <w:spacing w:before="0" w:after="283"/>
              <w:rPr/>
            </w:pPr>
            <w:r>
              <w:rPr/>
              <w:t>​</w:t>
            </w:r>
          </w:p>
        </w:tc>
        <w:tc>
          <w:tcPr>
            <w:tcW w:w="970" w:type="dxa"/>
            <w:tcBorders/>
            <w:shd w:fill="CCEDFF" w:val="clear"/>
            <w:tcMar>
              <w:bottom w:w="0" w:type="dxa"/>
            </w:tcMar>
            <w:vAlign w:val="center"/>
          </w:tcPr>
          <w:p>
            <w:pPr>
              <w:pStyle w:val="TableContents"/>
              <w:spacing w:before="0" w:after="0"/>
              <w:ind w:left="200" w:right="0" w:hanging="200"/>
              <w:jc w:val="left"/>
              <w:rPr/>
            </w:pPr>
            <w:r>
              <w:rPr>
                <w:spacing w:val="4"/>
              </w:rPr>
              <w:t>Mythili Koneru</w:t>
            </w:r>
            <w:r>
              <w:rPr/>
              <w:t xml:space="preserve"> </w:t>
              <w:br/>
            </w:r>
            <w:r>
              <w:rPr>
                <w:i/>
                <w:spacing w:val="4"/>
              </w:rPr>
              <w:t>Chief Medical Officer</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598" w:type="dxa"/>
            <w:tcBorders/>
            <w:shd w:fill="CCEDFF" w:val="clear"/>
            <w:tcMar>
              <w:bottom w:w="0" w:type="dxa"/>
            </w:tcMar>
            <w:vAlign w:val="center"/>
          </w:tcPr>
          <w:p>
            <w:pPr>
              <w:pStyle w:val="TableContents"/>
              <w:spacing w:before="0" w:after="0"/>
              <w:jc w:val="center"/>
              <w:rPr>
                <w:spacing w:val="4"/>
              </w:rPr>
            </w:pPr>
            <w:r>
              <w:rPr>
                <w:spacing w:val="4"/>
              </w:rPr>
              <w:t xml:space="preserve">2019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955" w:type="dxa"/>
            <w:tcBorders/>
            <w:shd w:fill="CCEDFF" w:val="clear"/>
            <w:tcMar>
              <w:bottom w:w="0" w:type="dxa"/>
            </w:tcMar>
            <w:vAlign w:val="center"/>
          </w:tcPr>
          <w:p>
            <w:pPr>
              <w:pStyle w:val="TableContents"/>
              <w:spacing w:before="0" w:after="0"/>
              <w:jc w:val="center"/>
              <w:rPr/>
            </w:pPr>
            <w:r>
              <w:rPr>
                <w:spacing w:val="4"/>
              </w:rPr>
              <w:t>313,542</w:t>
            </w:r>
            <w:r>
              <w:rPr>
                <w:spacing w:val="3"/>
                <w:sz w:val="15"/>
              </w:rPr>
              <w:t>(4)</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831" w:type="dxa"/>
            <w:tcBorders/>
            <w:shd w:fill="CCEDFF" w:val="clear"/>
            <w:tcMar>
              <w:bottom w:w="0" w:type="dxa"/>
            </w:tcMar>
            <w:vAlign w:val="center"/>
          </w:tcPr>
          <w:p>
            <w:pPr>
              <w:pStyle w:val="TableContents"/>
              <w:spacing w:before="0" w:after="0"/>
              <w:jc w:val="center"/>
              <w:rPr/>
            </w:pPr>
            <w:r>
              <w:rPr>
                <w:spacing w:val="4"/>
              </w:rPr>
              <w:t>50,000</w:t>
            </w:r>
            <w:r>
              <w:rPr>
                <w:spacing w:val="3"/>
                <w:sz w:val="15"/>
              </w:rPr>
              <w:t>(5)</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spacing w:val="4"/>
              </w:rPr>
            </w:pPr>
            <w:r>
              <w:rPr>
                <w:spacing w:val="4"/>
              </w:rPr>
              <w:t xml:space="preserve">1,438,656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04" w:type="dxa"/>
            <w:tcBorders/>
            <w:shd w:fill="CCEDFF" w:val="clear"/>
            <w:tcMar>
              <w:bottom w:w="0" w:type="dxa"/>
            </w:tcMar>
            <w:vAlign w:val="center"/>
          </w:tcPr>
          <w:p>
            <w:pPr>
              <w:pStyle w:val="TableContents"/>
              <w:spacing w:before="0" w:after="0"/>
              <w:jc w:val="center"/>
              <w:rPr/>
            </w:pPr>
            <w:r>
              <w:rPr>
                <w:spacing w:val="4"/>
              </w:rPr>
              <w:t>41,565</w:t>
            </w:r>
            <w:r>
              <w:rPr>
                <w:spacing w:val="3"/>
                <w:sz w:val="15"/>
              </w:rPr>
              <w:t>(6)</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222" w:type="dxa"/>
            <w:tcBorders/>
            <w:shd w:fill="CCEDFF" w:val="clear"/>
            <w:tcMar>
              <w:bottom w:w="0" w:type="dxa"/>
            </w:tcMar>
            <w:vAlign w:val="center"/>
          </w:tcPr>
          <w:p>
            <w:pPr>
              <w:pStyle w:val="TableContents"/>
              <w:spacing w:before="0" w:after="0"/>
              <w:jc w:val="center"/>
              <w:rPr/>
            </w:pPr>
            <w:r>
              <w:rPr>
                <w:spacing w:val="4"/>
              </w:rPr>
              <w:t>1,843,763</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2019,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 </w:t>
      </w:r>
      <w:r>
        <mc:AlternateContent>
          <mc:Choice Requires="wps">
            <w:drawing>
              <wp:anchor behindDoc="0" distT="25400" distB="0" distL="508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largest"/>
                <wp:docPr id="70" name="Frame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2pt;mso-wrap-distance-bottom:0pt;margin-top:2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Hoang did not earn compensation during 2018 or 2019 for his service on the Board of Directors. </w:t>
      </w:r>
      <w:r>
        <mc:AlternateContent>
          <mc:Choice Requires="wps">
            <w:drawing>
              <wp:anchor behindDoc="0" distT="50800" distB="0" distL="508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largest"/>
                <wp:docPr id="71" name="Frame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Kim’s employment with us commenced in November 2018. The 2018 salary reported reflects the pro rata portion of Mr. Kim’s annual salary of $375,000 earned during 2018 from commencement of his employment through December 31, 2018. </w:t>
      </w:r>
      <w:r>
        <mc:AlternateContent>
          <mc:Choice Requires="wps">
            <w:drawing>
              <wp:anchor behindDoc="0" distT="50800" distB="0" distL="508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largest"/>
                <wp:docPr id="72" name="Frame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Koneru’s employment with us commenced in February 2019. Dr. Koneru ceased serving as our Senior Vice President of Clinical Development and was appointed as our Chief Medical Officer in December 2019. The 2019 salary reported reflects the pro rata portion of Dr. Koneru’s annual salary of $350,000 earned during 2019 from commencement of her employment through December 31, 2019. </w:t>
      </w:r>
      <w:r>
        <mc:AlternateContent>
          <mc:Choice Requires="wps">
            <w:drawing>
              <wp:anchor behindDoc="0" distT="50800" distB="0" distL="508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largest"/>
                <wp:docPr id="73" name="Frame7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one-time cash sign-on bonus of $50,000 pursuant to Dr. Koneru’s employment agreement. </w:t>
      </w:r>
      <w:r>
        <mc:AlternateContent>
          <mc:Choice Requires="wps">
            <w:drawing>
              <wp:anchor behindDoc="0" distT="50800" distB="0" distL="508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largest"/>
                <wp:docPr id="74" name="Frame7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determined to pay the 2019 annual incentives in the form of stock options that vest monthly over a four-year period, subject to the named executive officer’s continued service with us through each applicable vesting date, as described below in “–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2019. Because the stock options were granted to our named executive officers in March 2020, the same awards will also be reported under the “Option Awards” column of the Summary Compensation Table for fiscal year 2020. </w:t>
      </w:r>
      <w:r>
        <mc:AlternateContent>
          <mc:Choice Requires="wps">
            <w:drawing>
              <wp:anchor behindDoc="0" distT="0" distB="0" distL="508000" distR="0" simplePos="0" locked="0" layoutInCell="1" allowOverlap="1" relativeHeight="79">
                <wp:simplePos x="0" y="0"/>
                <wp:positionH relativeFrom="column">
                  <wp:align>left</wp:align>
                </wp:positionH>
                <wp:positionV relativeFrom="line">
                  <wp:posOffset>635</wp:posOffset>
                </wp:positionV>
                <wp:extent cx="254000" cy="350520"/>
                <wp:effectExtent l="0" t="0" r="0" b="0"/>
                <wp:wrapSquare wrapText="largest"/>
                <wp:docPr id="75" name="Frame7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Narrative to Summary Compensation Table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achieve the following objectives: </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attract, motivate and reward our named executive officers whose knowledge, skills, performance and business relationships are critical to our success;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largest"/>
                <wp:docPr id="76" name="Frame7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motivate our named executive officers to manage our business to meet short-term and long-range goals designed to drive the responsible creation of stockholder value and reward accomplishment of these goals;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largest"/>
                <wp:docPr id="77" name="Frame7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the interests of our executive officers and stockholders by linking their long-term incentive compensation opportunities to stockholder value creation; and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largest"/>
                <wp:docPr id="78" name="Frame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 competitive compensation package within the context of responsible cost management.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largest"/>
                <wp:docPr id="79" name="Frame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Role of the Compensation Committee and Executive Officers in Setting Executive Compensation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our Board of Directors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past fiscal year, after taking into consideration the six factors prescribed by the SEC and Nasdaq described above, the Compensation Committee engaged Radford, which is part of the Rewards Solutions practice at Aon plc, as its compensation consultant. Our Compensation Committee identified Radford based on Radford’s general reputation in the industry. The Compensation Committee requested that Radford: </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evaluate the efficacy of the Company’s existing compensation strategy and practices in supporting and reinforcing the Company’s long-term strategic goals; and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largest"/>
                <wp:docPr id="80" name="Frame7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in refining the Company’s compensation strategy and in developing and implementing an executive compensation program to execute that strategy.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largest"/>
                <wp:docPr id="81" name="Frame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engagement, Radford was also requested by the Compensation Committee to develop a comparative group of companies and to perform analyses of competitive performance and compensation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levels for that group and ultimately developed recommendations that were presented to the Compensation Committee for its consideration. Following an active dialogue with Radford, the Compensation Committee approved the recommendations.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Executive Compensation Program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Annual Base Salary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annual base salaries for each of our named executive officers for 2018 and 2019, as determined by the Board or Compensation Committee, as applicable: </w:t>
      </w:r>
    </w:p>
    <w:tbl>
      <w:tblPr>
        <w:tblW w:w="6174" w:type="dxa"/>
        <w:jc w:val="left"/>
        <w:tblInd w:w="1393" w:type="dxa"/>
        <w:tblCellMar>
          <w:top w:w="0" w:type="dxa"/>
          <w:left w:w="0" w:type="dxa"/>
          <w:bottom w:w="43" w:type="dxa"/>
          <w:right w:w="0" w:type="dxa"/>
        </w:tblCellMar>
      </w:tblPr>
      <w:tblGrid>
        <w:gridCol w:w="1860"/>
        <w:gridCol w:w="109"/>
        <w:gridCol w:w="109"/>
        <w:gridCol w:w="167"/>
        <w:gridCol w:w="167"/>
        <w:gridCol w:w="1361"/>
        <w:gridCol w:w="167"/>
        <w:gridCol w:w="109"/>
        <w:gridCol w:w="109"/>
        <w:gridCol w:w="167"/>
        <w:gridCol w:w="167"/>
        <w:gridCol w:w="1361"/>
        <w:gridCol w:w="167"/>
        <w:gridCol w:w="154"/>
      </w:tblGrid>
      <w:tr>
        <w:trPr/>
        <w:tc>
          <w:tcPr>
            <w:tcW w:w="1860"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62" w:type="dxa"/>
            <w:gridSpan w:val="4"/>
            <w:tcBorders>
              <w:bottom w:val="single" w:sz="2" w:space="0" w:color="000000"/>
            </w:tcBorders>
            <w:shd w:fill="auto" w:val="clear"/>
            <w:vAlign w:val="center"/>
          </w:tcPr>
          <w:p>
            <w:pPr>
              <w:pStyle w:val="TableContents"/>
              <w:spacing w:before="0" w:after="0"/>
              <w:jc w:val="center"/>
              <w:rPr/>
            </w:pPr>
            <w:r>
              <w:rPr>
                <w:spacing w:val="3"/>
              </w:rPr>
              <w:t>2018 Base Salary</w:t>
            </w:r>
            <w:r>
              <w:rPr/>
              <w:t xml:space="preserve"> </w:t>
              <w:br/>
            </w:r>
            <w:r>
              <w:rPr>
                <w:spacing w:val="3"/>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62" w:type="dxa"/>
            <w:gridSpan w:val="4"/>
            <w:tcBorders>
              <w:bottom w:val="single" w:sz="2" w:space="0" w:color="000000"/>
            </w:tcBorders>
            <w:shd w:fill="auto" w:val="clear"/>
            <w:vAlign w:val="center"/>
          </w:tcPr>
          <w:p>
            <w:pPr>
              <w:pStyle w:val="TableContents"/>
              <w:spacing w:before="0" w:after="0"/>
              <w:jc w:val="center"/>
              <w:rPr/>
            </w:pPr>
            <w:r>
              <w:rPr>
                <w:spacing w:val="3"/>
              </w:rPr>
              <w:t>2019 Base Salary</w:t>
            </w:r>
            <w:r>
              <w:rPr/>
              <w:t xml:space="preserve"> </w:t>
              <w:br/>
            </w:r>
            <w:r>
              <w:rPr>
                <w:spacing w:val="3"/>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860" w:type="dxa"/>
            <w:tcBorders/>
            <w:shd w:fill="CCEDFF" w:val="clear"/>
            <w:tcMar>
              <w:bottom w:w="0" w:type="dxa"/>
            </w:tcMar>
            <w:vAlign w:val="center"/>
          </w:tcPr>
          <w:p>
            <w:pPr>
              <w:pStyle w:val="TableContents"/>
              <w:spacing w:before="0" w:after="283"/>
              <w:jc w:val="left"/>
              <w:rPr>
                <w:spacing w:val="4"/>
              </w:rPr>
            </w:pPr>
            <w:r>
              <w:rPr>
                <w:spacing w:val="4"/>
              </w:rPr>
              <w:t xml:space="preserve">Peter Hoang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361" w:type="dxa"/>
            <w:tcBorders/>
            <w:shd w:fill="CCEDFF" w:val="clear"/>
            <w:tcMar>
              <w:bottom w:w="0" w:type="dxa"/>
            </w:tcMar>
            <w:vAlign w:val="center"/>
          </w:tcPr>
          <w:p>
            <w:pPr>
              <w:pStyle w:val="TableContents"/>
              <w:spacing w:before="0" w:after="283"/>
              <w:jc w:val="right"/>
              <w:rPr/>
            </w:pPr>
            <w:r>
              <w:rPr/>
              <w:t>362,500</w:t>
            </w:r>
          </w:p>
        </w:tc>
        <w:tc>
          <w:tcPr>
            <w:tcW w:w="167"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361" w:type="dxa"/>
            <w:tcBorders/>
            <w:shd w:fill="CCEDFF" w:val="clear"/>
            <w:tcMar>
              <w:bottom w:w="0" w:type="dxa"/>
            </w:tcMar>
            <w:vAlign w:val="center"/>
          </w:tcPr>
          <w:p>
            <w:pPr>
              <w:pStyle w:val="TableContents"/>
              <w:spacing w:before="0" w:after="283"/>
              <w:jc w:val="right"/>
              <w:rPr/>
            </w:pPr>
            <w:r>
              <w:rPr/>
              <w:t>380,000</w:t>
            </w:r>
          </w:p>
        </w:tc>
        <w:tc>
          <w:tcPr>
            <w:tcW w:w="167"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60" w:type="dxa"/>
            <w:tcBorders/>
            <w:shd w:fill="auto" w:val="clear"/>
            <w:tcMar>
              <w:bottom w:w="0" w:type="dxa"/>
            </w:tcMar>
            <w:vAlign w:val="center"/>
          </w:tcPr>
          <w:p>
            <w:pPr>
              <w:pStyle w:val="TableContents"/>
              <w:spacing w:before="0" w:after="283"/>
              <w:jc w:val="left"/>
              <w:rPr>
                <w:spacing w:val="4"/>
              </w:rPr>
            </w:pPr>
            <w:r>
              <w:rPr>
                <w:spacing w:val="4"/>
              </w:rPr>
              <w:t xml:space="preserve">Anthony Kim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jc w:val="right"/>
              <w:rPr/>
            </w:pPr>
            <w:r>
              <w:rPr/>
              <w:t>​</w:t>
            </w:r>
          </w:p>
        </w:tc>
        <w:tc>
          <w:tcPr>
            <w:tcW w:w="1361" w:type="dxa"/>
            <w:tcBorders/>
            <w:shd w:fill="auto" w:val="clear"/>
            <w:tcMar>
              <w:bottom w:w="0" w:type="dxa"/>
            </w:tcMar>
            <w:vAlign w:val="center"/>
          </w:tcPr>
          <w:p>
            <w:pPr>
              <w:pStyle w:val="TableContents"/>
              <w:spacing w:before="0" w:after="283"/>
              <w:jc w:val="right"/>
              <w:rPr/>
            </w:pPr>
            <w:r>
              <w:rPr/>
              <w:t>375,000</w:t>
            </w:r>
          </w:p>
        </w:tc>
        <w:tc>
          <w:tcPr>
            <w:tcW w:w="16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jc w:val="right"/>
              <w:rPr/>
            </w:pPr>
            <w:r>
              <w:rPr/>
              <w:t>​</w:t>
            </w:r>
          </w:p>
        </w:tc>
        <w:tc>
          <w:tcPr>
            <w:tcW w:w="1361" w:type="dxa"/>
            <w:tcBorders/>
            <w:shd w:fill="auto" w:val="clear"/>
            <w:tcMar>
              <w:bottom w:w="0" w:type="dxa"/>
            </w:tcMar>
            <w:vAlign w:val="center"/>
          </w:tcPr>
          <w:p>
            <w:pPr>
              <w:pStyle w:val="TableContents"/>
              <w:spacing w:before="0" w:after="283"/>
              <w:jc w:val="right"/>
              <w:rPr/>
            </w:pPr>
            <w:r>
              <w:rPr/>
              <w:t>375,000</w:t>
            </w:r>
          </w:p>
        </w:tc>
        <w:tc>
          <w:tcPr>
            <w:tcW w:w="16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60" w:type="dxa"/>
            <w:tcBorders/>
            <w:shd w:fill="CCEDFF" w:val="clear"/>
            <w:tcMar>
              <w:bottom w:w="0" w:type="dxa"/>
            </w:tcMar>
            <w:vAlign w:val="center"/>
          </w:tcPr>
          <w:p>
            <w:pPr>
              <w:pStyle w:val="TableContents"/>
              <w:spacing w:before="0" w:after="283"/>
              <w:jc w:val="left"/>
              <w:rPr/>
            </w:pPr>
            <w:r>
              <w:rPr>
                <w:spacing w:val="4"/>
              </w:rPr>
              <w:t>Mythili Koneru</w:t>
            </w:r>
            <w:r>
              <w:rPr>
                <w:spacing w:val="3"/>
                <w:sz w:val="15"/>
              </w:rPr>
              <w:t>(1)</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361" w:type="dxa"/>
            <w:tcBorders/>
            <w:shd w:fill="CCEDFF" w:val="clear"/>
            <w:tcMar>
              <w:bottom w:w="0" w:type="dxa"/>
            </w:tcMar>
            <w:vAlign w:val="center"/>
          </w:tcPr>
          <w:p>
            <w:pPr>
              <w:pStyle w:val="TableContents"/>
              <w:spacing w:before="0" w:after="283"/>
              <w:jc w:val="right"/>
              <w:rPr/>
            </w:pPr>
            <w:r>
              <w:rPr/>
              <w:t>-</w:t>
            </w:r>
          </w:p>
        </w:tc>
        <w:tc>
          <w:tcPr>
            <w:tcW w:w="167"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361" w:type="dxa"/>
            <w:tcBorders/>
            <w:shd w:fill="CCEDFF" w:val="clear"/>
            <w:tcMar>
              <w:bottom w:w="0" w:type="dxa"/>
            </w:tcMar>
            <w:vAlign w:val="center"/>
          </w:tcPr>
          <w:p>
            <w:pPr>
              <w:pStyle w:val="TableContents"/>
              <w:spacing w:before="0" w:after="283"/>
              <w:jc w:val="right"/>
              <w:rPr/>
            </w:pPr>
            <w:r>
              <w:rPr/>
              <w:t>350,000</w:t>
            </w:r>
          </w:p>
        </w:tc>
        <w:tc>
          <w:tcPr>
            <w:tcW w:w="167"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7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Koneru’s employment with us commenced in February 2019. </w:t>
      </w:r>
      <w:r>
        <mc:AlternateContent>
          <mc:Choice Requires="wps">
            <w:drawing>
              <wp:anchor behindDoc="0" distT="49530" distB="0" distL="508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largest"/>
                <wp:docPr id="82" name="Frame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3.9pt;mso-wrap-distance-bottom:0pt;margin-top:3.9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2019, following a review of a competitive assessment completed by Radford that demonstrated that Mr. Hoang’s base salary was significantly below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the competitive market, the Compensation Committee determined to increase Mr. Hoang’s base salary to $380,000. Even with this increase, Mr. Hoang’s base salary remained materially below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the competitive market.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Annual Incentive Compensation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are eligible to receive annual incentive compensation based on the satisfaction of individual and corporate performance objectives established by the Board. Each named executive office has a target annual incentive opportunity, calculated as a percentage of annual base salary, and may earn more or less than the target amount based on our company’s and his or her individual performance. For 2019, the target annual incentive opportunities as a percentage of base salary for our named executive officers were 50% for Mr. Hoang, 40% for Mr. Kim and 35% for Dr. Koneru. The amounts of any annual incentives earned are determined after the end of the year, based on the achievement of the designated corporate and individual performance objectives, and may be paid in cash or equity.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2019, annual incentives were earned based on the Compensation Committee’s assessment of each executive’s performance. The amounts of such annual incentives, which are set forth in the table below, were recommended by the Compensation Committee and approved by the Board in March 2020 based on each executive’s and our corporate performance in 2019. The Board determined that our percentage attainment of our corporate goals for 2019 was 100% and approved individual performance payouts for each named executive officer. For 2019, the Board determined to pay these awards in the form of options in order to further enhance the alignment of the interests of our named executive officers with those of our stockholders. Such option awards were granted under our 2014 Omnibus Stock Ownership Plan and are set forth in the table below. Each option award vests monthly over a four-year period, subject to the named executive officer’s continued service with us through each applicable vesting date. </w:t>
      </w:r>
    </w:p>
    <w:tbl>
      <w:tblPr>
        <w:tblW w:w="6043" w:type="dxa"/>
        <w:jc w:val="left"/>
        <w:tblInd w:w="1393" w:type="dxa"/>
        <w:tblCellMar>
          <w:top w:w="0" w:type="dxa"/>
          <w:left w:w="0" w:type="dxa"/>
          <w:bottom w:w="43" w:type="dxa"/>
          <w:right w:w="0" w:type="dxa"/>
        </w:tblCellMar>
      </w:tblPr>
      <w:tblGrid>
        <w:gridCol w:w="1695"/>
        <w:gridCol w:w="109"/>
        <w:gridCol w:w="109"/>
        <w:gridCol w:w="206"/>
        <w:gridCol w:w="206"/>
        <w:gridCol w:w="1457"/>
        <w:gridCol w:w="210"/>
        <w:gridCol w:w="109"/>
        <w:gridCol w:w="109"/>
        <w:gridCol w:w="167"/>
        <w:gridCol w:w="167"/>
        <w:gridCol w:w="1178"/>
        <w:gridCol w:w="167"/>
        <w:gridCol w:w="154"/>
      </w:tblGrid>
      <w:tr>
        <w:trPr/>
        <w:tc>
          <w:tcPr>
            <w:tcW w:w="1695"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079" w:type="dxa"/>
            <w:gridSpan w:val="4"/>
            <w:tcBorders>
              <w:bottom w:val="single" w:sz="2" w:space="0" w:color="000000"/>
            </w:tcBorders>
            <w:shd w:fill="auto" w:val="clear"/>
            <w:vAlign w:val="center"/>
          </w:tcPr>
          <w:p>
            <w:pPr>
              <w:pStyle w:val="TableContents"/>
              <w:spacing w:before="0" w:after="0"/>
              <w:jc w:val="center"/>
              <w:rPr/>
            </w:pPr>
            <w:r>
              <w:rPr>
                <w:spacing w:val="3"/>
              </w:rPr>
              <w:t xml:space="preserve">Stock Option Grant </w:t>
            </w:r>
            <w:r>
              <w:rPr/>
              <w:br/>
            </w:r>
            <w:r>
              <w:rPr>
                <w:spacing w:val="3"/>
              </w:rPr>
              <w:t xml:space="preserve">In Lieu of Earned </w:t>
            </w:r>
            <w:r>
              <w:rPr/>
              <w:br/>
            </w:r>
            <w:r>
              <w:rPr>
                <w:spacing w:val="3"/>
              </w:rPr>
              <w:t xml:space="preserve">Annual Incentive </w:t>
            </w:r>
            <w:r>
              <w:rPr/>
              <w:br/>
            </w:r>
            <w:r>
              <w:rPr>
                <w:spacing w:val="3"/>
              </w:rPr>
              <w:t>Compensation</w:t>
            </w:r>
            <w:r>
              <w:rPr/>
              <w:t xml:space="preserve"> </w:t>
              <w:br/>
            </w:r>
            <w:r>
              <w:rPr>
                <w:spacing w:val="3"/>
              </w:rPr>
              <w:t xml:space="preserve">(Number of Shares)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79" w:type="dxa"/>
            <w:gridSpan w:val="4"/>
            <w:tcBorders>
              <w:bottom w:val="single" w:sz="2" w:space="0" w:color="000000"/>
            </w:tcBorders>
            <w:shd w:fill="auto" w:val="clear"/>
            <w:vAlign w:val="center"/>
          </w:tcPr>
          <w:p>
            <w:pPr>
              <w:pStyle w:val="TableContents"/>
              <w:spacing w:before="0" w:after="0"/>
              <w:jc w:val="center"/>
              <w:rPr/>
            </w:pPr>
            <w:r>
              <w:rPr>
                <w:spacing w:val="3"/>
              </w:rPr>
              <w:t xml:space="preserve">Grant Date Fair </w:t>
            </w:r>
            <w:r>
              <w:rPr/>
              <w:br/>
            </w:r>
            <w:r>
              <w:rPr>
                <w:spacing w:val="3"/>
              </w:rPr>
              <w:t>Value ($)</w:t>
            </w:r>
            <w:r>
              <w:rPr>
                <w:spacing w:val="2"/>
                <w:sz w:val="12"/>
              </w:rPr>
              <w:t>(1)</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95" w:type="dxa"/>
            <w:tcBorders/>
            <w:shd w:fill="CCEDFF" w:val="clear"/>
            <w:tcMar>
              <w:bottom w:w="0" w:type="dxa"/>
            </w:tcMar>
            <w:vAlign w:val="center"/>
          </w:tcPr>
          <w:p>
            <w:pPr>
              <w:pStyle w:val="TableContents"/>
              <w:spacing w:before="0" w:after="283"/>
              <w:jc w:val="left"/>
              <w:rPr>
                <w:spacing w:val="4"/>
              </w:rPr>
            </w:pPr>
            <w:r>
              <w:rPr>
                <w:spacing w:val="4"/>
              </w:rPr>
              <w:t xml:space="preserve">Peter L. Hoang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06" w:type="dxa"/>
            <w:tcBorders/>
            <w:shd w:fill="CCEDFF" w:val="clear"/>
            <w:tcMar>
              <w:bottom w:w="0" w:type="dxa"/>
            </w:tcMar>
            <w:vAlign w:val="center"/>
          </w:tcPr>
          <w:p>
            <w:pPr>
              <w:pStyle w:val="TableContents"/>
              <w:spacing w:before="0" w:after="283"/>
              <w:rPr/>
            </w:pPr>
            <w:r>
              <w:rPr/>
              <w:t>​</w:t>
            </w:r>
          </w:p>
        </w:tc>
        <w:tc>
          <w:tcPr>
            <w:tcW w:w="206" w:type="dxa"/>
            <w:tcBorders/>
            <w:shd w:fill="CCEDFF" w:val="clear"/>
            <w:tcMar>
              <w:bottom w:w="0" w:type="dxa"/>
            </w:tcMar>
            <w:vAlign w:val="center"/>
          </w:tcPr>
          <w:p>
            <w:pPr>
              <w:pStyle w:val="TableContents"/>
              <w:spacing w:before="0" w:after="283"/>
              <w:jc w:val="right"/>
              <w:rPr/>
            </w:pPr>
            <w:r>
              <w:rPr/>
              <w:t>​</w:t>
            </w:r>
          </w:p>
        </w:tc>
        <w:tc>
          <w:tcPr>
            <w:tcW w:w="1457" w:type="dxa"/>
            <w:tcBorders/>
            <w:shd w:fill="CCEDFF" w:val="clear"/>
            <w:tcMar>
              <w:bottom w:w="0" w:type="dxa"/>
            </w:tcMar>
            <w:vAlign w:val="center"/>
          </w:tcPr>
          <w:p>
            <w:pPr>
              <w:pStyle w:val="TableContents"/>
              <w:spacing w:before="0" w:after="283"/>
              <w:jc w:val="right"/>
              <w:rPr/>
            </w:pPr>
            <w:r>
              <w:rPr/>
              <w:t>41,200</w:t>
            </w:r>
          </w:p>
        </w:tc>
        <w:tc>
          <w:tcPr>
            <w:tcW w:w="210"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178" w:type="dxa"/>
            <w:tcBorders/>
            <w:shd w:fill="CCEDFF" w:val="clear"/>
            <w:tcMar>
              <w:bottom w:w="0" w:type="dxa"/>
            </w:tcMar>
            <w:vAlign w:val="center"/>
          </w:tcPr>
          <w:p>
            <w:pPr>
              <w:pStyle w:val="TableContents"/>
              <w:spacing w:before="0" w:after="283"/>
              <w:jc w:val="right"/>
              <w:rPr/>
            </w:pPr>
            <w:r>
              <w:rPr/>
              <w:t>71,665</w:t>
            </w:r>
          </w:p>
        </w:tc>
        <w:tc>
          <w:tcPr>
            <w:tcW w:w="167"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5" w:type="dxa"/>
            <w:tcBorders/>
            <w:shd w:fill="auto" w:val="clear"/>
            <w:tcMar>
              <w:bottom w:w="0" w:type="dxa"/>
            </w:tcMar>
            <w:vAlign w:val="center"/>
          </w:tcPr>
          <w:p>
            <w:pPr>
              <w:pStyle w:val="TableContents"/>
              <w:spacing w:before="0" w:after="283"/>
              <w:jc w:val="left"/>
              <w:rPr>
                <w:spacing w:val="4"/>
              </w:rPr>
            </w:pPr>
            <w:r>
              <w:rPr>
                <w:spacing w:val="4"/>
              </w:rPr>
              <w:t xml:space="preserve">Anthony Kim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6" w:type="dxa"/>
            <w:tcBorders/>
            <w:shd w:fill="auto" w:val="clear"/>
            <w:tcMar>
              <w:bottom w:w="0" w:type="dxa"/>
            </w:tcMar>
            <w:vAlign w:val="center"/>
          </w:tcPr>
          <w:p>
            <w:pPr>
              <w:pStyle w:val="TableContents"/>
              <w:spacing w:before="0" w:after="283"/>
              <w:rPr/>
            </w:pPr>
            <w:r>
              <w:rPr/>
              <w:t>​</w:t>
            </w:r>
          </w:p>
        </w:tc>
        <w:tc>
          <w:tcPr>
            <w:tcW w:w="206" w:type="dxa"/>
            <w:tcBorders/>
            <w:shd w:fill="auto" w:val="clear"/>
            <w:tcMar>
              <w:bottom w:w="0" w:type="dxa"/>
            </w:tcMar>
            <w:vAlign w:val="center"/>
          </w:tcPr>
          <w:p>
            <w:pPr>
              <w:pStyle w:val="TableContents"/>
              <w:spacing w:before="0" w:after="283"/>
              <w:jc w:val="right"/>
              <w:rPr/>
            </w:pPr>
            <w:r>
              <w:rPr/>
              <w:t>​</w:t>
            </w:r>
          </w:p>
        </w:tc>
        <w:tc>
          <w:tcPr>
            <w:tcW w:w="1457" w:type="dxa"/>
            <w:tcBorders/>
            <w:shd w:fill="auto" w:val="clear"/>
            <w:tcMar>
              <w:bottom w:w="0" w:type="dxa"/>
            </w:tcMar>
            <w:vAlign w:val="center"/>
          </w:tcPr>
          <w:p>
            <w:pPr>
              <w:pStyle w:val="TableContents"/>
              <w:spacing w:before="0" w:after="283"/>
              <w:jc w:val="right"/>
              <w:rPr/>
            </w:pPr>
            <w:r>
              <w:rPr/>
              <w:t>32,500</w:t>
            </w:r>
          </w:p>
        </w:tc>
        <w:tc>
          <w:tcPr>
            <w:tcW w:w="21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jc w:val="right"/>
              <w:rPr/>
            </w:pPr>
            <w:r>
              <w:rPr/>
              <w:t>​</w:t>
            </w:r>
          </w:p>
        </w:tc>
        <w:tc>
          <w:tcPr>
            <w:tcW w:w="1178" w:type="dxa"/>
            <w:tcBorders/>
            <w:shd w:fill="auto" w:val="clear"/>
            <w:tcMar>
              <w:bottom w:w="0" w:type="dxa"/>
            </w:tcMar>
            <w:vAlign w:val="center"/>
          </w:tcPr>
          <w:p>
            <w:pPr>
              <w:pStyle w:val="TableContents"/>
              <w:spacing w:before="0" w:after="283"/>
              <w:jc w:val="right"/>
              <w:rPr/>
            </w:pPr>
            <w:r>
              <w:rPr/>
              <w:t>56,523</w:t>
            </w:r>
          </w:p>
        </w:tc>
        <w:tc>
          <w:tcPr>
            <w:tcW w:w="16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5" w:type="dxa"/>
            <w:tcBorders/>
            <w:shd w:fill="CCEDFF" w:val="clear"/>
            <w:tcMar>
              <w:bottom w:w="0" w:type="dxa"/>
            </w:tcMar>
            <w:vAlign w:val="center"/>
          </w:tcPr>
          <w:p>
            <w:pPr>
              <w:pStyle w:val="TableContents"/>
              <w:spacing w:before="0" w:after="283"/>
              <w:jc w:val="left"/>
              <w:rPr>
                <w:spacing w:val="4"/>
              </w:rPr>
            </w:pPr>
            <w:r>
              <w:rPr>
                <w:spacing w:val="4"/>
              </w:rPr>
              <w:t xml:space="preserve">Mythili Koneru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206" w:type="dxa"/>
            <w:tcBorders/>
            <w:shd w:fill="CCEDFF" w:val="clear"/>
            <w:tcMar>
              <w:bottom w:w="0" w:type="dxa"/>
            </w:tcMar>
            <w:vAlign w:val="center"/>
          </w:tcPr>
          <w:p>
            <w:pPr>
              <w:pStyle w:val="TableContents"/>
              <w:spacing w:before="0" w:after="283"/>
              <w:rPr/>
            </w:pPr>
            <w:r>
              <w:rPr/>
              <w:t>​</w:t>
            </w:r>
          </w:p>
        </w:tc>
        <w:tc>
          <w:tcPr>
            <w:tcW w:w="206" w:type="dxa"/>
            <w:tcBorders/>
            <w:shd w:fill="CCEDFF" w:val="clear"/>
            <w:tcMar>
              <w:bottom w:w="0" w:type="dxa"/>
            </w:tcMar>
            <w:vAlign w:val="center"/>
          </w:tcPr>
          <w:p>
            <w:pPr>
              <w:pStyle w:val="TableContents"/>
              <w:spacing w:before="0" w:after="283"/>
              <w:jc w:val="right"/>
              <w:rPr/>
            </w:pPr>
            <w:r>
              <w:rPr/>
              <w:t>​</w:t>
            </w:r>
          </w:p>
        </w:tc>
        <w:tc>
          <w:tcPr>
            <w:tcW w:w="1457" w:type="dxa"/>
            <w:tcBorders/>
            <w:shd w:fill="CCEDFF" w:val="clear"/>
            <w:tcMar>
              <w:bottom w:w="0" w:type="dxa"/>
            </w:tcMar>
            <w:vAlign w:val="center"/>
          </w:tcPr>
          <w:p>
            <w:pPr>
              <w:pStyle w:val="TableContents"/>
              <w:spacing w:before="0" w:after="283"/>
              <w:jc w:val="right"/>
              <w:rPr/>
            </w:pPr>
            <w:r>
              <w:rPr/>
              <w:t>23,900</w:t>
            </w:r>
          </w:p>
        </w:tc>
        <w:tc>
          <w:tcPr>
            <w:tcW w:w="210"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rPr/>
            </w:pPr>
            <w:r>
              <w:rPr/>
              <w:t>​</w:t>
            </w:r>
          </w:p>
        </w:tc>
        <w:tc>
          <w:tcPr>
            <w:tcW w:w="167" w:type="dxa"/>
            <w:tcBorders/>
            <w:shd w:fill="CCEDFF" w:val="clear"/>
            <w:tcMar>
              <w:bottom w:w="0" w:type="dxa"/>
            </w:tcMar>
            <w:vAlign w:val="center"/>
          </w:tcPr>
          <w:p>
            <w:pPr>
              <w:pStyle w:val="TableContents"/>
              <w:spacing w:before="0" w:after="283"/>
              <w:jc w:val="right"/>
              <w:rPr/>
            </w:pPr>
            <w:r>
              <w:rPr/>
              <w:t>​</w:t>
            </w:r>
          </w:p>
        </w:tc>
        <w:tc>
          <w:tcPr>
            <w:tcW w:w="1178" w:type="dxa"/>
            <w:tcBorders/>
            <w:shd w:fill="CCEDFF" w:val="clear"/>
            <w:tcMar>
              <w:bottom w:w="0" w:type="dxa"/>
            </w:tcMar>
            <w:vAlign w:val="center"/>
          </w:tcPr>
          <w:p>
            <w:pPr>
              <w:pStyle w:val="TableContents"/>
              <w:spacing w:before="0" w:after="283"/>
              <w:jc w:val="right"/>
              <w:rPr/>
            </w:pPr>
            <w:r>
              <w:rPr/>
              <w:t>41,565</w:t>
            </w:r>
          </w:p>
        </w:tc>
        <w:tc>
          <w:tcPr>
            <w:tcW w:w="167"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4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2019,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 </w:t>
      </w:r>
      <w:r>
        <mc:AlternateContent>
          <mc:Choice Requires="wps">
            <w:drawing>
              <wp:anchor behindDoc="0" distT="2540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largest"/>
                <wp:docPr id="83" name="Frame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2pt;mso-wrap-distance-bottom:0pt;margin-top:2pt;mso-position-vertical:top;mso-position-vertical-relative:text;margin-left:40pt;mso-position-horizontal:left;mso-position-horizontal-relative:text">
                <v:textbox>
                  <w:txbxContent>
                    <w:p>
                      <w:pPr>
                        <w:pStyle w:val="TextBody"/>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incentives paid to the named executive officers for 2019 performance are included in the “Non-Equity Incentive Plan Compensation” column of the Summary Compensation Table above. </w:t>
      </w:r>
    </w:p>
    <w:p>
      <w:pPr>
        <w:pStyle w:val="TextBody"/>
        <w:spacing w:lineRule="atLeast" w:line="24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Equity-Based Awards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We grant all equity awards pursuant to our 2014 Omnibus Stock Ownership Plan.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executives generally are awarded an initial new hire grant upon commencement of employment. In 2019, Dr. Koneru received new hire stock option grants to purchase an aggregate of 310,000 shares of our common stock, of which a grant to purchase 10,000 shares vested immediately as of the date of grant, which such award was negotiated pursuant to Dr. Koneru’s employment agreement described below in “– Agreements with our Named Executive Officers and Potential Payments Upon Termination or Change in Control – Mythili Koneru,” and, with respect to the remaining grant to purchase 300,000 shares, one-quarter of which vested on the first anniversary of the date of grant, with the remainder vesting monthly over a three-year period. In all cases, vesting of such new hire awards is subject to the executive’s continued service with us through each applicable vesting date. The Compensation Committee did not make any awards to Messrs. Hoang or Kim in 2019.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awards described in this section are included in the “Option Awards” column of the Summary Compensation Table above.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Retirement Benefits and Other Compensation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did not participate in, or otherwise receive any benefits under, any pension, retirement or deferred compensation plan sponsored by us during 2019.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2019. </w:t>
      </w:r>
    </w:p>
    <w:p>
      <w:pPr>
        <w:pStyle w:val="TextBody"/>
        <w:spacing w:lineRule="atLeast" w:line="240" w:before="24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Agreements with Our Named Executive Officers and Potential Payments Upon Termination or Change in Control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Peter Hoang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an employment agreement with Mr. Hoang in September 2017 and an amendment thereto in March 2019. The term of the agreement is for three years and will be automatically extended for an additional 12 months unless terminated by Mr. Hoang or us. Under the terms of his employment agreement, Mr. Hoang was eligible to receive a base salary of $362,500, which was subsequently increased by the Board to $380,000 in the amended employment agreement, and an annual target incentive opportunity of up to 50% of his annual base salary based upon the assessment by the Board of Mr. Hoang’s performance and other conditions as the Board shall determine in its sole discretion on an annual basis. Pursuant to the amended employment agreement, 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Potential Payments Upon Termination or Change in Control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Hoang’s employment is terminated by us for cause or by Mr. Hoang without good reason (each as defined in the amended employment agreement) during the term of the agreement, he will be entitled to received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is terminated by us without cause or by Mr. Hoang for good reason, subject to Mr. Hoang’s execution of a release of claims against us, and in addition to the payment of the Accrued Compensation, Mr. Hoang is entitled to (i) a payment equal to 12 months of his annual base salary, as in effect at the termination date; (ii) any earned but unpaid bonus for the prior calendar year; and (iii) a pro-rated bonus payment equal to his target annual performance bonus for the calendar year in which his employment is terminated (the “Hoang Additional Severance Payments”). Mr. Hoang will also be eligible for continued health insurance coverage for 12 months after the date of Mr. Hoang’s termination. Further, if we do not renew Mr. Hoang’s employment agreement at the end of the term, Mr. Hoang will be entitled to be paid 12 months of his annual base salary over a 12-month period.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Hoang’s employment is terminated by us without cause or by him for good reason during the period of six months following a change in control of us (as defined in the amended employment agreement), in lieu of the Hoang Additional Severance Payments and health insurance coverage described above, Mr. Hoang will be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will also receive in the same payment the amount of any performance bonus that, as of the date of termination, he had earned but had not yet been paid by us, and he will be entitled to the vesting of all of outstanding equity awards subject to time-based vesting requirements, such that all such equity awards will be fully vested as of the date of Mr. Hoang’s termination.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Hoang’s amended employment agreement also provides that each of the payments and benefits under the agreement are subject to compliance with Section 409A of the Code and it includes time of payment language intended to comply with Section 409A requirements.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Anthony Kim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an employment agreement with Mr. Kim in November 2018. Under the terms of his employment agreement, Mr. Kim was eligible to receive a base salary of $375,000 and an annual target incentive opportunity of 40% of his annual base salary based upon the assessment by the Compensation Committee of Mr. Kim’s performance and other conditions as the Board shall determine in its sole discretion on an annual basis. Pursuant to his employment agreement,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 </w:t>
      </w:r>
    </w:p>
    <w:p>
      <w:pPr>
        <w:pStyle w:val="TextBody"/>
        <w:spacing w:lineRule="atLeast" w:line="240" w:before="240" w:after="283"/>
        <w:ind w:left="21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Potential Payments Upon Termination or Change in Control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Kim’s employment is terminated by us for cause or by Mr. Kim without good reason (each as defined in his employment agreement) during the term of the agreement, he will be entitled to received (i) his then-current annual base salary through the date of termination; (ii) any reimbursable expenses for which he has not yet been reimbursed as of the date of termination; and (iii) any Accrued Compensation. If Mr. Kim’s employment is terminated by us without cause or by Mr. Kim for good reason, subject to Mr. Kim’s execution of a release of claims against us, and in addition to the payment of the Accrued Compensation, Mr. Kim is entitled to (i) a payment equal to 12 months of his annual base salary as in effect at the termination date and (ii) a pro-rated bonus payment equal to his target annual performance bonus for the calendar year in which his employment is terminated (the “Kim Additional Severance Payments”).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Kim’s employment is terminated by us without cause or by him for good reason during the period of 12 months following a change in control of us (as defined in his employment agreement), in lieu of the Kim Additional Severance Payments described above and subject to Mr. Kim’s execution of a release of claims, Mr. Kim will be entitled to (i) a payment equal to 12 months of his annual base salary as in effect at the termination date, (ii) a bonus payment equal to his target annual performance bonus for the year of termination and (iii) vesting of all of Mr. Kim’s outstanding equity awards subject to time-based vesting requirements, such that all such equity awards will be fully vested as of the date of Mr. Kim’s termination. Mr. Kim will also be eligible for continued health insurance coverage until the earliest of (i) 12 months after the date of Mr. Kim’s termination, (ii) the expiration of Mr. Kim’s eligibility for COBRA coverage and (iii) the date Mr. Kim becomes eligible for substantially equivalent health insurance coverage.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Kim’s employment agreement also provides that each of the payments and benefits under the agreement are subject to compliance with Section 409A of the Code and it includes time of payment language intended to comply with Section 409A requirements.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Mythili Koneru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determine in its sole discretion on an annual basis, as well as a one-time signing bonus of $50,000. Pursuant to her employment agreement, Dr. Koneru is subject to a covenant not to disclose our confidential information during her employment term and an assignment of intellectual property rights. Also, during her employment term and for a period of 12 months thereafter, Dr. Koneru covenants not to compete with us and not to solicit any of our customers, vendors or employees.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Potential Payments Upon Termination or Change in Control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Dr. Koneru employment is terminated by us for cause or by Dr. Koneru without good reason (each as defined in her employment agreement) during the term of the agreement, she will be entitled to received (i) her then-current annual base salary through the date of termination; (ii) any reimbursable expenses for which she has not yet been reimbursed as of the date of termination; and (iii) any Accrued Compensation. If Dr. Koneru’s employment is terminated by us without cause or by Dr. Koneru for good reason, subject to Dr. Koneru’s execution of a release of claims against us, and in addition to the payment of the Accrued Compensation, Dr. Koneru is entitled to (i) a payment equal to 12 months of her annual base salary as in effect at the termination date and (ii) a pro-rated bonus payment equal to her target annual performance bonus for the calendar year in which her employment is terminated (the “Koneru Additional Severance Payments”). Dr. Koneru will also be eligible for continued health insurance coverage until the earliest of (i) 12 months after the date of Dr. Koneru’s termination, (ii) the expiration of Dr. Koneru’s eligibility for COBRA coverage and (iii) the date Dr. Koneru becomes eligible for substantially equivalent health insurance coverage.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Dr. Koneru’s employment is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will be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will be fully vested as of the date of Dr. Koneru’s termination.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Koneru’s employment agreement also provides that each of the payments and benefits under the agreement are subject to compliance with Section 409A of the Code and it includes time of payment language intended to comply with Section 409A requirements.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080"/>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Outstanding Equity Awards as of December 31, 2019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about outstanding equity awards granted to our named executive officers that remain outstanding as of December 31, 2019. </w:t>
      </w:r>
    </w:p>
    <w:tbl>
      <w:tblPr>
        <w:tblW w:w="8812" w:type="dxa"/>
        <w:jc w:val="left"/>
        <w:tblInd w:w="1393" w:type="dxa"/>
        <w:tblCellMar>
          <w:top w:w="0" w:type="dxa"/>
          <w:left w:w="0" w:type="dxa"/>
          <w:bottom w:w="28" w:type="dxa"/>
          <w:right w:w="0" w:type="dxa"/>
        </w:tblCellMar>
      </w:tblPr>
      <w:tblGrid>
        <w:gridCol w:w="1156"/>
        <w:gridCol w:w="109"/>
        <w:gridCol w:w="109"/>
        <w:gridCol w:w="804"/>
        <w:gridCol w:w="109"/>
        <w:gridCol w:w="109"/>
        <w:gridCol w:w="1726"/>
        <w:gridCol w:w="109"/>
        <w:gridCol w:w="109"/>
        <w:gridCol w:w="1665"/>
        <w:gridCol w:w="109"/>
        <w:gridCol w:w="109"/>
        <w:gridCol w:w="951"/>
        <w:gridCol w:w="109"/>
        <w:gridCol w:w="109"/>
        <w:gridCol w:w="1262"/>
        <w:gridCol w:w="158"/>
      </w:tblGrid>
      <w:tr>
        <w:trPr/>
        <w:tc>
          <w:tcPr>
            <w:tcW w:w="115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280" w:type="dxa"/>
            <w:gridSpan w:val="13"/>
            <w:tcBorders>
              <w:bottom w:val="single" w:sz="2" w:space="0" w:color="000000"/>
            </w:tcBorders>
            <w:shd w:fill="auto" w:val="clear"/>
            <w:tcMar>
              <w:bottom w:w="50" w:type="dxa"/>
            </w:tcMar>
            <w:vAlign w:val="center"/>
          </w:tcPr>
          <w:p>
            <w:pPr>
              <w:pStyle w:val="TableContents"/>
              <w:spacing w:before="0" w:after="0"/>
              <w:jc w:val="center"/>
              <w:rPr/>
            </w:pPr>
            <w:r>
              <w:rPr>
                <w:spacing w:val="3"/>
              </w:rPr>
              <w:t>Option Awards</w:t>
            </w:r>
            <w:r>
              <w:rPr>
                <w:spacing w:val="2"/>
                <w:sz w:val="12"/>
              </w:rPr>
              <w:t>(1)</w:t>
            </w:r>
            <w:r>
              <w:rPr/>
              <w:t xml:space="preserve">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1156"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04"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Grant 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26" w:type="dxa"/>
            <w:tcBorders>
              <w:bottom w:val="single" w:sz="2" w:space="0" w:color="000000"/>
            </w:tcBorders>
            <w:shd w:fill="auto" w:val="clear"/>
            <w:tcMar>
              <w:bottom w:w="43" w:type="dxa"/>
            </w:tcMar>
            <w:vAlign w:val="center"/>
          </w:tcPr>
          <w:p>
            <w:pPr>
              <w:pStyle w:val="TableContents"/>
              <w:spacing w:before="0" w:after="0"/>
              <w:jc w:val="center"/>
              <w:rPr/>
            </w:pPr>
            <w:r>
              <w:rPr>
                <w:spacing w:val="3"/>
              </w:rPr>
              <w:t>Number of</w:t>
            </w:r>
            <w:r>
              <w:rPr/>
              <w:t xml:space="preserve"> </w:t>
              <w:br/>
            </w:r>
            <w:r>
              <w:rPr>
                <w:spacing w:val="3"/>
              </w:rPr>
              <w:t>Securities</w:t>
            </w:r>
            <w:r>
              <w:rPr/>
              <w:t xml:space="preserve"> </w:t>
              <w:br/>
            </w:r>
            <w:r>
              <w:rPr>
                <w:spacing w:val="3"/>
              </w:rPr>
              <w:t xml:space="preserve">Underlying </w:t>
            </w:r>
            <w:r>
              <w:rPr/>
              <w:br/>
            </w:r>
            <w:r>
              <w:rPr>
                <w:spacing w:val="3"/>
              </w:rPr>
              <w:t xml:space="preserve">Unexercised Options </w:t>
            </w:r>
            <w:r>
              <w:rPr/>
              <w:br/>
            </w:r>
            <w:r>
              <w:rPr>
                <w:spacing w:val="3"/>
              </w:rPr>
              <w:t xml:space="preserve">(#) 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5" w:type="dxa"/>
            <w:tcBorders>
              <w:bottom w:val="single" w:sz="2" w:space="0" w:color="000000"/>
            </w:tcBorders>
            <w:shd w:fill="auto" w:val="clear"/>
            <w:tcMar>
              <w:bottom w:w="43" w:type="dxa"/>
            </w:tcMar>
            <w:vAlign w:val="center"/>
          </w:tcPr>
          <w:p>
            <w:pPr>
              <w:pStyle w:val="TableContents"/>
              <w:spacing w:before="0" w:after="0"/>
              <w:jc w:val="center"/>
              <w:rPr/>
            </w:pPr>
            <w:r>
              <w:rPr>
                <w:spacing w:val="3"/>
              </w:rPr>
              <w:t>Number of</w:t>
            </w:r>
            <w:r>
              <w:rPr/>
              <w:t xml:space="preserve"> </w:t>
              <w:br/>
            </w:r>
            <w:r>
              <w:rPr>
                <w:spacing w:val="3"/>
              </w:rPr>
              <w:t>Securities</w:t>
            </w:r>
            <w:r>
              <w:rPr/>
              <w:t xml:space="preserve"> </w:t>
              <w:br/>
            </w:r>
            <w:r>
              <w:rPr>
                <w:spacing w:val="3"/>
              </w:rPr>
              <w:t>Underlying</w:t>
            </w:r>
            <w:r>
              <w:rPr/>
              <w:t xml:space="preserve"> </w:t>
              <w:br/>
            </w:r>
            <w:r>
              <w:rPr>
                <w:spacing w:val="3"/>
              </w:rPr>
              <w:t xml:space="preserve">Unexercised Options </w:t>
            </w:r>
            <w:r>
              <w:rPr/>
              <w:br/>
            </w:r>
            <w:r>
              <w:rPr>
                <w:spacing w:val="3"/>
              </w:rPr>
              <w:t>(#)</w:t>
            </w:r>
            <w:r>
              <w:rPr/>
              <w:t xml:space="preserve"> </w:t>
              <w:br/>
            </w:r>
            <w:r>
              <w:rPr>
                <w:spacing w:val="3"/>
              </w:rPr>
              <w:t xml:space="preserve">Unexercisable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51"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Option </w:t>
            </w:r>
            <w:r>
              <w:rPr/>
              <w:br/>
            </w:r>
            <w:r>
              <w:rPr>
                <w:spacing w:val="3"/>
              </w:rPr>
              <w:t xml:space="preserve">Exercise </w:t>
            </w:r>
            <w:r>
              <w:rPr/>
              <w:br/>
            </w:r>
            <w:r>
              <w:rPr>
                <w:spacing w:val="3"/>
              </w:rPr>
              <w:t>Price</w:t>
            </w:r>
            <w:r>
              <w:rPr/>
              <w:t xml:space="preserve"> </w:t>
              <w:br/>
            </w: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2" w:type="dxa"/>
            <w:tcBorders>
              <w:bottom w:val="single" w:sz="2" w:space="0" w:color="000000"/>
            </w:tcBorders>
            <w:shd w:fill="auto" w:val="clear"/>
            <w:tcMar>
              <w:bottom w:w="43" w:type="dxa"/>
            </w:tcMar>
            <w:vAlign w:val="center"/>
          </w:tcPr>
          <w:p>
            <w:pPr>
              <w:pStyle w:val="TableContents"/>
              <w:spacing w:before="0" w:after="0"/>
              <w:jc w:val="center"/>
              <w:rPr/>
            </w:pPr>
            <w:r>
              <w:rPr>
                <w:spacing w:val="3"/>
              </w:rPr>
              <w:t>Option</w:t>
            </w:r>
            <w:r>
              <w:rPr/>
              <w:t xml:space="preserve"> </w:t>
              <w:br/>
            </w:r>
            <w:r>
              <w:rPr>
                <w:spacing w:val="3"/>
              </w:rPr>
              <w:t xml:space="preserve">Expiration Date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1156" w:type="dxa"/>
            <w:tcBorders/>
            <w:shd w:fill="CCEEFF" w:val="clear"/>
            <w:tcMar>
              <w:bottom w:w="0" w:type="dxa"/>
            </w:tcMar>
            <w:vAlign w:val="center"/>
          </w:tcPr>
          <w:p>
            <w:pPr>
              <w:pStyle w:val="TableContents"/>
              <w:spacing w:before="0" w:after="283"/>
              <w:jc w:val="left"/>
              <w:rPr>
                <w:spacing w:val="4"/>
              </w:rPr>
            </w:pPr>
            <w:r>
              <w:rPr>
                <w:spacing w:val="4"/>
              </w:rPr>
              <w:t xml:space="preserve">Peter L. Hoang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04" w:type="dxa"/>
            <w:tcBorders/>
            <w:shd w:fill="CCEEFF" w:val="clear"/>
            <w:tcMar>
              <w:bottom w:w="0" w:type="dxa"/>
            </w:tcMar>
            <w:vAlign w:val="center"/>
          </w:tcPr>
          <w:p>
            <w:pPr>
              <w:pStyle w:val="TableContents"/>
              <w:spacing w:before="0" w:after="0"/>
              <w:jc w:val="center"/>
              <w:rPr>
                <w:spacing w:val="4"/>
              </w:rPr>
            </w:pPr>
            <w:r>
              <w:rPr>
                <w:spacing w:val="4"/>
              </w:rPr>
              <w:t xml:space="preserve">10/18/2018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6" w:type="dxa"/>
            <w:tcBorders/>
            <w:shd w:fill="CCEEFF" w:val="clear"/>
            <w:tcMar>
              <w:bottom w:w="0" w:type="dxa"/>
            </w:tcMar>
            <w:vAlign w:val="center"/>
          </w:tcPr>
          <w:p>
            <w:pPr>
              <w:pStyle w:val="TableContents"/>
              <w:spacing w:before="0" w:after="0"/>
              <w:jc w:val="center"/>
              <w:rPr>
                <w:spacing w:val="4"/>
              </w:rPr>
            </w:pPr>
            <w:r>
              <w:rPr>
                <w:spacing w:val="4"/>
              </w:rPr>
              <w:t xml:space="preserve">424,962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5" w:type="dxa"/>
            <w:tcBorders/>
            <w:shd w:fill="CCEEFF" w:val="clear"/>
            <w:tcMar>
              <w:bottom w:w="0" w:type="dxa"/>
            </w:tcMar>
            <w:vAlign w:val="center"/>
          </w:tcPr>
          <w:p>
            <w:pPr>
              <w:pStyle w:val="TableContents"/>
              <w:spacing w:before="0" w:after="0"/>
              <w:jc w:val="center"/>
              <w:rPr/>
            </w:pPr>
            <w:r>
              <w:rPr>
                <w:spacing w:val="4"/>
              </w:rPr>
              <w:t>934,893</w:t>
            </w:r>
            <w:r>
              <w:rPr>
                <w:spacing w:val="3"/>
                <w:sz w:val="15"/>
              </w:rPr>
              <w:t>(2)(5)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1" w:type="dxa"/>
            <w:tcBorders/>
            <w:shd w:fill="CCEEFF" w:val="clear"/>
            <w:tcMar>
              <w:bottom w:w="0" w:type="dxa"/>
            </w:tcMar>
            <w:vAlign w:val="center"/>
          </w:tcPr>
          <w:p>
            <w:pPr>
              <w:pStyle w:val="TableContents"/>
              <w:spacing w:before="0" w:after="0"/>
              <w:jc w:val="center"/>
              <w:rPr>
                <w:spacing w:val="4"/>
              </w:rPr>
            </w:pPr>
            <w:r>
              <w:rPr>
                <w:spacing w:val="4"/>
              </w:rPr>
              <w:t xml:space="preserve">9.18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0"/>
              <w:jc w:val="center"/>
              <w:rPr>
                <w:spacing w:val="4"/>
              </w:rPr>
            </w:pPr>
            <w:r>
              <w:rPr>
                <w:spacing w:val="4"/>
              </w:rPr>
              <w:t xml:space="preserve">10/19/2028 </w:t>
            </w:r>
          </w:p>
        </w:tc>
        <w:tc>
          <w:tcPr>
            <w:tcW w:w="158" w:type="dxa"/>
            <w:tcBorders/>
            <w:shd w:fill="CCEEFF" w:val="clear"/>
            <w:tcMar>
              <w:bottom w:w="0" w:type="dxa"/>
            </w:tcMar>
            <w:vAlign w:val="center"/>
          </w:tcPr>
          <w:p>
            <w:pPr>
              <w:pStyle w:val="TableContents"/>
              <w:spacing w:before="0" w:after="283"/>
              <w:rPr/>
            </w:pPr>
            <w:r>
              <w:rPr/>
              <w:t>​</w:t>
            </w:r>
          </w:p>
        </w:tc>
      </w:tr>
      <w:tr>
        <w:trPr/>
        <w:tc>
          <w:tcPr>
            <w:tcW w:w="1156" w:type="dxa"/>
            <w:tcBorders/>
            <w:shd w:fill="auto" w:val="clear"/>
            <w:tcMar>
              <w:bottom w:w="0" w:type="dxa"/>
            </w:tcMar>
            <w:vAlign w:val="center"/>
          </w:tcPr>
          <w:p>
            <w:pPr>
              <w:pStyle w:val="TableContents"/>
              <w:spacing w:before="0" w:after="283"/>
              <w:jc w:val="left"/>
              <w:rPr>
                <w:spacing w:val="4"/>
              </w:rPr>
            </w:pPr>
            <w:r>
              <w:rPr>
                <w:spacing w:val="4"/>
              </w:rPr>
              <w:t xml:space="preserve">Anthony Kim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04" w:type="dxa"/>
            <w:tcBorders/>
            <w:shd w:fill="auto" w:val="clear"/>
            <w:tcMar>
              <w:bottom w:w="0" w:type="dxa"/>
            </w:tcMar>
            <w:vAlign w:val="center"/>
          </w:tcPr>
          <w:p>
            <w:pPr>
              <w:pStyle w:val="TableContents"/>
              <w:spacing w:before="0" w:after="0"/>
              <w:jc w:val="center"/>
              <w:rPr>
                <w:spacing w:val="4"/>
              </w:rPr>
            </w:pPr>
            <w:r>
              <w:rPr>
                <w:spacing w:val="4"/>
              </w:rPr>
              <w:t xml:space="preserve">11/27/2018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6" w:type="dxa"/>
            <w:tcBorders/>
            <w:shd w:fill="auto" w:val="clear"/>
            <w:tcMar>
              <w:bottom w:w="0" w:type="dxa"/>
            </w:tcMar>
            <w:vAlign w:val="center"/>
          </w:tcPr>
          <w:p>
            <w:pPr>
              <w:pStyle w:val="TableContents"/>
              <w:spacing w:before="0" w:after="0"/>
              <w:jc w:val="center"/>
              <w:rPr>
                <w:spacing w:val="4"/>
              </w:rPr>
            </w:pPr>
            <w:r>
              <w:rPr>
                <w:spacing w:val="4"/>
              </w:rPr>
              <w:t xml:space="preserve">116,662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5" w:type="dxa"/>
            <w:tcBorders/>
            <w:shd w:fill="auto" w:val="clear"/>
            <w:tcMar>
              <w:bottom w:w="0" w:type="dxa"/>
            </w:tcMar>
            <w:vAlign w:val="center"/>
          </w:tcPr>
          <w:p>
            <w:pPr>
              <w:pStyle w:val="TableContents"/>
              <w:spacing w:before="0" w:after="0"/>
              <w:jc w:val="center"/>
              <w:rPr/>
            </w:pPr>
            <w:r>
              <w:rPr>
                <w:spacing w:val="4"/>
              </w:rPr>
              <w:t>283,338</w:t>
            </w:r>
            <w:r>
              <w:rPr>
                <w:spacing w:val="3"/>
                <w:sz w:val="15"/>
              </w:rPr>
              <w:t>(3)(5)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1" w:type="dxa"/>
            <w:tcBorders/>
            <w:shd w:fill="auto" w:val="clear"/>
            <w:tcMar>
              <w:bottom w:w="0" w:type="dxa"/>
            </w:tcMar>
            <w:vAlign w:val="center"/>
          </w:tcPr>
          <w:p>
            <w:pPr>
              <w:pStyle w:val="TableContents"/>
              <w:spacing w:before="0" w:after="0"/>
              <w:jc w:val="center"/>
              <w:rPr>
                <w:spacing w:val="4"/>
              </w:rPr>
            </w:pPr>
            <w:r>
              <w:rPr>
                <w:spacing w:val="4"/>
              </w:rPr>
              <w:t xml:space="preserve">6.81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2" w:type="dxa"/>
            <w:tcBorders/>
            <w:shd w:fill="auto" w:val="clear"/>
            <w:tcMar>
              <w:bottom w:w="0" w:type="dxa"/>
            </w:tcMar>
            <w:vAlign w:val="center"/>
          </w:tcPr>
          <w:p>
            <w:pPr>
              <w:pStyle w:val="TableContents"/>
              <w:spacing w:before="0" w:after="0"/>
              <w:jc w:val="center"/>
              <w:rPr>
                <w:spacing w:val="4"/>
              </w:rPr>
            </w:pPr>
            <w:r>
              <w:rPr>
                <w:spacing w:val="4"/>
              </w:rPr>
              <w:t xml:space="preserve">11/27/2028 </w:t>
            </w:r>
          </w:p>
        </w:tc>
        <w:tc>
          <w:tcPr>
            <w:tcW w:w="158" w:type="dxa"/>
            <w:tcBorders/>
            <w:shd w:fill="auto" w:val="clear"/>
            <w:tcMar>
              <w:bottom w:w="0" w:type="dxa"/>
            </w:tcMar>
            <w:vAlign w:val="center"/>
          </w:tcPr>
          <w:p>
            <w:pPr>
              <w:pStyle w:val="TableContents"/>
              <w:spacing w:before="0" w:after="283"/>
              <w:rPr/>
            </w:pPr>
            <w:r>
              <w:rPr/>
              <w:t>​</w:t>
            </w:r>
          </w:p>
        </w:tc>
      </w:tr>
      <w:tr>
        <w:trPr/>
        <w:tc>
          <w:tcPr>
            <w:tcW w:w="1156" w:type="dxa"/>
            <w:tcBorders/>
            <w:shd w:fill="CCEEFF" w:val="clear"/>
            <w:tcMar>
              <w:bottom w:w="0" w:type="dxa"/>
            </w:tcMar>
            <w:vAlign w:val="center"/>
          </w:tcPr>
          <w:p>
            <w:pPr>
              <w:pStyle w:val="TableContents"/>
              <w:spacing w:before="0" w:after="283"/>
              <w:jc w:val="left"/>
              <w:rPr>
                <w:spacing w:val="4"/>
              </w:rPr>
            </w:pPr>
            <w:r>
              <w:rPr>
                <w:spacing w:val="4"/>
              </w:rPr>
              <w:t xml:space="preserve">Mythili Koneru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04" w:type="dxa"/>
            <w:tcBorders/>
            <w:shd w:fill="CCEEFF" w:val="clear"/>
            <w:tcMar>
              <w:bottom w:w="0" w:type="dxa"/>
            </w:tcMar>
            <w:vAlign w:val="center"/>
          </w:tcPr>
          <w:p>
            <w:pPr>
              <w:pStyle w:val="TableContents"/>
              <w:spacing w:before="0" w:after="0"/>
              <w:jc w:val="center"/>
              <w:rPr>
                <w:spacing w:val="4"/>
              </w:rPr>
            </w:pPr>
            <w:r>
              <w:rPr>
                <w:spacing w:val="4"/>
              </w:rPr>
              <w:t xml:space="preserve">2/7/2019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6" w:type="dxa"/>
            <w:tcBorders/>
            <w:shd w:fill="CCEEFF" w:val="clear"/>
            <w:tcMar>
              <w:bottom w:w="0" w:type="dxa"/>
            </w:tcMar>
            <w:vAlign w:val="center"/>
          </w:tcPr>
          <w:p>
            <w:pPr>
              <w:pStyle w:val="TableContents"/>
              <w:spacing w:before="0" w:after="0"/>
              <w:jc w:val="center"/>
              <w:rPr/>
            </w:pPr>
            <w:r>
              <w:rPr>
                <w:spacing w:val="4"/>
              </w:rPr>
              <w:t>10,000</w:t>
            </w:r>
            <w:r>
              <w:rPr>
                <w:spacing w:val="3"/>
                <w:sz w:val="15"/>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5" w:type="dxa"/>
            <w:tcBorders/>
            <w:shd w:fill="CCEEFF"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1" w:type="dxa"/>
            <w:tcBorders/>
            <w:shd w:fill="CCEEFF" w:val="clear"/>
            <w:tcMar>
              <w:bottom w:w="0" w:type="dxa"/>
            </w:tcMar>
            <w:vAlign w:val="center"/>
          </w:tcPr>
          <w:p>
            <w:pPr>
              <w:pStyle w:val="TableContents"/>
              <w:spacing w:before="0" w:after="0"/>
              <w:jc w:val="center"/>
              <w:rPr>
                <w:spacing w:val="4"/>
              </w:rPr>
            </w:pPr>
            <w:r>
              <w:rPr>
                <w:spacing w:val="4"/>
              </w:rPr>
              <w:t xml:space="preserve">5.10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2" w:type="dxa"/>
            <w:tcBorders/>
            <w:shd w:fill="CCEEFF" w:val="clear"/>
            <w:tcMar>
              <w:bottom w:w="0" w:type="dxa"/>
            </w:tcMar>
            <w:vAlign w:val="center"/>
          </w:tcPr>
          <w:p>
            <w:pPr>
              <w:pStyle w:val="TableContents"/>
              <w:spacing w:before="0" w:after="0"/>
              <w:jc w:val="center"/>
              <w:rPr>
                <w:spacing w:val="4"/>
              </w:rPr>
            </w:pPr>
            <w:r>
              <w:rPr>
                <w:spacing w:val="4"/>
              </w:rPr>
              <w:t xml:space="preserve">2/7/2029 </w:t>
            </w:r>
          </w:p>
        </w:tc>
        <w:tc>
          <w:tcPr>
            <w:tcW w:w="158" w:type="dxa"/>
            <w:tcBorders/>
            <w:shd w:fill="CCEEFF" w:val="clear"/>
            <w:tcMar>
              <w:bottom w:w="0" w:type="dxa"/>
            </w:tcMar>
            <w:vAlign w:val="center"/>
          </w:tcPr>
          <w:p>
            <w:pPr>
              <w:pStyle w:val="TableContents"/>
              <w:spacing w:before="0" w:after="283"/>
              <w:rPr/>
            </w:pPr>
            <w:r>
              <w:rPr/>
              <w:t>​</w:t>
            </w:r>
          </w:p>
        </w:tc>
      </w:tr>
      <w:tr>
        <w:trPr/>
        <w:tc>
          <w:tcPr>
            <w:tcW w:w="115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04" w:type="dxa"/>
            <w:tcBorders/>
            <w:shd w:fill="auto" w:val="clear"/>
            <w:tcMar>
              <w:bottom w:w="0" w:type="dxa"/>
            </w:tcMar>
            <w:vAlign w:val="center"/>
          </w:tcPr>
          <w:p>
            <w:pPr>
              <w:pStyle w:val="TableContents"/>
              <w:spacing w:before="0" w:after="0"/>
              <w:jc w:val="center"/>
              <w:rPr>
                <w:spacing w:val="4"/>
              </w:rPr>
            </w:pPr>
            <w:r>
              <w:rPr>
                <w:spacing w:val="4"/>
              </w:rPr>
              <w:t xml:space="preserve">2/7/2019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6" w:type="dxa"/>
            <w:tcBorders/>
            <w:shd w:fill="auto" w:val="clear"/>
            <w:tcMar>
              <w:bottom w:w="0" w:type="dxa"/>
            </w:tcMar>
            <w:vAlign w:val="center"/>
          </w:tcPr>
          <w:p>
            <w:pPr>
              <w:pStyle w:val="TableContents"/>
              <w:spacing w:before="0" w:after="0"/>
              <w:jc w:val="center"/>
              <w:rPr>
                <w:spacing w:val="4"/>
              </w:rPr>
            </w:pP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5" w:type="dxa"/>
            <w:tcBorders/>
            <w:shd w:fill="auto" w:val="clear"/>
            <w:tcMar>
              <w:bottom w:w="0" w:type="dxa"/>
            </w:tcMar>
            <w:vAlign w:val="center"/>
          </w:tcPr>
          <w:p>
            <w:pPr>
              <w:pStyle w:val="TableContents"/>
              <w:spacing w:before="0" w:after="0"/>
              <w:jc w:val="center"/>
              <w:rPr/>
            </w:pPr>
            <w:r>
              <w:rPr>
                <w:spacing w:val="4"/>
              </w:rPr>
              <w:t>300,000</w:t>
            </w:r>
            <w:r>
              <w:rPr>
                <w:spacing w:val="3"/>
                <w:sz w:val="15"/>
              </w:rPr>
              <w:t>(3)(5)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1" w:type="dxa"/>
            <w:tcBorders/>
            <w:shd w:fill="auto" w:val="clear"/>
            <w:tcMar>
              <w:bottom w:w="0" w:type="dxa"/>
            </w:tcMar>
            <w:vAlign w:val="center"/>
          </w:tcPr>
          <w:p>
            <w:pPr>
              <w:pStyle w:val="TableContents"/>
              <w:spacing w:before="0" w:after="0"/>
              <w:jc w:val="center"/>
              <w:rPr>
                <w:spacing w:val="4"/>
              </w:rPr>
            </w:pPr>
            <w:r>
              <w:rPr>
                <w:spacing w:val="4"/>
              </w:rPr>
              <w:t xml:space="preserve">5.10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2" w:type="dxa"/>
            <w:tcBorders/>
            <w:shd w:fill="auto" w:val="clear"/>
            <w:tcMar>
              <w:bottom w:w="0" w:type="dxa"/>
            </w:tcMar>
            <w:vAlign w:val="center"/>
          </w:tcPr>
          <w:p>
            <w:pPr>
              <w:pStyle w:val="TableContents"/>
              <w:spacing w:before="0" w:after="0"/>
              <w:jc w:val="center"/>
              <w:rPr/>
            </w:pPr>
            <w:r>
              <w:rPr>
                <w:spacing w:val="4"/>
              </w:rPr>
              <w:t>2/7/2029</w:t>
            </w:r>
            <w:r>
              <w:rPr/>
              <w:t xml:space="preserve"> </w:t>
            </w:r>
          </w:p>
        </w:tc>
        <w:tc>
          <w:tcPr>
            <w:tcW w:w="158"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 awards listed in the table were granted under our 2014 Omnibus Stock Ownership Plan. </w:t>
      </w:r>
      <w:r>
        <mc:AlternateContent>
          <mc:Choice Requires="wps">
            <w:drawing>
              <wp:anchor behindDoc="0" distT="508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largest"/>
                <wp:docPr id="84" name="Frame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subject to this award vest in equal monthly installments over 48 months from the date of grant, subject to the named executive officer’s continued service as of each such vesting date. </w:t>
      </w:r>
      <w:r>
        <mc:AlternateContent>
          <mc:Choice Requires="wps">
            <w:drawing>
              <wp:anchor behindDoc="0" distT="508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largest"/>
                <wp:docPr id="85" name="Frame8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Twenty-five percent of the shares subject to this award vested upon the first anniversary of the date of grant, with the remainder of the shares vesting in equal monthly installments over 48 months from the date of grant, subject to the named executive officer’s continued service as of each such vesting date. </w:t>
      </w:r>
      <w:r>
        <mc:AlternateContent>
          <mc:Choice Requires="wps">
            <w:drawing>
              <wp:anchor behindDoc="0" distT="508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largest"/>
                <wp:docPr id="86" name="Frame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subject to this award vested immediately upon the date of grant. </w:t>
      </w:r>
      <w:r>
        <mc:AlternateContent>
          <mc:Choice Requires="wps">
            <w:drawing>
              <wp:anchor behindDoc="0" distT="508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largest"/>
                <wp:docPr id="87" name="Frame8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largest"/>
                <wp:docPr id="88" name="Frame8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ICO"/>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59"/>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w:t>
      </w:r>
      <w:r>
        <w:rPr>
          <w:rFonts w:ascii="Times New Roman;Times;serif" w:hAnsi="Times New Roman;Times;serif"/>
          <w:b/>
          <w:i w:val="false"/>
          <w:caps/>
          <w:color w:val="000000"/>
          <w:spacing w:val="4"/>
          <w:sz w:val="14"/>
        </w:rPr>
        <w:t>irector</w:t>
      </w:r>
      <w:r>
        <w:rPr>
          <w:rFonts w:ascii="Times New Roman;Times;serif" w:hAnsi="Times New Roman;Times;serif"/>
          <w:b/>
          <w:i w:val="false"/>
          <w:caps w:val="false"/>
          <w:smallCaps w:val="false"/>
          <w:color w:val="000000"/>
          <w:spacing w:val="4"/>
          <w:sz w:val="20"/>
        </w:rPr>
        <w:t xml:space="preserve"> C</w:t>
      </w:r>
      <w:r>
        <w:rPr>
          <w:rFonts w:ascii="Times New Roman;Times;serif" w:hAnsi="Times New Roman;Times;serif"/>
          <w:b/>
          <w:i w:val="false"/>
          <w:caps/>
          <w:color w:val="000000"/>
          <w:spacing w:val="4"/>
          <w:sz w:val="14"/>
        </w:rPr>
        <w:t>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Non-Employee Director Compensation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for the fiscal year ended December 31, 2019 certain information with respect to the compensation of our non-employee directors: </w:t>
      </w:r>
    </w:p>
    <w:tbl>
      <w:tblPr>
        <w:tblW w:w="8778" w:type="dxa"/>
        <w:jc w:val="left"/>
        <w:tblInd w:w="1393" w:type="dxa"/>
        <w:tblCellMar>
          <w:top w:w="0" w:type="dxa"/>
          <w:left w:w="0" w:type="dxa"/>
          <w:bottom w:w="46" w:type="dxa"/>
          <w:right w:w="0" w:type="dxa"/>
        </w:tblCellMar>
      </w:tblPr>
      <w:tblGrid>
        <w:gridCol w:w="2390"/>
        <w:gridCol w:w="109"/>
        <w:gridCol w:w="109"/>
        <w:gridCol w:w="1627"/>
        <w:gridCol w:w="109"/>
        <w:gridCol w:w="109"/>
        <w:gridCol w:w="109"/>
        <w:gridCol w:w="109"/>
        <w:gridCol w:w="766"/>
        <w:gridCol w:w="109"/>
        <w:gridCol w:w="109"/>
        <w:gridCol w:w="109"/>
        <w:gridCol w:w="154"/>
        <w:gridCol w:w="154"/>
        <w:gridCol w:w="1087"/>
        <w:gridCol w:w="154"/>
        <w:gridCol w:w="109"/>
        <w:gridCol w:w="109"/>
        <w:gridCol w:w="109"/>
        <w:gridCol w:w="109"/>
        <w:gridCol w:w="766"/>
        <w:gridCol w:w="109"/>
        <w:gridCol w:w="154"/>
      </w:tblGrid>
      <w:tr>
        <w:trPr/>
        <w:tc>
          <w:tcPr>
            <w:tcW w:w="2390" w:type="dxa"/>
            <w:tcBorders>
              <w:bottom w:val="single" w:sz="2" w:space="0" w:color="000000"/>
            </w:tcBorders>
            <w:shd w:fill="auto" w:val="clear"/>
            <w:vAlign w:val="center"/>
          </w:tcPr>
          <w:p>
            <w:pPr>
              <w:pStyle w:val="TableContents"/>
              <w:spacing w:before="0" w:after="0"/>
              <w:jc w:val="left"/>
              <w:rPr/>
            </w:pPr>
            <w:r>
              <w:rPr>
                <w:spacing w:val="4"/>
              </w:rPr>
              <w:t>Name</w:t>
            </w:r>
            <w:r>
              <w:rPr>
                <w:spacing w:val="3"/>
                <w:sz w:val="14"/>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27" w:type="dxa"/>
            <w:tcBorders>
              <w:bottom w:val="single" w:sz="2" w:space="0" w:color="000000"/>
            </w:tcBorders>
            <w:shd w:fill="auto" w:val="clear"/>
            <w:vAlign w:val="center"/>
          </w:tcPr>
          <w:p>
            <w:pPr>
              <w:pStyle w:val="TableContents"/>
              <w:spacing w:before="0" w:after="0"/>
              <w:jc w:val="center"/>
              <w:rPr/>
            </w:pPr>
            <w:r>
              <w:rPr>
                <w:spacing w:val="4"/>
              </w:rPr>
              <w:t>Fees Earned or</w:t>
            </w:r>
            <w:r>
              <w:rPr/>
              <w:t xml:space="preserve"> </w:t>
              <w:br/>
            </w:r>
            <w:r>
              <w:rPr>
                <w:spacing w:val="4"/>
              </w:rPr>
              <w:t>Paid in Cash</w:t>
            </w:r>
            <w:r>
              <w:rPr/>
              <w:t xml:space="preserve"> </w:t>
              <w:br/>
            </w:r>
            <w:r>
              <w:rPr>
                <w:spacing w:val="4"/>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pPr>
            <w:r>
              <w:rPr>
                <w:spacing w:val="4"/>
              </w:rPr>
              <w:t>Option</w:t>
            </w:r>
            <w:r>
              <w:rPr/>
              <w:t xml:space="preserve"> </w:t>
              <w:br/>
            </w:r>
            <w:r>
              <w:rPr>
                <w:spacing w:val="4"/>
              </w:rPr>
              <w:t>Awards</w:t>
            </w:r>
            <w:r>
              <w:rPr/>
              <w:t xml:space="preserve"> </w:t>
              <w:br/>
            </w:r>
            <w:r>
              <w:rPr>
                <w:spacing w:val="4"/>
              </w:rPr>
              <w:t>($)</w:t>
            </w:r>
            <w:r>
              <w:rPr>
                <w:spacing w:val="3"/>
                <w:sz w:val="14"/>
              </w:rPr>
              <w:t>(2)(3)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49" w:type="dxa"/>
            <w:gridSpan w:val="4"/>
            <w:tcBorders>
              <w:bottom w:val="single" w:sz="2" w:space="0" w:color="000000"/>
            </w:tcBorders>
            <w:shd w:fill="auto" w:val="clear"/>
            <w:vAlign w:val="center"/>
          </w:tcPr>
          <w:p>
            <w:pPr>
              <w:pStyle w:val="TableContents"/>
              <w:spacing w:before="0" w:after="0"/>
              <w:jc w:val="center"/>
              <w:rPr/>
            </w:pPr>
            <w:r>
              <w:rPr>
                <w:spacing w:val="4"/>
              </w:rPr>
              <w:t>Stock Awards</w:t>
            </w:r>
            <w:r>
              <w:rPr/>
              <w:t xml:space="preserve"> </w:t>
              <w:br/>
            </w:r>
            <w:r>
              <w:rPr>
                <w:spacing w:val="4"/>
              </w:rPr>
              <w:t>($)</w:t>
            </w:r>
            <w:r>
              <w:rPr>
                <w:spacing w:val="3"/>
                <w:sz w:val="14"/>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pPr>
            <w:r>
              <w:rPr>
                <w:spacing w:val="4"/>
              </w:rPr>
              <w:t>Total</w:t>
            </w:r>
            <w:r>
              <w:rPr/>
              <w:t xml:space="preserve"> </w:t>
              <w:br/>
            </w:r>
            <w:r>
              <w:rPr>
                <w:spacing w:val="4"/>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390" w:type="dxa"/>
            <w:tcBorders/>
            <w:shd w:fill="CCEDFF" w:val="clear"/>
            <w:tcMar>
              <w:bottom w:w="0" w:type="dxa"/>
            </w:tcMar>
            <w:vAlign w:val="center"/>
          </w:tcPr>
          <w:p>
            <w:pPr>
              <w:pStyle w:val="TableContents"/>
              <w:spacing w:before="0" w:after="283"/>
              <w:jc w:val="left"/>
              <w:rPr>
                <w:spacing w:val="4"/>
              </w:rPr>
            </w:pPr>
            <w:r>
              <w:rPr>
                <w:spacing w:val="4"/>
              </w:rPr>
              <w:t xml:space="preserve">David Eansor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27" w:type="dxa"/>
            <w:tcBorders/>
            <w:shd w:fill="CCEDFF" w:val="clear"/>
            <w:tcMar>
              <w:bottom w:w="0" w:type="dxa"/>
            </w:tcMar>
            <w:vAlign w:val="center"/>
          </w:tcPr>
          <w:p>
            <w:pPr>
              <w:pStyle w:val="TableContents"/>
              <w:spacing w:before="0" w:after="0"/>
              <w:jc w:val="center"/>
              <w:rPr>
                <w:spacing w:val="4"/>
              </w:rPr>
            </w:pPr>
            <w:r>
              <w:rPr>
                <w:spacing w:val="4"/>
              </w:rPr>
              <w:t xml:space="preserve">40,000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jc w:val="right"/>
              <w:rPr/>
            </w:pPr>
            <w:r>
              <w:rPr/>
              <w:t>​</w:t>
            </w:r>
          </w:p>
        </w:tc>
        <w:tc>
          <w:tcPr>
            <w:tcW w:w="1087" w:type="dxa"/>
            <w:tcBorders/>
            <w:shd w:fill="CCEDFF" w:val="clear"/>
            <w:tcMar>
              <w:bottom w:w="0" w:type="dxa"/>
            </w:tcMar>
            <w:vAlign w:val="center"/>
          </w:tcPr>
          <w:p>
            <w:pPr>
              <w:pStyle w:val="TableContents"/>
              <w:spacing w:before="0" w:after="283"/>
              <w:jc w:val="right"/>
              <w:rPr/>
            </w:pPr>
            <w:r>
              <w:rPr/>
              <w:t>43,560</w:t>
            </w:r>
          </w:p>
        </w:tc>
        <w:tc>
          <w:tcPr>
            <w:tcW w:w="154"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83,560</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90" w:type="dxa"/>
            <w:tcBorders/>
            <w:shd w:fill="auto" w:val="clear"/>
            <w:tcMar>
              <w:bottom w:w="0" w:type="dxa"/>
            </w:tcMar>
            <w:vAlign w:val="center"/>
          </w:tcPr>
          <w:p>
            <w:pPr>
              <w:pStyle w:val="TableContents"/>
              <w:spacing w:before="0" w:after="283"/>
              <w:jc w:val="left"/>
              <w:rPr>
                <w:spacing w:val="4"/>
              </w:rPr>
            </w:pPr>
            <w:r>
              <w:rPr>
                <w:spacing w:val="4"/>
              </w:rPr>
              <w:t xml:space="preserve">Steven Elms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7" w:type="dxa"/>
            <w:tcBorders/>
            <w:shd w:fill="auto" w:val="clear"/>
            <w:tcMar>
              <w:bottom w:w="0" w:type="dxa"/>
            </w:tcMar>
            <w:vAlign w:val="center"/>
          </w:tcPr>
          <w:p>
            <w:pPr>
              <w:pStyle w:val="TableContents"/>
              <w:spacing w:before="0" w:after="0"/>
              <w:jc w:val="center"/>
              <w:rPr/>
            </w:pPr>
            <w:r>
              <w:rPr>
                <w:spacing w:val="4"/>
              </w:rPr>
              <w:t>16,044</w:t>
            </w:r>
            <w:r>
              <w:rPr>
                <w:spacing w:val="3"/>
                <w:sz w:val="14"/>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43,654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jc w:val="right"/>
              <w:rPr/>
            </w:pPr>
            <w:r>
              <w:rPr/>
              <w:t>​</w:t>
            </w:r>
          </w:p>
        </w:tc>
        <w:tc>
          <w:tcPr>
            <w:tcW w:w="1087" w:type="dxa"/>
            <w:tcBorders/>
            <w:shd w:fill="auto" w:val="clear"/>
            <w:tcMar>
              <w:bottom w:w="0" w:type="dxa"/>
            </w:tcMar>
            <w:vAlign w:val="center"/>
          </w:tcPr>
          <w:p>
            <w:pPr>
              <w:pStyle w:val="TableContents"/>
              <w:spacing w:before="0" w:after="283"/>
              <w:jc w:val="right"/>
              <w:rPr/>
            </w:pPr>
            <w:r>
              <w:rPr/>
              <w:t xml:space="preserve">- </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59,698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90" w:type="dxa"/>
            <w:tcBorders/>
            <w:shd w:fill="CCEDFF" w:val="clear"/>
            <w:tcMar>
              <w:bottom w:w="0" w:type="dxa"/>
            </w:tcMar>
            <w:vAlign w:val="center"/>
          </w:tcPr>
          <w:p>
            <w:pPr>
              <w:pStyle w:val="TableContents"/>
              <w:spacing w:before="0" w:after="283"/>
              <w:jc w:val="left"/>
              <w:rPr>
                <w:spacing w:val="4"/>
              </w:rPr>
            </w:pPr>
            <w:r>
              <w:rPr>
                <w:spacing w:val="4"/>
              </w:rPr>
              <w:t xml:space="preserve">David Laskow-Pooley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27" w:type="dxa"/>
            <w:tcBorders/>
            <w:shd w:fill="CCEDFF" w:val="clear"/>
            <w:tcMar>
              <w:bottom w:w="0" w:type="dxa"/>
            </w:tcMar>
            <w:vAlign w:val="center"/>
          </w:tcPr>
          <w:p>
            <w:pPr>
              <w:pStyle w:val="TableContents"/>
              <w:spacing w:before="0" w:after="0"/>
              <w:jc w:val="center"/>
              <w:rPr>
                <w:spacing w:val="4"/>
              </w:rPr>
            </w:pPr>
            <w:r>
              <w:rPr>
                <w:spacing w:val="4"/>
              </w:rPr>
              <w:t xml:space="preserve">40,000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jc w:val="right"/>
              <w:rPr/>
            </w:pPr>
            <w:r>
              <w:rPr/>
              <w:t>​</w:t>
            </w:r>
          </w:p>
        </w:tc>
        <w:tc>
          <w:tcPr>
            <w:tcW w:w="1087" w:type="dxa"/>
            <w:tcBorders/>
            <w:shd w:fill="CCEDFF" w:val="clear"/>
            <w:tcMar>
              <w:bottom w:w="0" w:type="dxa"/>
            </w:tcMar>
            <w:vAlign w:val="center"/>
          </w:tcPr>
          <w:p>
            <w:pPr>
              <w:pStyle w:val="TableContents"/>
              <w:spacing w:before="0" w:after="283"/>
              <w:jc w:val="right"/>
              <w:rPr/>
            </w:pPr>
            <w:r>
              <w:rPr/>
              <w:t>43,560</w:t>
            </w:r>
          </w:p>
        </w:tc>
        <w:tc>
          <w:tcPr>
            <w:tcW w:w="154"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83,560</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90" w:type="dxa"/>
            <w:tcBorders/>
            <w:shd w:fill="auto" w:val="clear"/>
            <w:tcMar>
              <w:bottom w:w="0" w:type="dxa"/>
            </w:tcMar>
            <w:vAlign w:val="center"/>
          </w:tcPr>
          <w:p>
            <w:pPr>
              <w:pStyle w:val="TableContents"/>
              <w:spacing w:before="0" w:after="283"/>
              <w:jc w:val="left"/>
              <w:rPr>
                <w:spacing w:val="4"/>
              </w:rPr>
            </w:pPr>
            <w:r>
              <w:rPr>
                <w:spacing w:val="4"/>
              </w:rPr>
              <w:t xml:space="preserve">Frederick Wasserman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7" w:type="dxa"/>
            <w:tcBorders/>
            <w:shd w:fill="auto" w:val="clear"/>
            <w:tcMar>
              <w:bottom w:w="0" w:type="dxa"/>
            </w:tcMar>
            <w:vAlign w:val="center"/>
          </w:tcPr>
          <w:p>
            <w:pPr>
              <w:pStyle w:val="TableContents"/>
              <w:spacing w:before="0" w:after="0"/>
              <w:jc w:val="center"/>
              <w:rPr>
                <w:spacing w:val="4"/>
              </w:rPr>
            </w:pPr>
            <w:r>
              <w:rPr>
                <w:spacing w:val="4"/>
              </w:rPr>
              <w:t xml:space="preserve">40,000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jc w:val="right"/>
              <w:rPr/>
            </w:pPr>
            <w:r>
              <w:rPr/>
              <w:t>​</w:t>
            </w:r>
          </w:p>
        </w:tc>
        <w:tc>
          <w:tcPr>
            <w:tcW w:w="1087" w:type="dxa"/>
            <w:tcBorders/>
            <w:shd w:fill="auto" w:val="clear"/>
            <w:tcMar>
              <w:bottom w:w="0" w:type="dxa"/>
            </w:tcMar>
            <w:vAlign w:val="center"/>
          </w:tcPr>
          <w:p>
            <w:pPr>
              <w:pStyle w:val="TableContents"/>
              <w:spacing w:before="0" w:after="283"/>
              <w:jc w:val="right"/>
              <w:rPr/>
            </w:pPr>
            <w:r>
              <w:rPr/>
              <w:t>43,560</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83,560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390" w:type="dxa"/>
            <w:tcBorders/>
            <w:shd w:fill="CCEDFF" w:val="clear"/>
            <w:tcMar>
              <w:bottom w:w="0" w:type="dxa"/>
            </w:tcMar>
            <w:vAlign w:val="center"/>
          </w:tcPr>
          <w:p>
            <w:pPr>
              <w:pStyle w:val="TableContents"/>
              <w:spacing w:before="0" w:after="283"/>
              <w:jc w:val="left"/>
              <w:rPr>
                <w:spacing w:val="4"/>
              </w:rPr>
            </w:pPr>
            <w:r>
              <w:rPr>
                <w:spacing w:val="4"/>
              </w:rPr>
              <w:t xml:space="preserve">John Wilson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627" w:type="dxa"/>
            <w:tcBorders/>
            <w:shd w:fill="CCEDFF" w:val="clear"/>
            <w:tcMar>
              <w:bottom w:w="0" w:type="dxa"/>
            </w:tcMar>
            <w:vAlign w:val="center"/>
          </w:tcPr>
          <w:p>
            <w:pPr>
              <w:pStyle w:val="TableContents"/>
              <w:spacing w:before="0" w:after="0"/>
              <w:jc w:val="center"/>
              <w:rPr>
                <w:spacing w:val="4"/>
              </w:rPr>
            </w:pPr>
            <w:r>
              <w:rPr>
                <w:spacing w:val="4"/>
              </w:rPr>
              <w:t xml:space="preserve">40,000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rPr/>
            </w:pPr>
            <w:r>
              <w:rPr/>
              <w:t>​</w:t>
            </w:r>
          </w:p>
        </w:tc>
        <w:tc>
          <w:tcPr>
            <w:tcW w:w="154" w:type="dxa"/>
            <w:tcBorders/>
            <w:shd w:fill="CCEDFF" w:val="clear"/>
            <w:tcMar>
              <w:bottom w:w="0" w:type="dxa"/>
            </w:tcMar>
            <w:vAlign w:val="center"/>
          </w:tcPr>
          <w:p>
            <w:pPr>
              <w:pStyle w:val="TableContents"/>
              <w:spacing w:before="0" w:after="283"/>
              <w:jc w:val="right"/>
              <w:rPr/>
            </w:pPr>
            <w:r>
              <w:rPr/>
              <w:t>​</w:t>
            </w:r>
          </w:p>
        </w:tc>
        <w:tc>
          <w:tcPr>
            <w:tcW w:w="1087" w:type="dxa"/>
            <w:tcBorders/>
            <w:shd w:fill="CCEDFF" w:val="clear"/>
            <w:tcMar>
              <w:bottom w:w="0" w:type="dxa"/>
            </w:tcMar>
            <w:vAlign w:val="center"/>
          </w:tcPr>
          <w:p>
            <w:pPr>
              <w:pStyle w:val="TableContents"/>
              <w:spacing w:before="0" w:after="283"/>
              <w:jc w:val="right"/>
              <w:rPr/>
            </w:pPr>
            <w:r>
              <w:rPr/>
              <w:t>43,560</w:t>
            </w:r>
          </w:p>
        </w:tc>
        <w:tc>
          <w:tcPr>
            <w:tcW w:w="154"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jc w:val="right"/>
              <w:rPr/>
            </w:pPr>
            <w:r>
              <w:rPr/>
              <w:t>​</w:t>
            </w:r>
          </w:p>
        </w:tc>
        <w:tc>
          <w:tcPr>
            <w:tcW w:w="766" w:type="dxa"/>
            <w:tcBorders/>
            <w:shd w:fill="CCEDFF" w:val="clear"/>
            <w:tcMar>
              <w:bottom w:w="0" w:type="dxa"/>
            </w:tcMar>
            <w:vAlign w:val="center"/>
          </w:tcPr>
          <w:p>
            <w:pPr>
              <w:pStyle w:val="TableContents"/>
              <w:spacing w:before="0" w:after="283"/>
              <w:jc w:val="right"/>
              <w:rPr/>
            </w:pPr>
            <w:r>
              <w:rPr/>
              <w:t>83,560</w:t>
            </w:r>
          </w:p>
        </w:tc>
        <w:tc>
          <w:tcPr>
            <w:tcW w:w="109" w:type="dxa"/>
            <w:tcBorders/>
            <w:shd w:fill="CCEDFF"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00" w:before="54" w:after="0"/>
        <w:ind w:left="2593" w:right="80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Peter Hoang and Juan Vera did not earn compensation during 2019 for their service on the Board of Directors. As a named executive officer, Mr. Hoang’s compensation is fully reflected in the “Summary Compensation Table” above. </w:t>
      </w:r>
      <w:r>
        <mc:AlternateContent>
          <mc:Choice Requires="wps">
            <w:drawing>
              <wp:anchor behindDoc="0" distT="34290" distB="0" distL="508000" distR="0" simplePos="0" locked="0" layoutInCell="1" allowOverlap="1" relativeHeight="93">
                <wp:simplePos x="0" y="0"/>
                <wp:positionH relativeFrom="column">
                  <wp:align>left</wp:align>
                </wp:positionH>
                <wp:positionV relativeFrom="line">
                  <wp:align>top</wp:align>
                </wp:positionV>
                <wp:extent cx="254000" cy="254000"/>
                <wp:effectExtent l="0" t="0" r="0" b="0"/>
                <wp:wrapSquare wrapText="largest"/>
                <wp:docPr id="89" name="Frame8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2.7pt;mso-wrap-distance-bottom:0pt;margin-top:2.7pt;mso-position-vertical:top;mso-position-vertical-relative:text;margin-left:40pt;mso-position-horizontal:left;mso-position-horizontal-relative:text">
                <v:textbox>
                  <w:txbxContent>
                    <w:p>
                      <w:pPr>
                        <w:pStyle w:val="TextBody"/>
                        <w:spacing w:lineRule="atLeast" w:line="200"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104" w:after="0"/>
        <w:ind w:left="2593" w:right="80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do not reflect the amounts actually received by our non-employee directors. Instead, in accordance with SEC rules, these amounts reflect the grant date fair value of each stock option granted to our non-employee directors during the fiscal year ended December 31, 2019, as computed in accordance with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 </w:t>
      </w:r>
      <w:r>
        <mc:AlternateContent>
          <mc:Choice Requires="wps">
            <w:drawing>
              <wp:anchor behindDoc="0" distT="66040" distB="0" distL="508000" distR="0" simplePos="0" locked="0" layoutInCell="1" allowOverlap="1" relativeHeight="94">
                <wp:simplePos x="0" y="0"/>
                <wp:positionH relativeFrom="column">
                  <wp:align>left</wp:align>
                </wp:positionH>
                <wp:positionV relativeFrom="line">
                  <wp:align>top</wp:align>
                </wp:positionV>
                <wp:extent cx="254000" cy="254000"/>
                <wp:effectExtent l="0" t="0" r="0" b="0"/>
                <wp:wrapSquare wrapText="largest"/>
                <wp:docPr id="90" name="Frame8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104" w:after="0"/>
        <w:ind w:left="2593" w:right="80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2019, Messrs. Eansor, Elms, Laskow-Pooley, Wasserman and Wilson each held options to purchase 12,500 shares of our common stock. </w:t>
      </w:r>
      <w:r>
        <mc:AlternateContent>
          <mc:Choice Requires="wps">
            <w:drawing>
              <wp:anchor behindDoc="0" distT="66040" distB="0" distL="508000" distR="0" simplePos="0" locked="0" layoutInCell="1" allowOverlap="1" relativeHeight="95">
                <wp:simplePos x="0" y="0"/>
                <wp:positionH relativeFrom="column">
                  <wp:align>left</wp:align>
                </wp:positionH>
                <wp:positionV relativeFrom="line">
                  <wp:align>top</wp:align>
                </wp:positionV>
                <wp:extent cx="254000" cy="254000"/>
                <wp:effectExtent l="0" t="0" r="0" b="0"/>
                <wp:wrapSquare wrapText="largest"/>
                <wp:docPr id="91" name="Frame8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104" w:after="0"/>
        <w:ind w:left="2593" w:right="80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in this column represent the aggregate grant date fair value of 7,260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 </w:t>
      </w:r>
      <w:r>
        <mc:AlternateContent>
          <mc:Choice Requires="wps">
            <w:drawing>
              <wp:anchor behindDoc="0" distT="66040" distB="0" distL="508000" distR="0" simplePos="0" locked="0" layoutInCell="1" allowOverlap="1" relativeHeight="96">
                <wp:simplePos x="0" y="0"/>
                <wp:positionH relativeFrom="column">
                  <wp:align>left</wp:align>
                </wp:positionH>
                <wp:positionV relativeFrom="line">
                  <wp:align>top</wp:align>
                </wp:positionV>
                <wp:extent cx="254000" cy="254000"/>
                <wp:effectExtent l="0" t="0" r="0" b="0"/>
                <wp:wrapSquare wrapText="largest"/>
                <wp:docPr id="92" name="Frame9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spacing w:lineRule="atLeast" w:line="20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104" w:after="0"/>
        <w:ind w:left="2593" w:right="80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Elms joined the Board of Directors on August 6, 2019 and his cash retainer was prorated for his period of service. </w:t>
      </w:r>
      <w:r>
        <mc:AlternateContent>
          <mc:Choice Requires="wps">
            <w:drawing>
              <wp:anchor behindDoc="0" distT="66040" distB="0" distL="508000" distR="0" simplePos="0" locked="0" layoutInCell="1" allowOverlap="1" relativeHeight="97">
                <wp:simplePos x="0" y="0"/>
                <wp:positionH relativeFrom="column">
                  <wp:align>left</wp:align>
                </wp:positionH>
                <wp:positionV relativeFrom="line">
                  <wp:align>top</wp:align>
                </wp:positionV>
                <wp:extent cx="254000" cy="254000"/>
                <wp:effectExtent l="0" t="0" r="0" b="0"/>
                <wp:wrapSquare wrapText="largest"/>
                <wp:docPr id="93" name="Frame9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spacing w:lineRule="atLeast" w:line="200" w:before="0" w:after="283"/>
                        <w:jc w:val="left"/>
                        <w:rPr>
                          <w:sz w:val="16"/>
                        </w:rPr>
                      </w:pPr>
                      <w:r>
                        <w:rPr>
                          <w:spacing w:val="3"/>
                          <w:sz w:val="16"/>
                        </w:rPr>
                        <w:t>(5)</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Narrative to Director Compensation Table </w:t>
      </w:r>
    </w:p>
    <w:p>
      <w:pPr>
        <w:pStyle w:val="TextBody"/>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 Compensation Program is assessed periodically relative to our comparators by Radford, the Compensation Committee’s independent compensation consultant. The program provides that non-employee directors receive an initial stock option grant to purchase 12,500 shares of our common stock upon joining the Board of Directors and an annual retainer for their service on the Board of Directors, which vests on a monthly basis over a two-year period subject to the non-employee director’s continuous service as of each such vesting date. The annual retainer is composed of a $40,000 cash payment, payable quarterly at the end of each quarter subject to service as a non-employee director as of that date, and $40,000 paid in common stock at the time of our annual stockholder meeting, with the number of shares determined based on the closing price of our common stock on the day before our annual stockholder meeting. In addition, our non-employee directors are entitled to reimbursement of direct expenses incurred in connection with attending meetings of our Board of Directors or committees thereof.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AFI"/>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t>
      </w:r>
      <w:r>
        <w:rPr>
          <w:rFonts w:ascii="Times New Roman;Times;serif" w:hAnsi="Times New Roman;Times;serif"/>
          <w:b/>
          <w:i w:val="false"/>
          <w:caps/>
          <w:color w:val="000000"/>
          <w:spacing w:val="4"/>
          <w:sz w:val="14"/>
        </w:rPr>
        <w:t>ecurities</w:t>
      </w:r>
      <w:r>
        <w:rPr>
          <w:rFonts w:ascii="Times New Roman;Times;serif" w:hAnsi="Times New Roman;Times;serif"/>
          <w:b/>
          <w:i w:val="false"/>
          <w:caps w:val="false"/>
          <w:smallCaps w:val="false"/>
          <w:color w:val="000000"/>
          <w:spacing w:val="4"/>
          <w:sz w:val="20"/>
        </w:rPr>
        <w:t xml:space="preserve"> A</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uthorized</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for</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ssuance</w:t>
      </w:r>
      <w:r>
        <w:rPr>
          <w:rFonts w:ascii="Times New Roman;Times;serif" w:hAnsi="Times New Roman;Times;serif"/>
          <w:b/>
          <w:i w:val="false"/>
          <w:caps w:val="false"/>
          <w:smallCaps w:val="false"/>
          <w:color w:val="000000"/>
          <w:spacing w:val="4"/>
          <w:sz w:val="20"/>
        </w:rPr>
        <w:t xml:space="preserve"> U</w:t>
      </w:r>
      <w:r>
        <w:rPr>
          <w:rFonts w:ascii="Times New Roman;Times;serif" w:hAnsi="Times New Roman;Times;serif"/>
          <w:b/>
          <w:i w:val="false"/>
          <w:caps/>
          <w:color w:val="000000"/>
          <w:spacing w:val="4"/>
          <w:sz w:val="14"/>
        </w:rPr>
        <w:t>nder</w:t>
      </w:r>
      <w:r>
        <w:rPr>
          <w:rFonts w:ascii="Times New Roman;Times;serif" w:hAnsi="Times New Roman;Times;serif"/>
          <w:b/>
          <w:i w:val="false"/>
          <w:caps w:val="false"/>
          <w:smallCaps w:val="false"/>
          <w:color w:val="000000"/>
          <w:spacing w:val="4"/>
          <w:sz w:val="20"/>
        </w:rPr>
        <w:t xml:space="preserve"> E</w:t>
      </w:r>
      <w:r>
        <w:rPr>
          <w:rFonts w:ascii="Times New Roman;Times;serif" w:hAnsi="Times New Roman;Times;serif"/>
          <w:b/>
          <w:i w:val="false"/>
          <w:caps/>
          <w:color w:val="000000"/>
          <w:spacing w:val="4"/>
          <w:sz w:val="14"/>
        </w:rPr>
        <w:t>quity</w:t>
      </w:r>
      <w:r>
        <w:rPr>
          <w:rFonts w:ascii="Times New Roman;Times;serif" w:hAnsi="Times New Roman;Times;serif"/>
          <w:b/>
          <w:i w:val="false"/>
          <w:caps w:val="false"/>
          <w:smallCaps w:val="false"/>
          <w:color w:val="000000"/>
          <w:spacing w:val="4"/>
          <w:sz w:val="20"/>
        </w:rPr>
        <w:t xml:space="preserve"> C</w:t>
      </w:r>
      <w:r>
        <w:rPr>
          <w:rFonts w:ascii="Times New Roman;Times;serif" w:hAnsi="Times New Roman;Times;serif"/>
          <w:b/>
          <w:i w:val="false"/>
          <w:caps/>
          <w:color w:val="000000"/>
          <w:spacing w:val="4"/>
          <w:sz w:val="14"/>
        </w:rPr>
        <w:t>ompensation</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lans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equity compensation plan information as of December 31, 2019. Information is included for equity compensation plans approved by our stockholders. We do not have any equity compensation plans not approved by our stockholders. </w:t>
      </w:r>
    </w:p>
    <w:tbl>
      <w:tblPr>
        <w:tblW w:w="8812" w:type="dxa"/>
        <w:jc w:val="left"/>
        <w:tblInd w:w="1393" w:type="dxa"/>
        <w:tblCellMar>
          <w:top w:w="0" w:type="dxa"/>
          <w:left w:w="0" w:type="dxa"/>
          <w:bottom w:w="42" w:type="dxa"/>
          <w:right w:w="0" w:type="dxa"/>
        </w:tblCellMar>
      </w:tblPr>
      <w:tblGrid>
        <w:gridCol w:w="2749"/>
        <w:gridCol w:w="109"/>
        <w:gridCol w:w="109"/>
        <w:gridCol w:w="1710"/>
        <w:gridCol w:w="109"/>
        <w:gridCol w:w="109"/>
        <w:gridCol w:w="1562"/>
        <w:gridCol w:w="109"/>
        <w:gridCol w:w="109"/>
        <w:gridCol w:w="1980"/>
        <w:gridCol w:w="157"/>
      </w:tblGrid>
      <w:tr>
        <w:trPr/>
        <w:tc>
          <w:tcPr>
            <w:tcW w:w="2749" w:type="dxa"/>
            <w:tcBorders>
              <w:bottom w:val="single" w:sz="2" w:space="0" w:color="000000"/>
            </w:tcBorders>
            <w:shd w:fill="auto" w:val="clear"/>
            <w:vAlign w:val="center"/>
          </w:tcPr>
          <w:p>
            <w:pPr>
              <w:pStyle w:val="TableContents"/>
              <w:spacing w:before="0" w:after="0"/>
              <w:jc w:val="left"/>
              <w:rPr>
                <w:spacing w:val="4"/>
              </w:rPr>
            </w:pPr>
            <w:r>
              <w:rPr>
                <w:spacing w:val="4"/>
              </w:rPr>
              <w:t xml:space="preserve">Plan Category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10" w:type="dxa"/>
            <w:tcBorders>
              <w:bottom w:val="single" w:sz="2" w:space="0" w:color="000000"/>
            </w:tcBorders>
            <w:shd w:fill="auto" w:val="clear"/>
            <w:vAlign w:val="center"/>
          </w:tcPr>
          <w:p>
            <w:pPr>
              <w:pStyle w:val="TableContents"/>
              <w:spacing w:before="0" w:after="0"/>
              <w:jc w:val="center"/>
              <w:rPr/>
            </w:pPr>
            <w:r>
              <w:rPr>
                <w:spacing w:val="4"/>
              </w:rPr>
              <w:t>Number of Securities</w:t>
            </w:r>
            <w:r>
              <w:rPr/>
              <w:t xml:space="preserve"> </w:t>
              <w:br/>
            </w:r>
            <w:r>
              <w:rPr>
                <w:spacing w:val="4"/>
              </w:rPr>
              <w:t>to be Issued Upon</w:t>
            </w:r>
            <w:r>
              <w:rPr/>
              <w:t xml:space="preserve"> </w:t>
              <w:br/>
            </w:r>
            <w:r>
              <w:rPr>
                <w:spacing w:val="4"/>
              </w:rPr>
              <w:t>Exercise of</w:t>
            </w:r>
            <w:r>
              <w:rPr/>
              <w:t xml:space="preserve"> </w:t>
              <w:br/>
            </w:r>
            <w:r>
              <w:rPr>
                <w:spacing w:val="4"/>
              </w:rPr>
              <w:t>Outstanding Options</w:t>
            </w:r>
            <w:r>
              <w:rPr/>
              <w:t xml:space="preserve"> </w:t>
              <w:br/>
            </w:r>
            <w:r>
              <w:rPr>
                <w:spacing w:val="4"/>
              </w:rPr>
              <w:t xml:space="preserve">and Rights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2" w:type="dxa"/>
            <w:tcBorders>
              <w:bottom w:val="single" w:sz="2" w:space="0" w:color="000000"/>
            </w:tcBorders>
            <w:shd w:fill="auto" w:val="clear"/>
            <w:vAlign w:val="center"/>
          </w:tcPr>
          <w:p>
            <w:pPr>
              <w:pStyle w:val="TableContents"/>
              <w:spacing w:before="0" w:after="0"/>
              <w:jc w:val="center"/>
              <w:rPr/>
            </w:pPr>
            <w:r>
              <w:rPr>
                <w:spacing w:val="4"/>
              </w:rPr>
              <w:t>Weighted-</w:t>
            </w:r>
            <w:r>
              <w:rPr/>
              <w:t xml:space="preserve"> </w:t>
              <w:br/>
            </w:r>
            <w:r>
              <w:rPr>
                <w:spacing w:val="4"/>
              </w:rPr>
              <w:t>Average Exercise</w:t>
            </w:r>
            <w:r>
              <w:rPr/>
              <w:t xml:space="preserve"> </w:t>
              <w:br/>
            </w:r>
            <w:r>
              <w:rPr>
                <w:spacing w:val="4"/>
              </w:rPr>
              <w:t>Price of</w:t>
            </w:r>
            <w:r>
              <w:rPr/>
              <w:t xml:space="preserve"> </w:t>
              <w:br/>
            </w:r>
            <w:r>
              <w:rPr>
                <w:spacing w:val="4"/>
              </w:rPr>
              <w:t>Outstanding</w:t>
            </w:r>
            <w:r>
              <w:rPr/>
              <w:t xml:space="preserve"> </w:t>
              <w:br/>
            </w:r>
            <w:r>
              <w:rPr>
                <w:spacing w:val="4"/>
              </w:rPr>
              <w:t>Options and</w:t>
            </w:r>
            <w:r>
              <w:rPr/>
              <w:t xml:space="preserve"> </w:t>
              <w:br/>
            </w:r>
            <w:r>
              <w:rPr>
                <w:spacing w:val="4"/>
              </w:rPr>
              <w:t xml:space="preserve">Rights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80" w:type="dxa"/>
            <w:tcBorders>
              <w:bottom w:val="single" w:sz="2" w:space="0" w:color="000000"/>
            </w:tcBorders>
            <w:shd w:fill="auto" w:val="clear"/>
            <w:vAlign w:val="center"/>
          </w:tcPr>
          <w:p>
            <w:pPr>
              <w:pStyle w:val="TableContents"/>
              <w:spacing w:before="0" w:after="0"/>
              <w:jc w:val="center"/>
              <w:rPr/>
            </w:pPr>
            <w:r>
              <w:rPr>
                <w:spacing w:val="4"/>
              </w:rPr>
              <w:t>Number of Securities</w:t>
            </w:r>
            <w:r>
              <w:rPr/>
              <w:t xml:space="preserve"> </w:t>
              <w:br/>
            </w:r>
            <w:r>
              <w:rPr>
                <w:spacing w:val="4"/>
              </w:rPr>
              <w:t>Remaining Available for</w:t>
            </w:r>
            <w:r>
              <w:rPr/>
              <w:t xml:space="preserve"> </w:t>
              <w:br/>
            </w:r>
            <w:r>
              <w:rPr>
                <w:spacing w:val="4"/>
              </w:rPr>
              <w:t>Future Issuance Under</w:t>
            </w:r>
            <w:r>
              <w:rPr/>
              <w:t xml:space="preserve"> </w:t>
              <w:br/>
            </w:r>
            <w:r>
              <w:rPr>
                <w:spacing w:val="4"/>
              </w:rPr>
              <w:t>Equity Compensation</w:t>
            </w:r>
            <w:r>
              <w:rPr/>
              <w:t xml:space="preserve"> </w:t>
              <w:br/>
            </w:r>
            <w:r>
              <w:rPr>
                <w:spacing w:val="4"/>
              </w:rPr>
              <w:t>Plans (Excluding</w:t>
            </w:r>
            <w:r>
              <w:rPr/>
              <w:t xml:space="preserve"> </w:t>
              <w:br/>
            </w:r>
            <w:r>
              <w:rPr>
                <w:spacing w:val="4"/>
              </w:rPr>
              <w:t>Securities Reflected in</w:t>
            </w:r>
            <w:r>
              <w:rPr/>
              <w:t xml:space="preserve"> </w:t>
              <w:br/>
            </w:r>
            <w:r>
              <w:rPr>
                <w:spacing w:val="4"/>
              </w:rPr>
              <w:t xml:space="preserve">Column (a)) </w:t>
            </w:r>
          </w:p>
        </w:tc>
        <w:tc>
          <w:tcPr>
            <w:tcW w:w="15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749" w:type="dxa"/>
            <w:tcBorders/>
            <w:shd w:fill="CCEDFF" w:val="clear"/>
            <w:tcMar>
              <w:bottom w:w="0" w:type="dxa"/>
            </w:tcMar>
            <w:vAlign w:val="center"/>
          </w:tcPr>
          <w:p>
            <w:pPr>
              <w:pStyle w:val="TableContents"/>
              <w:spacing w:before="0" w:after="0"/>
              <w:ind w:left="200" w:right="0" w:hanging="200"/>
              <w:jc w:val="left"/>
              <w:rPr>
                <w:spacing w:val="4"/>
              </w:rPr>
            </w:pPr>
            <w:r>
              <w:rPr>
                <w:spacing w:val="4"/>
              </w:rPr>
              <w:t xml:space="preserve">Equity plans approved by stockholders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710" w:type="dxa"/>
            <w:tcBorders/>
            <w:shd w:fill="CCEDFF" w:val="clear"/>
            <w:tcMar>
              <w:bottom w:w="0" w:type="dxa"/>
            </w:tcMar>
            <w:vAlign w:val="center"/>
          </w:tcPr>
          <w:p>
            <w:pPr>
              <w:pStyle w:val="TableContents"/>
              <w:spacing w:before="0" w:after="0"/>
              <w:jc w:val="center"/>
              <w:rPr/>
            </w:pPr>
            <w:r>
              <w:rPr>
                <w:spacing w:val="4"/>
              </w:rPr>
              <w:t>4,983,314</w:t>
            </w:r>
            <w:r>
              <w:rPr>
                <w:spacing w:val="3"/>
                <w:sz w:val="15"/>
              </w:rPr>
              <w:t>(1)</w:t>
            </w:r>
            <w:r>
              <w:rPr/>
              <w:t xml:space="preserve">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62" w:type="dxa"/>
            <w:tcBorders/>
            <w:shd w:fill="CCEDFF" w:val="clear"/>
            <w:tcMar>
              <w:bottom w:w="0" w:type="dxa"/>
            </w:tcMar>
            <w:vAlign w:val="center"/>
          </w:tcPr>
          <w:p>
            <w:pPr>
              <w:pStyle w:val="TableContents"/>
              <w:spacing w:before="0" w:after="0"/>
              <w:jc w:val="center"/>
              <w:rPr>
                <w:spacing w:val="4"/>
              </w:rPr>
            </w:pPr>
            <w:r>
              <w:rPr>
                <w:spacing w:val="4"/>
              </w:rPr>
              <w:t xml:space="preserve">$7.79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980" w:type="dxa"/>
            <w:tcBorders/>
            <w:shd w:fill="CCEDFF" w:val="clear"/>
            <w:tcMar>
              <w:bottom w:w="0" w:type="dxa"/>
            </w:tcMar>
            <w:vAlign w:val="center"/>
          </w:tcPr>
          <w:p>
            <w:pPr>
              <w:pStyle w:val="TableContents"/>
              <w:spacing w:before="0" w:after="0"/>
              <w:jc w:val="center"/>
              <w:rPr/>
            </w:pPr>
            <w:r>
              <w:rPr>
                <w:spacing w:val="4"/>
              </w:rPr>
              <w:t>2,533,036</w:t>
            </w:r>
            <w:r>
              <w:rPr>
                <w:spacing w:val="3"/>
                <w:sz w:val="15"/>
              </w:rPr>
              <w:t>(2)</w:t>
            </w:r>
            <w:r>
              <w:rPr/>
              <w:t xml:space="preserve"> </w:t>
            </w:r>
          </w:p>
        </w:tc>
        <w:tc>
          <w:tcPr>
            <w:tcW w:w="157" w:type="dxa"/>
            <w:tcBorders/>
            <w:shd w:fill="auto" w:val="clear"/>
            <w:tcMar>
              <w:bottom w:w="0" w:type="dxa"/>
            </w:tcMar>
            <w:vAlign w:val="center"/>
          </w:tcPr>
          <w:p>
            <w:pPr>
              <w:pStyle w:val="TableContents"/>
              <w:spacing w:before="0" w:after="283"/>
              <w:rPr/>
            </w:pPr>
            <w:r>
              <w:rPr/>
              <w:t>​</w:t>
            </w:r>
          </w:p>
        </w:tc>
      </w:tr>
      <w:tr>
        <w:trPr/>
        <w:tc>
          <w:tcPr>
            <w:tcW w:w="2749"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Equity plans not approved by stockholders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0" w:type="dxa"/>
            <w:tcBorders/>
            <w:shd w:fill="auto" w:val="clear"/>
            <w:tcMar>
              <w:bottom w:w="0" w:type="dxa"/>
            </w:tcMar>
            <w:vAlign w:val="center"/>
          </w:tcPr>
          <w:p>
            <w:pPr>
              <w:pStyle w:val="TableContents"/>
              <w:spacing w:before="0" w:after="0"/>
              <w:jc w:val="center"/>
              <w:rPr/>
            </w:pPr>
            <w:r>
              <w:rPr>
                <w:spacing w:val="4"/>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62" w:type="dxa"/>
            <w:tcBorders/>
            <w:shd w:fill="auto" w:val="clear"/>
            <w:tcMar>
              <w:bottom w:w="0" w:type="dxa"/>
            </w:tcMar>
            <w:vAlign w:val="center"/>
          </w:tcPr>
          <w:p>
            <w:pPr>
              <w:pStyle w:val="TableContents"/>
              <w:spacing w:before="0" w:after="0"/>
              <w:jc w:val="center"/>
              <w:rPr/>
            </w:pPr>
            <w:r>
              <w:rPr>
                <w:spacing w:val="4"/>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0" w:type="dxa"/>
            <w:tcBorders/>
            <w:shd w:fill="auto" w:val="clear"/>
            <w:tcMar>
              <w:bottom w:w="0" w:type="dxa"/>
            </w:tcMar>
            <w:vAlign w:val="center"/>
          </w:tcPr>
          <w:p>
            <w:pPr>
              <w:pStyle w:val="TableContents"/>
              <w:spacing w:before="0" w:after="0"/>
              <w:jc w:val="center"/>
              <w:rPr/>
            </w:pPr>
            <w:r>
              <w:rPr>
                <w:spacing w:val="4"/>
              </w:rPr>
              <w:t>—</w:t>
            </w:r>
            <w:r>
              <w:rPr/>
              <w:t xml:space="preserve"> </w:t>
            </w:r>
          </w:p>
        </w:tc>
        <w:tc>
          <w:tcPr>
            <w:tcW w:w="157" w:type="dxa"/>
            <w:tcBorders/>
            <w:shd w:fill="auto" w:val="clear"/>
            <w:tcMar>
              <w:bottom w:w="0" w:type="dxa"/>
            </w:tcMar>
            <w:vAlign w:val="center"/>
          </w:tcPr>
          <w:p>
            <w:pPr>
              <w:pStyle w:val="TableContents"/>
              <w:spacing w:before="0" w:after="283"/>
              <w:rPr/>
            </w:pPr>
            <w:r>
              <w:rPr/>
              <w:t>​</w:t>
            </w:r>
          </w:p>
        </w:tc>
      </w:tr>
      <w:tr>
        <w:trPr/>
        <w:tc>
          <w:tcPr>
            <w:tcW w:w="2749" w:type="dxa"/>
            <w:tcBorders/>
            <w:shd w:fill="CCEDFF" w:val="clear"/>
            <w:tcMar>
              <w:bottom w:w="0" w:type="dxa"/>
            </w:tcMar>
            <w:vAlign w:val="center"/>
          </w:tcPr>
          <w:p>
            <w:pPr>
              <w:pStyle w:val="TableContents"/>
              <w:spacing w:before="0" w:after="283"/>
              <w:jc w:val="left"/>
              <w:rPr>
                <w:spacing w:val="4"/>
              </w:rPr>
            </w:pPr>
            <w:r>
              <w:rPr>
                <w:spacing w:val="4"/>
              </w:rPr>
              <w:t xml:space="preserve">Total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710" w:type="dxa"/>
            <w:tcBorders/>
            <w:shd w:fill="CCEDFF" w:val="clear"/>
            <w:tcMar>
              <w:bottom w:w="0" w:type="dxa"/>
            </w:tcMar>
            <w:vAlign w:val="center"/>
          </w:tcPr>
          <w:p>
            <w:pPr>
              <w:pStyle w:val="TableContents"/>
              <w:spacing w:before="0" w:after="0"/>
              <w:jc w:val="center"/>
              <w:rPr>
                <w:spacing w:val="4"/>
              </w:rPr>
            </w:pPr>
            <w:r>
              <w:rPr>
                <w:spacing w:val="4"/>
              </w:rPr>
              <w:t xml:space="preserve">4,983,314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562" w:type="dxa"/>
            <w:tcBorders/>
            <w:shd w:fill="CCEDFF" w:val="clear"/>
            <w:tcMar>
              <w:bottom w:w="0" w:type="dxa"/>
            </w:tcMar>
            <w:vAlign w:val="center"/>
          </w:tcPr>
          <w:p>
            <w:pPr>
              <w:pStyle w:val="TableContents"/>
              <w:spacing w:before="0" w:after="0"/>
              <w:jc w:val="center"/>
              <w:rPr>
                <w:spacing w:val="4"/>
              </w:rPr>
            </w:pPr>
            <w:r>
              <w:rPr>
                <w:spacing w:val="4"/>
              </w:rPr>
              <w:t xml:space="preserve">$7.79 </w:t>
            </w:r>
          </w:p>
        </w:tc>
        <w:tc>
          <w:tcPr>
            <w:tcW w:w="109" w:type="dxa"/>
            <w:tcBorders/>
            <w:shd w:fill="CCEDFF" w:val="clear"/>
            <w:tcMar>
              <w:bottom w:w="0" w:type="dxa"/>
            </w:tcMar>
            <w:vAlign w:val="center"/>
          </w:tcPr>
          <w:p>
            <w:pPr>
              <w:pStyle w:val="TableContents"/>
              <w:spacing w:before="0" w:after="283"/>
              <w:rPr/>
            </w:pPr>
            <w:r>
              <w:rPr/>
              <w:t>​</w:t>
            </w:r>
          </w:p>
        </w:tc>
        <w:tc>
          <w:tcPr>
            <w:tcW w:w="109" w:type="dxa"/>
            <w:tcBorders/>
            <w:shd w:fill="CCEDFF" w:val="clear"/>
            <w:tcMar>
              <w:bottom w:w="0" w:type="dxa"/>
            </w:tcMar>
            <w:vAlign w:val="center"/>
          </w:tcPr>
          <w:p>
            <w:pPr>
              <w:pStyle w:val="TableContents"/>
              <w:spacing w:before="0" w:after="283"/>
              <w:rPr/>
            </w:pPr>
            <w:r>
              <w:rPr/>
              <w:t>​</w:t>
            </w:r>
          </w:p>
        </w:tc>
        <w:tc>
          <w:tcPr>
            <w:tcW w:w="1980" w:type="dxa"/>
            <w:tcBorders/>
            <w:shd w:fill="CCEDFF" w:val="clear"/>
            <w:tcMar>
              <w:bottom w:w="0" w:type="dxa"/>
            </w:tcMar>
            <w:vAlign w:val="center"/>
          </w:tcPr>
          <w:p>
            <w:pPr>
              <w:pStyle w:val="TableContents"/>
              <w:spacing w:before="0" w:after="0"/>
              <w:jc w:val="center"/>
              <w:rPr/>
            </w:pPr>
            <w:r>
              <w:rPr>
                <w:spacing w:val="4"/>
              </w:rPr>
              <w:t>2,533,036</w:t>
            </w:r>
            <w:r>
              <w:rPr/>
              <w:t xml:space="preserve"> </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All such shares were granted under our 2009 Incentive Plan or our 2014 Omnibus Stock Ownership Plan. </w:t>
      </w:r>
      <w:r>
        <mc:AlternateContent>
          <mc:Choice Requires="wps">
            <w:drawing>
              <wp:anchor behindDoc="0" distT="50800" distB="0" distL="0" distR="0" simplePos="0" locked="0" layoutInCell="1" allowOverlap="1" relativeHeight="98">
                <wp:simplePos x="0" y="0"/>
                <wp:positionH relativeFrom="column">
                  <wp:align>left</wp:align>
                </wp:positionH>
                <wp:positionV relativeFrom="line">
                  <wp:align>top</wp:align>
                </wp:positionV>
                <wp:extent cx="254000" cy="254000"/>
                <wp:effectExtent l="0" t="0" r="0" b="0"/>
                <wp:wrapSquare wrapText="largest"/>
                <wp:docPr id="94" name="Frame9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b w:val="false"/>
                                <w:sz w:val="16"/>
                              </w:rPr>
                            </w:pPr>
                            <w:r>
                              <w:rPr>
                                <w:b w:val="false"/>
                                <w:spacing w:val="3"/>
                                <w:sz w:val="16"/>
                              </w:rPr>
                              <w:t>(1)</w:t>
                            </w:r>
                            <w:r>
                              <w:rPr>
                                <w:b w:val="false"/>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b w:val="false"/>
                          <w:sz w:val="16"/>
                        </w:rPr>
                      </w:pPr>
                      <w:r>
                        <w:rPr>
                          <w:b w:val="false"/>
                          <w:spacing w:val="3"/>
                          <w:sz w:val="16"/>
                        </w:rPr>
                        <w:t>(1)</w:t>
                      </w:r>
                      <w:r>
                        <w:rPr>
                          <w:b w:val="false"/>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2,533,036 shares of common stock available for issuance under our 2014 Omnibus Stock Ownership Plan. </w:t>
      </w:r>
      <w:r>
        <mc:AlternateContent>
          <mc:Choice Requires="wps">
            <w:drawing>
              <wp:anchor behindDoc="0" distT="50800" distB="0" distL="0" distR="0" simplePos="0" locked="0" layoutInCell="1" allowOverlap="1" relativeHeight="99">
                <wp:simplePos x="0" y="0"/>
                <wp:positionH relativeFrom="column">
                  <wp:align>left</wp:align>
                </wp:positionH>
                <wp:positionV relativeFrom="line">
                  <wp:align>top</wp:align>
                </wp:positionV>
                <wp:extent cx="254000" cy="254000"/>
                <wp:effectExtent l="0" t="0" r="0" b="0"/>
                <wp:wrapSquare wrapText="largest"/>
                <wp:docPr id="95" name="Frame9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b w:val="false"/>
                                <w:sz w:val="16"/>
                              </w:rPr>
                            </w:pPr>
                            <w:r>
                              <w:rPr>
                                <w:b w:val="false"/>
                                <w:spacing w:val="3"/>
                                <w:sz w:val="16"/>
                              </w:rPr>
                              <w:t>(2)</w:t>
                            </w:r>
                            <w:r>
                              <w:rPr>
                                <w:b w:val="false"/>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b w:val="false"/>
                          <w:sz w:val="16"/>
                        </w:rPr>
                      </w:pPr>
                      <w:r>
                        <w:rPr>
                          <w:b w:val="false"/>
                          <w:spacing w:val="3"/>
                          <w:sz w:val="16"/>
                        </w:rPr>
                        <w:t>(2)</w:t>
                      </w:r>
                      <w:r>
                        <w:rPr>
                          <w:b w:val="false"/>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TWRP"/>
      <w:bookmarkEnd w:id="1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t>
      </w:r>
      <w:r>
        <w:rPr>
          <w:rFonts w:ascii="Times New Roman;Times;serif" w:hAnsi="Times New Roman;Times;serif"/>
          <w:b/>
          <w:i w:val="false"/>
          <w:caps/>
          <w:color w:val="000000"/>
          <w:spacing w:val="4"/>
          <w:sz w:val="14"/>
        </w:rPr>
        <w:t>ransactions</w:t>
      </w:r>
      <w:r>
        <w:rPr>
          <w:rFonts w:ascii="Times New Roman;Times;serif" w:hAnsi="Times New Roman;Times;serif"/>
          <w:b/>
          <w:i w:val="false"/>
          <w:caps w:val="false"/>
          <w:smallCaps w:val="false"/>
          <w:color w:val="000000"/>
          <w:spacing w:val="4"/>
          <w:sz w:val="20"/>
        </w:rPr>
        <w:t xml:space="preserve"> W</w:t>
      </w:r>
      <w:r>
        <w:rPr>
          <w:rFonts w:ascii="Times New Roman;Times;serif" w:hAnsi="Times New Roman;Times;serif"/>
          <w:b/>
          <w:i w:val="false"/>
          <w:caps/>
          <w:color w:val="000000"/>
          <w:spacing w:val="4"/>
          <w:sz w:val="14"/>
        </w:rPr>
        <w:t>ith</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elated</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ersons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color w:val="000000"/>
          <w:spacing w:val="4"/>
          <w:sz w:val="14"/>
        </w:rPr>
        <w:t>ndemnification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w:t>
      </w:r>
      <w:r>
        <w:rPr>
          <w:rFonts w:ascii="Times New Roman;Times;serif" w:hAnsi="Times New Roman;Times;serif"/>
          <w:b/>
          <w:i w:val="false"/>
          <w:caps/>
          <w:color w:val="000000"/>
          <w:spacing w:val="4"/>
          <w:sz w:val="14"/>
        </w:rPr>
        <w:t>elated</w:t>
      </w: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color w:val="000000"/>
          <w:spacing w:val="4"/>
          <w:sz w:val="14"/>
        </w:rPr>
        <w:t>erson</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color w:val="000000"/>
          <w:spacing w:val="4"/>
          <w:sz w:val="14"/>
        </w:rPr>
        <w:t>ransactions</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olicy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rocedures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shareholder of the Company, including any of their immediate family members, and any entity owned or controlled by such persons. </w:t>
      </w:r>
    </w:p>
    <w:p>
      <w:pPr>
        <w:pStyle w:val="TextBody"/>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color w:val="000000"/>
          <w:spacing w:val="4"/>
          <w:sz w:val="14"/>
        </w:rPr>
        <w:t>ertain</w:t>
      </w:r>
      <w:r>
        <w:rPr>
          <w:rFonts w:ascii="Times New Roman;Times;serif" w:hAnsi="Times New Roman;Times;serif"/>
          <w:b/>
          <w:i w:val="false"/>
          <w:caps w:val="false"/>
          <w:smallCaps w:val="false"/>
          <w:color w:val="000000"/>
          <w:spacing w:val="4"/>
          <w:sz w:val="20"/>
        </w:rPr>
        <w:t xml:space="preserve"> R</w:t>
      </w:r>
      <w:r>
        <w:rPr>
          <w:rFonts w:ascii="Times New Roman;Times;serif" w:hAnsi="Times New Roman;Times;serif"/>
          <w:b/>
          <w:i w:val="false"/>
          <w:caps/>
          <w:color w:val="000000"/>
          <w:spacing w:val="4"/>
          <w:sz w:val="14"/>
        </w:rPr>
        <w:t>elated</w:t>
      </w: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color w:val="000000"/>
          <w:spacing w:val="4"/>
          <w:sz w:val="14"/>
        </w:rPr>
        <w:t>erson</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color w:val="000000"/>
          <w:spacing w:val="4"/>
          <w:sz w:val="14"/>
        </w:rPr>
        <w: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includes a summary of transactions since January 1, 2018 to which we have been a party, in which the amount involved in the transaction exceeded the lesser of one percent of our average total assets at year 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Merger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17, 2018, the Company completed its merger with Marker Cell Therapy, Inc., formerly known as Marker Therapeutics, Inc., a privately-held Delaware corporation (“Marker Cell”), in accordance with the terms of an agreement and plan of merger and reorganization dated as of May 15, 2018 (the “Merger Agreement”) by and among the Company, Timberwolf Merger Sub, Inc., a Delaware corporation and wholly owned subsidiary of the Company (“Merger Sub”), and Marker Cell. On October 17, 2018, pursuant to the Merger Agreement, Merger Sub was merged with and into Marker Cell, with Marker Cell being the surviving corporation and becoming a wholly-owned subsidiary of the company. In connection with the Merger Agreement, the Company changed its name to Marker Therapeutics, Inc. and Marker Cell changed its name to Marker Cell Therapy, Inc. At the effective time of the merger, the former Marker Cell stockholders received (i) an aggregate of 13,914,255 shares of the Company’s common stock, which equaled the number of shares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3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issued and outstanding immediately prior to the effective time of the Merger Agreement, and (ii) warrants to purchase an aggregate of 5,046,003 shares of the Company’s common stock, which equaled the number of the Company’s warrants and stock options issued and outstanding immediately prior to the effective time of the Merger Agreement (the “Merger Consideration”).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former Marker Cell stockholders Mr. Wilson, a director of the Company, Dr. Vera, the Company’s Chief Development Officer and a director of the Company, and Dr. Leen, a holder of greater than 5% of the common stock of the Company, each received a portion of the Merger Consideration described above as follows: Mr. Wilson received 6,060,783 shares of the Company’s common stock and warrants to purchase 2,197,944 shares of the Company’s common stock and Dr. Vera and Dr. Leen each received 1,993,059 shares of the Company’s common stock and warrants to purchase 722,783 shares of the Company’s common stock.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Consulting Agreement with Dr. Ann Leen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2018, we entered into a consulting agreement with Dr. Ann Leen, a holder of greater than 5% of the common stock of the Company, to serve as our Chief Scientific Officer, pursuant to which she received $60,576 and $350,000 in compensation in 2018 and 2019, respectively. In October 2018, Dr. Leen received a stock option grant award to purchase 500,000 shares of our common stock, with a grant date fair value of $4,585,000.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Indemnification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HOPM"/>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ouseholding</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color w:val="000000"/>
          <w:spacing w:val="4"/>
          <w:sz w:val="14"/>
        </w:rPr>
        <w:t>roxy</w:t>
      </w:r>
      <w:r>
        <w:rPr>
          <w:rFonts w:ascii="Times New Roman;Times;serif" w:hAnsi="Times New Roman;Times;serif"/>
          <w:b/>
          <w:i w:val="false"/>
          <w:caps w:val="false"/>
          <w:smallCaps w:val="false"/>
          <w:color w:val="000000"/>
          <w:spacing w:val="4"/>
          <w:sz w:val="20"/>
        </w:rPr>
        <w:t xml:space="preserve"> M</w:t>
      </w:r>
      <w:r>
        <w:rPr>
          <w:rFonts w:ascii="Times New Roman;Times;serif" w:hAnsi="Times New Roman;Times;serif"/>
          <w:b/>
          <w:i w:val="false"/>
          <w:caps/>
          <w:color w:val="000000"/>
          <w:spacing w:val="4"/>
          <w:sz w:val="14"/>
        </w:rPr>
        <w:t>aterials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3200 Southwest Freeway, Suite 2240, Houston, Texas 77027</w:t>
      </w:r>
      <w:r>
        <w:rPr>
          <w:rFonts w:ascii="Times New Roman;Times;serif" w:hAnsi="Times New Roman;Times;serif"/>
          <w:b w:val="false"/>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Stockholders who currently receive multiple copies of the Notices of Internet Availability of Proxy Materials at their addresses and would like to request “householding” of their communications should contact their brokers.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TMA"/>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3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t>
      </w:r>
      <w:r>
        <w:rPr>
          <w:rFonts w:ascii="Times New Roman;Times;serif" w:hAnsi="Times New Roman;Times;serif"/>
          <w:b/>
          <w:i w:val="false"/>
          <w:caps/>
          <w:color w:val="000000"/>
          <w:spacing w:val="4"/>
          <w:sz w:val="14"/>
        </w:rPr>
        <w:t>ther</w:t>
      </w:r>
      <w:r>
        <w:rPr>
          <w:rFonts w:ascii="Times New Roman;Times;serif" w:hAnsi="Times New Roman;Times;serif"/>
          <w:b/>
          <w:i w:val="false"/>
          <w:caps w:val="false"/>
          <w:smallCaps w:val="false"/>
          <w:color w:val="000000"/>
          <w:spacing w:val="4"/>
          <w:sz w:val="20"/>
        </w:rPr>
        <w:t xml:space="preserve"> M</w:t>
      </w:r>
      <w:r>
        <w:rPr>
          <w:rFonts w:ascii="Times New Roman;Times;serif" w:hAnsi="Times New Roman;Times;serif"/>
          <w:b/>
          <w:i w:val="false"/>
          <w:caps/>
          <w:color w:val="000000"/>
          <w:spacing w:val="4"/>
          <w:sz w:val="14"/>
        </w:rPr>
        <w:t>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spacing w:lineRule="atLeast" w:line="240" w:before="160" w:after="283"/>
        <w:ind w:left="6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spacing w:before="40" w:after="283"/>
        <w:ind w:left="6593" w:right="0" w:hanging="0"/>
        <w:rPr>
          <w:caps w:val="false"/>
          <w:smallCaps w:val="false"/>
          <w:color w:val="000000"/>
        </w:rPr>
      </w:pPr>
      <w:r>
        <w:rPr>
          <w:caps w:val="false"/>
          <w:smallCaps w:val="false"/>
          <w:color w:val="000000"/>
        </w:rPr>
        <w:drawing>
          <wp:inline distT="0" distB="0" distL="0" distR="0">
            <wp:extent cx="904875" cy="409575"/>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4"/>
                    <a:stretch>
                      <a:fillRect/>
                    </a:stretch>
                  </pic:blipFill>
                  <pic:spPr bwMode="auto">
                    <a:xfrm>
                      <a:off x="0" y="0"/>
                      <a:ext cx="904875" cy="40957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65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J. Loiacono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April 17, 2020 </w:t>
      </w:r>
    </w:p>
    <w:p>
      <w:pPr>
        <w:pStyle w:val="TextBody"/>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the Company’s Annual Report to the Securities and Exchange Commission on Form 10-K for the fiscal year ended December 31, 2019 is available without charge upon written request to Marker Therapeutics, Inc., Attention: Corporate Secretary, Marker Therapeutics, Inc., 3200 Southwest Freeway, Suite 2240, Houston, Texas 77027.</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PPA"/>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40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z w:val="20"/>
        </w:rPr>
        <w:t>​</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w:t>
      </w:r>
      <w:r>
        <w:rPr>
          <w:rFonts w:ascii="Times New Roman;Times;serif" w:hAnsi="Times New Roman;Times;serif"/>
          <w:b/>
          <w:i w:val="false"/>
          <w:caps w:val="false"/>
          <w:smallCaps w:val="false"/>
          <w:color w:val="000000"/>
          <w:spacing w:val="3"/>
          <w:sz w:val="16"/>
        </w:rPr>
        <w:t>ARKER</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3"/>
          <w:sz w:val="16"/>
        </w:rPr>
        <w:t>HERAPEUTICS</w:t>
      </w:r>
      <w:r>
        <w:rPr>
          <w:rFonts w:ascii="Times New Roman;Times;serif" w:hAnsi="Times New Roman;Times;serif"/>
          <w:b/>
          <w:i w:val="false"/>
          <w:caps w:val="false"/>
          <w:smallCaps w:val="false"/>
          <w:color w:val="000000"/>
          <w:spacing w:val="4"/>
          <w:sz w:val="20"/>
        </w:rPr>
        <w:t>, I</w:t>
      </w:r>
      <w:r>
        <w:rPr>
          <w:rFonts w:ascii="Times New Roman;Times;serif" w:hAnsi="Times New Roman;Times;serif"/>
          <w:b/>
          <w:i w:val="false"/>
          <w:caps w:val="false"/>
          <w:smallCaps w:val="false"/>
          <w:color w:val="000000"/>
          <w:spacing w:val="3"/>
          <w:sz w:val="16"/>
        </w:rPr>
        <w:t>NC</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2020 E</w:t>
      </w:r>
      <w:r>
        <w:rPr>
          <w:rFonts w:ascii="Times New Roman;Times;serif" w:hAnsi="Times New Roman;Times;serif"/>
          <w:b/>
          <w:i w:val="false"/>
          <w:caps w:val="false"/>
          <w:smallCaps w:val="false"/>
          <w:color w:val="000000"/>
          <w:spacing w:val="3"/>
          <w:sz w:val="16"/>
        </w:rPr>
        <w:t>QUITY</w:t>
      </w:r>
      <w:r>
        <w:rPr>
          <w:rFonts w:ascii="Times New Roman;Times;serif" w:hAnsi="Times New Roman;Times;serif"/>
          <w:b/>
          <w:i w:val="false"/>
          <w:caps w:val="false"/>
          <w:smallCaps w:val="false"/>
          <w:color w:val="000000"/>
          <w:spacing w:val="4"/>
          <w:sz w:val="20"/>
        </w:rPr>
        <w:t xml:space="preserve"> I</w:t>
      </w:r>
      <w:r>
        <w:rPr>
          <w:rFonts w:ascii="Times New Roman;Times;serif" w:hAnsi="Times New Roman;Times;serif"/>
          <w:b/>
          <w:i w:val="false"/>
          <w:caps w:val="false"/>
          <w:smallCaps w:val="false"/>
          <w:color w:val="000000"/>
          <w:spacing w:val="3"/>
          <w:sz w:val="16"/>
        </w:rPr>
        <w:t>NCENTIVE</w:t>
      </w:r>
      <w:r>
        <w:rPr>
          <w:rFonts w:ascii="Times New Roman;Times;serif" w:hAnsi="Times New Roman;Times;serif"/>
          <w:b/>
          <w:i w:val="false"/>
          <w:caps w:val="false"/>
          <w:smallCaps w:val="false"/>
          <w:color w:val="000000"/>
          <w:spacing w:val="4"/>
          <w:sz w:val="20"/>
        </w:rPr>
        <w:t xml:space="preserve"> P</w:t>
      </w:r>
      <w:r>
        <w:rPr>
          <w:rFonts w:ascii="Times New Roman;Times;serif" w:hAnsi="Times New Roman;Times;serif"/>
          <w:b/>
          <w:i w:val="false"/>
          <w:caps w:val="false"/>
          <w:smallCaps w:val="false"/>
          <w:color w:val="000000"/>
          <w:spacing w:val="3"/>
          <w:sz w:val="16"/>
        </w:rPr>
        <w:t>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i w:val="false"/>
          <w:caps w:val="false"/>
          <w:smallCaps w:val="false"/>
          <w:color w:val="000000"/>
          <w:spacing w:val="3"/>
          <w:sz w:val="16"/>
        </w:rPr>
        <w:t>DOPTED BY THE</w:t>
      </w:r>
      <w:r>
        <w:rPr>
          <w:rFonts w:ascii="Times New Roman;Times;serif" w:hAnsi="Times New Roman;Times;serif"/>
          <w:b/>
          <w:i w:val="false"/>
          <w:caps w:val="false"/>
          <w:smallCaps w:val="false"/>
          <w:color w:val="000000"/>
          <w:spacing w:val="4"/>
          <w:sz w:val="20"/>
        </w:rPr>
        <w:t xml:space="preserve"> B</w:t>
      </w:r>
      <w:r>
        <w:rPr>
          <w:rFonts w:ascii="Times New Roman;Times;serif" w:hAnsi="Times New Roman;Times;serif"/>
          <w:b/>
          <w:i w:val="false"/>
          <w:caps w:val="false"/>
          <w:smallCaps w:val="false"/>
          <w:color w:val="000000"/>
          <w:spacing w:val="3"/>
          <w:sz w:val="16"/>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3"/>
          <w:sz w:val="16"/>
        </w:rPr>
        <w:t>IRECTORS</w:t>
      </w:r>
      <w:r>
        <w:rPr>
          <w:rFonts w:ascii="Times New Roman;Times;serif" w:hAnsi="Times New Roman;Times;serif"/>
          <w:b/>
          <w:i w:val="false"/>
          <w:caps w:val="false"/>
          <w:smallCaps w:val="false"/>
          <w:color w:val="000000"/>
          <w:spacing w:val="4"/>
          <w:sz w:val="20"/>
        </w:rPr>
        <w:t>: A</w:t>
      </w:r>
      <w:r>
        <w:rPr>
          <w:rFonts w:ascii="Times New Roman;Times;serif" w:hAnsi="Times New Roman;Times;serif"/>
          <w:b/>
          <w:i w:val="false"/>
          <w:caps w:val="false"/>
          <w:smallCaps w:val="false"/>
          <w:color w:val="000000"/>
          <w:spacing w:val="3"/>
          <w:sz w:val="16"/>
        </w:rPr>
        <w:t>PRIL</w:t>
      </w:r>
      <w:r>
        <w:rPr>
          <w:rFonts w:ascii="Times New Roman;Times;serif" w:hAnsi="Times New Roman;Times;serif"/>
          <w:b/>
          <w:i w:val="false"/>
          <w:caps w:val="false"/>
          <w:smallCaps w:val="false"/>
          <w:color w:val="000000"/>
          <w:spacing w:val="4"/>
          <w:sz w:val="20"/>
        </w:rPr>
        <w:t xml:space="preserve"> 14, 2020 </w:t>
      </w:r>
    </w:p>
    <w:p>
      <w:pPr>
        <w:pStyle w:val="TextBody"/>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i w:val="false"/>
          <w:caps w:val="false"/>
          <w:smallCaps w:val="false"/>
          <w:color w:val="000000"/>
          <w:spacing w:val="3"/>
          <w:sz w:val="16"/>
        </w:rPr>
        <w:t>PPROVED BY THE</w:t>
      </w:r>
      <w:r>
        <w:rPr>
          <w:rFonts w:ascii="Times New Roman;Times;serif" w:hAnsi="Times New Roman;Times;serif"/>
          <w:b/>
          <w:i w:val="false"/>
          <w:caps w:val="false"/>
          <w:smallCaps w:val="false"/>
          <w:color w:val="000000"/>
          <w:spacing w:val="4"/>
          <w:sz w:val="20"/>
        </w:rPr>
        <w:t xml:space="preserve"> S</w:t>
      </w:r>
      <w:r>
        <w:rPr>
          <w:rFonts w:ascii="Times New Roman;Times;serif" w:hAnsi="Times New Roman;Times;serif"/>
          <w:b/>
          <w:i w:val="false"/>
          <w:caps w:val="false"/>
          <w:smallCaps w:val="false"/>
          <w:color w:val="000000"/>
          <w:spacing w:val="3"/>
          <w:sz w:val="16"/>
        </w:rPr>
        <w:t>TOCKHOLDERS</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u w:val="single"/>
        </w:rPr>
        <w:t>             </w:t>
      </w:r>
      <w:r>
        <w:rPr>
          <w:rFonts w:ascii="Times New Roman;Times;serif" w:hAnsi="Times New Roman;Times;serif"/>
          <w:b/>
          <w:i w:val="false"/>
          <w:caps w:val="false"/>
          <w:smallCaps w:val="false"/>
          <w:color w:val="000000"/>
          <w:spacing w:val="4"/>
          <w:sz w:val="20"/>
        </w:rPr>
        <w:t>], 2020</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2"/>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7820"/>
        <w:gridCol w:w="109"/>
        <w:gridCol w:w="109"/>
        <w:gridCol w:w="619"/>
        <w:gridCol w:w="155"/>
      </w:tblGrid>
      <w:tr>
        <w:trPr/>
        <w:tc>
          <w:tcPr>
            <w:tcW w:w="782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center"/>
              <w:rPr>
                <w:spacing w:val="3"/>
              </w:rPr>
            </w:pPr>
            <w:r>
              <w:rPr>
                <w:spacing w:val="3"/>
              </w:rPr>
              <w:t xml:space="preserve">Page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1GE">
              <w:r>
                <w:rPr>
                  <w:rStyle w:val="InternetLink"/>
                  <w:caps/>
                  <w:spacing w:val="4"/>
                </w:rPr>
                <w:t>GENERAL.</w:t>
              </w:r>
            </w:hyperlink>
            <w:hyperlink w:anchor="t1GE">
              <w:r>
                <w:rPr>
                  <w:rStyle w:val="InternetLink"/>
                </w:rPr>
                <w:t xml:space="preserve"> </w:t>
              </w:r>
            </w:hyperlink>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31800" cy="350520"/>
                      <wp:effectExtent l="0" t="0" r="0" b="0"/>
                      <wp:wrapSquare wrapText="largest"/>
                      <wp:docPr id="97" name="Frame94"/>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1GE">
                                    <w:r>
                                      <w:rPr>
                                        <w:rStyle w:val="InternetLink"/>
                                        <w:spacing w:val="4"/>
                                      </w:rPr>
                                      <w:t>1.</w:t>
                                    </w:r>
                                  </w:hyperlink>
                                  <w:hyperlink w:anchor="t1G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1GE">
                              <w:r>
                                <w:rPr>
                                  <w:rStyle w:val="InternetLink"/>
                                  <w:spacing w:val="4"/>
                                </w:rPr>
                                <w:t>1.</w:t>
                              </w:r>
                            </w:hyperlink>
                            <w:hyperlink w:anchor="t1GE">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1GE">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1GE">
              <w:r>
                <w:rPr>
                  <w:rStyle w:val="InternetLink"/>
                  <w:spacing w:val="4"/>
                </w:rPr>
                <w:t>1</w:t>
              </w:r>
            </w:hyperlink>
            <w:hyperlink w:anchor="t1GE">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hyperlink w:anchor="t2STT">
              <w:r>
                <w:rPr>
                  <w:rStyle w:val="InternetLink"/>
                  <w:caps/>
                  <w:spacing w:val="4"/>
                </w:rPr>
                <w:t>SHARES SUBJECT TO THE PLAN.</w:t>
              </w:r>
            </w:hyperlink>
            <w:hyperlink w:anchor="t2STT">
              <w:r>
                <w:rPr>
                  <w:rStyle w:val="InternetLink"/>
                </w:rPr>
                <w:t xml:space="preserve"> </w:t>
              </w:r>
            </w:hyperlink>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31800" cy="350520"/>
                      <wp:effectExtent l="0" t="0" r="0" b="0"/>
                      <wp:wrapSquare wrapText="largest"/>
                      <wp:docPr id="98" name="Frame95"/>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2STT">
                                    <w:r>
                                      <w:rPr>
                                        <w:rStyle w:val="InternetLink"/>
                                        <w:spacing w:val="4"/>
                                      </w:rPr>
                                      <w:t>2.</w:t>
                                    </w:r>
                                  </w:hyperlink>
                                  <w:hyperlink w:anchor="t2S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2STT">
                              <w:r>
                                <w:rPr>
                                  <w:rStyle w:val="InternetLink"/>
                                  <w:spacing w:val="4"/>
                                </w:rPr>
                                <w:t>2.</w:t>
                              </w:r>
                            </w:hyperlink>
                            <w:hyperlink w:anchor="t2STT">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2STT">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2STT">
              <w:r>
                <w:rPr>
                  <w:rStyle w:val="InternetLink"/>
                  <w:spacing w:val="4"/>
                </w:rPr>
                <w:t>1</w:t>
              </w:r>
            </w:hyperlink>
            <w:hyperlink w:anchor="t2STT">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3AL">
              <w:r>
                <w:rPr>
                  <w:rStyle w:val="InternetLink"/>
                  <w:caps/>
                  <w:spacing w:val="4"/>
                </w:rPr>
                <w:t>ELIGIBILITY AND LIMITATIONS.</w:t>
              </w:r>
            </w:hyperlink>
            <w:hyperlink w:anchor="t3AL">
              <w:r>
                <w:rPr>
                  <w:rStyle w:val="InternetLink"/>
                </w:rPr>
                <w:t xml:space="preserve"> </w:t>
              </w:r>
            </w:hyperlink>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31800" cy="350520"/>
                      <wp:effectExtent l="0" t="0" r="0" b="0"/>
                      <wp:wrapSquare wrapText="largest"/>
                      <wp:docPr id="99" name="Frame96"/>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3AL">
                                    <w:r>
                                      <w:rPr>
                                        <w:rStyle w:val="InternetLink"/>
                                        <w:spacing w:val="4"/>
                                      </w:rPr>
                                      <w:t>3.</w:t>
                                    </w:r>
                                  </w:hyperlink>
                                  <w:hyperlink w:anchor="t3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3AL">
                              <w:r>
                                <w:rPr>
                                  <w:rStyle w:val="InternetLink"/>
                                  <w:spacing w:val="4"/>
                                </w:rPr>
                                <w:t>3.</w:t>
                              </w:r>
                            </w:hyperlink>
                            <w:hyperlink w:anchor="t3AL">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3AL">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3AL">
              <w:r>
                <w:rPr>
                  <w:rStyle w:val="InternetLink"/>
                  <w:spacing w:val="4"/>
                </w:rPr>
                <w:t>2</w:t>
              </w:r>
            </w:hyperlink>
            <w:hyperlink w:anchor="t3AL">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hyperlink w:anchor="t4ASA">
              <w:r>
                <w:rPr>
                  <w:rStyle w:val="InternetLink"/>
                  <w:caps/>
                  <w:spacing w:val="4"/>
                </w:rPr>
                <w:t>OPTIONS AND STOCK APPRECIATION RIGHTS.</w:t>
              </w:r>
            </w:hyperlink>
            <w:hyperlink w:anchor="t4ASA">
              <w:r>
                <w:rPr>
                  <w:rStyle w:val="InternetLink"/>
                </w:rPr>
                <w:t xml:space="preserve"> </w:t>
              </w:r>
            </w:hyperlink>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31800" cy="350520"/>
                      <wp:effectExtent l="0" t="0" r="0" b="0"/>
                      <wp:wrapSquare wrapText="largest"/>
                      <wp:docPr id="100" name="Frame97"/>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4ASA">
                                    <w:r>
                                      <w:rPr>
                                        <w:rStyle w:val="InternetLink"/>
                                        <w:spacing w:val="4"/>
                                      </w:rPr>
                                      <w:t>4.</w:t>
                                    </w:r>
                                  </w:hyperlink>
                                  <w:hyperlink w:anchor="t4A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4ASA">
                              <w:r>
                                <w:rPr>
                                  <w:rStyle w:val="InternetLink"/>
                                  <w:spacing w:val="4"/>
                                </w:rPr>
                                <w:t>4.</w:t>
                              </w:r>
                            </w:hyperlink>
                            <w:hyperlink w:anchor="t4ASA">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4ASA">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4ASA">
              <w:r>
                <w:rPr>
                  <w:rStyle w:val="InternetLink"/>
                  <w:spacing w:val="4"/>
                </w:rPr>
                <w:t>3</w:t>
              </w:r>
            </w:hyperlink>
            <w:hyperlink w:anchor="t4ASA">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5OTO">
              <w:r>
                <w:rPr>
                  <w:rStyle w:val="InternetLink"/>
                  <w:caps/>
                  <w:spacing w:val="4"/>
                </w:rPr>
                <w:t>AWARDS OTHER THAN OPTIONS AND STOCK APPRECIATION RIGHTS.</w:t>
              </w:r>
            </w:hyperlink>
            <w:hyperlink w:anchor="t5OTO">
              <w:r>
                <w:rPr>
                  <w:rStyle w:val="InternetLink"/>
                </w:rPr>
                <w:t xml:space="preserve"> </w:t>
              </w:r>
            </w:hyperlink>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31800" cy="350520"/>
                      <wp:effectExtent l="0" t="0" r="0" b="0"/>
                      <wp:wrapSquare wrapText="largest"/>
                      <wp:docPr id="101" name="Frame98"/>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5OTO">
                                    <w:r>
                                      <w:rPr>
                                        <w:rStyle w:val="InternetLink"/>
                                        <w:spacing w:val="4"/>
                                      </w:rPr>
                                      <w:t>5.</w:t>
                                    </w:r>
                                  </w:hyperlink>
                                  <w:hyperlink w:anchor="t5O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5OTO">
                              <w:r>
                                <w:rPr>
                                  <w:rStyle w:val="InternetLink"/>
                                  <w:spacing w:val="4"/>
                                </w:rPr>
                                <w:t>5.</w:t>
                              </w:r>
                            </w:hyperlink>
                            <w:hyperlink w:anchor="t5OTO">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5OTO">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5OTO">
              <w:r>
                <w:rPr>
                  <w:rStyle w:val="InternetLink"/>
                  <w:spacing w:val="4"/>
                </w:rPr>
                <w:t>6</w:t>
              </w:r>
            </w:hyperlink>
            <w:hyperlink w:anchor="t5OTO">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40" w:before="0" w:after="0"/>
              <w:ind w:left="680" w:right="0" w:hanging="0"/>
              <w:jc w:val="left"/>
              <w:rPr/>
            </w:pPr>
            <w:hyperlink w:anchor="t6UCI">
              <w:r>
                <w:rPr>
                  <w:rStyle w:val="InternetLink"/>
                  <w:caps/>
                  <w:spacing w:val="4"/>
                </w:rPr>
                <w:t>ADJUSTMENTS UPON CHANGES IN COMMON STOCK; OTHER CORPORATE EVENTS.</w:t>
              </w:r>
            </w:hyperlink>
            <w:hyperlink w:anchor="t6UCI">
              <w:r>
                <w:rPr>
                  <w:rStyle w:val="InternetLink"/>
                </w:rPr>
                <w:t xml:space="preserve"> </w:t>
              </w:r>
            </w:hyperlink>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31800" cy="350520"/>
                      <wp:effectExtent l="0" t="0" r="0" b="0"/>
                      <wp:wrapSquare wrapText="largest"/>
                      <wp:docPr id="102" name="Frame99"/>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40" w:before="0" w:after="283"/>
                                    <w:jc w:val="left"/>
                                    <w:rPr/>
                                  </w:pPr>
                                  <w:hyperlink w:anchor="t6UCI">
                                    <w:r>
                                      <w:rPr>
                                        <w:rStyle w:val="InternetLink"/>
                                        <w:spacing w:val="4"/>
                                      </w:rPr>
                                      <w:t>6.</w:t>
                                    </w:r>
                                  </w:hyperlink>
                                  <w:hyperlink w:anchor="t6U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hyperlink w:anchor="t6UCI">
                              <w:r>
                                <w:rPr>
                                  <w:rStyle w:val="InternetLink"/>
                                  <w:spacing w:val="4"/>
                                </w:rPr>
                                <w:t>6.</w:t>
                              </w:r>
                            </w:hyperlink>
                            <w:hyperlink w:anchor="t6UCI">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6UCI">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6UCI">
              <w:r>
                <w:rPr>
                  <w:rStyle w:val="InternetLink"/>
                  <w:spacing w:val="4"/>
                </w:rPr>
                <w:t>7</w:t>
              </w:r>
            </w:hyperlink>
            <w:hyperlink w:anchor="t6UCI">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7AD">
              <w:r>
                <w:rPr>
                  <w:rStyle w:val="InternetLink"/>
                  <w:caps/>
                  <w:spacing w:val="4"/>
                </w:rPr>
                <w:t>ADMINISTRATION.</w:t>
              </w:r>
            </w:hyperlink>
            <w:hyperlink w:anchor="t7AD">
              <w:r>
                <w:rPr>
                  <w:rStyle w:val="InternetLink"/>
                </w:rPr>
                <w:t xml:space="preserve"> </w:t>
              </w:r>
            </w:hyperlink>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31800" cy="350520"/>
                      <wp:effectExtent l="0" t="0" r="0" b="0"/>
                      <wp:wrapSquare wrapText="largest"/>
                      <wp:docPr id="103" name="Frame100"/>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7AD">
                                    <w:r>
                                      <w:rPr>
                                        <w:rStyle w:val="InternetLink"/>
                                        <w:spacing w:val="4"/>
                                      </w:rPr>
                                      <w:t>7.</w:t>
                                    </w:r>
                                  </w:hyperlink>
                                  <w:hyperlink w:anchor="t7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7AD">
                              <w:r>
                                <w:rPr>
                                  <w:rStyle w:val="InternetLink"/>
                                  <w:spacing w:val="4"/>
                                </w:rPr>
                                <w:t>7.</w:t>
                              </w:r>
                            </w:hyperlink>
                            <w:hyperlink w:anchor="t7AD">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7AD">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7AD">
              <w:r>
                <w:rPr>
                  <w:rStyle w:val="InternetLink"/>
                  <w:spacing w:val="4"/>
                </w:rPr>
                <w:t>9</w:t>
              </w:r>
            </w:hyperlink>
            <w:hyperlink w:anchor="t7AD">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hyperlink w:anchor="t8TWI">
              <w:r>
                <w:rPr>
                  <w:rStyle w:val="InternetLink"/>
                  <w:caps/>
                  <w:spacing w:val="4"/>
                </w:rPr>
                <w:t>TAX WITHHOLDING</w:t>
              </w:r>
            </w:hyperlink>
            <w:hyperlink w:anchor="t8TWI">
              <w:r>
                <w:rPr>
                  <w:rStyle w:val="InternetLink"/>
                </w:rPr>
                <w:t xml:space="preserve"> </w:t>
              </w:r>
            </w:hyperlink>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31800" cy="350520"/>
                      <wp:effectExtent l="0" t="0" r="0" b="0"/>
                      <wp:wrapSquare wrapText="largest"/>
                      <wp:docPr id="104" name="Frame101"/>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8TWI">
                                    <w:r>
                                      <w:rPr>
                                        <w:rStyle w:val="InternetLink"/>
                                        <w:spacing w:val="4"/>
                                      </w:rPr>
                                      <w:t>8.</w:t>
                                    </w:r>
                                  </w:hyperlink>
                                  <w:hyperlink w:anchor="t8TW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8TWI">
                              <w:r>
                                <w:rPr>
                                  <w:rStyle w:val="InternetLink"/>
                                  <w:spacing w:val="4"/>
                                </w:rPr>
                                <w:t>8.</w:t>
                              </w:r>
                            </w:hyperlink>
                            <w:hyperlink w:anchor="t8TWI">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8TWI">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8TWI">
              <w:r>
                <w:rPr>
                  <w:rStyle w:val="InternetLink"/>
                  <w:spacing w:val="4"/>
                </w:rPr>
                <w:t>10</w:t>
              </w:r>
            </w:hyperlink>
            <w:hyperlink w:anchor="t8TWI">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9MI">
              <w:r>
                <w:rPr>
                  <w:rStyle w:val="InternetLink"/>
                  <w:caps/>
                  <w:spacing w:val="4"/>
                </w:rPr>
                <w:t>MISCELLANEOUS.</w:t>
              </w:r>
            </w:hyperlink>
            <w:hyperlink w:anchor="t9MI">
              <w:r>
                <w:rPr>
                  <w:rStyle w:val="InternetLink"/>
                </w:rPr>
                <w:t xml:space="preserve"> </w:t>
              </w:r>
            </w:hyperlink>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31800" cy="350520"/>
                      <wp:effectExtent l="0" t="0" r="0" b="0"/>
                      <wp:wrapSquare wrapText="largest"/>
                      <wp:docPr id="105" name="Frame102"/>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9MI">
                                    <w:r>
                                      <w:rPr>
                                        <w:rStyle w:val="InternetLink"/>
                                        <w:spacing w:val="4"/>
                                      </w:rPr>
                                      <w:t>9.</w:t>
                                    </w:r>
                                  </w:hyperlink>
                                  <w:hyperlink w:anchor="t9M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9MI">
                              <w:r>
                                <w:rPr>
                                  <w:rStyle w:val="InternetLink"/>
                                  <w:spacing w:val="4"/>
                                </w:rPr>
                                <w:t>9.</w:t>
                              </w:r>
                            </w:hyperlink>
                            <w:hyperlink w:anchor="t9MI">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9MI">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9MI">
              <w:r>
                <w:rPr>
                  <w:rStyle w:val="InternetLink"/>
                  <w:spacing w:val="4"/>
                </w:rPr>
                <w:t>11</w:t>
              </w:r>
            </w:hyperlink>
            <w:hyperlink w:anchor="t9MI">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hyperlink w:anchor="t1OTC">
              <w:r>
                <w:rPr>
                  <w:rStyle w:val="InternetLink"/>
                  <w:caps/>
                  <w:spacing w:val="4"/>
                </w:rPr>
                <w:t>COVENANTS OF THE COMPANY.</w:t>
              </w:r>
            </w:hyperlink>
            <w:hyperlink w:anchor="t1OTC">
              <w:r>
                <w:rPr>
                  <w:rStyle w:val="InternetLink"/>
                </w:rPr>
                <w:t xml:space="preserve"> </w:t>
              </w:r>
            </w:hyperlink>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31800" cy="350520"/>
                      <wp:effectExtent l="0" t="0" r="0" b="0"/>
                      <wp:wrapSquare wrapText="largest"/>
                      <wp:docPr id="106" name="Frame103"/>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1OTC">
                                    <w:r>
                                      <w:rPr>
                                        <w:rStyle w:val="InternetLink"/>
                                        <w:spacing w:val="4"/>
                                      </w:rPr>
                                      <w:t>10.</w:t>
                                    </w:r>
                                  </w:hyperlink>
                                  <w:hyperlink w:anchor="t1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1OTC">
                              <w:r>
                                <w:rPr>
                                  <w:rStyle w:val="InternetLink"/>
                                  <w:spacing w:val="4"/>
                                </w:rPr>
                                <w:t>10.</w:t>
                              </w:r>
                            </w:hyperlink>
                            <w:hyperlink w:anchor="t1OTC">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1OTC">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1OTC">
              <w:r>
                <w:rPr>
                  <w:rStyle w:val="InternetLink"/>
                  <w:spacing w:val="4"/>
                </w:rPr>
                <w:t>13</w:t>
              </w:r>
            </w:hyperlink>
            <w:hyperlink w:anchor="t1OTC">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11S">
              <w:r>
                <w:rPr>
                  <w:rStyle w:val="InternetLink"/>
                  <w:caps/>
                  <w:spacing w:val="4"/>
                </w:rPr>
                <w:t>SEVERABILITY.</w:t>
              </w:r>
            </w:hyperlink>
            <w:hyperlink w:anchor="t11S">
              <w:r>
                <w:rPr>
                  <w:rStyle w:val="InternetLink"/>
                </w:rPr>
                <w:t xml:space="preserve"> </w:t>
              </w:r>
            </w:hyperlink>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31800" cy="350520"/>
                      <wp:effectExtent l="0" t="0" r="0" b="0"/>
                      <wp:wrapSquare wrapText="largest"/>
                      <wp:docPr id="107" name="Frame104"/>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11S">
                                    <w:r>
                                      <w:rPr>
                                        <w:rStyle w:val="InternetLink"/>
                                        <w:spacing w:val="4"/>
                                      </w:rPr>
                                      <w:t>11.</w:t>
                                    </w:r>
                                  </w:hyperlink>
                                  <w:hyperlink w:anchor="t11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11S">
                              <w:r>
                                <w:rPr>
                                  <w:rStyle w:val="InternetLink"/>
                                  <w:spacing w:val="4"/>
                                </w:rPr>
                                <w:t>11.</w:t>
                              </w:r>
                            </w:hyperlink>
                            <w:hyperlink w:anchor="t11S">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11S">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11S">
              <w:r>
                <w:rPr>
                  <w:rStyle w:val="InternetLink"/>
                  <w:spacing w:val="4"/>
                </w:rPr>
                <w:t>13</w:t>
              </w:r>
            </w:hyperlink>
            <w:hyperlink w:anchor="t11S">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r>
        <w:trPr/>
        <w:tc>
          <w:tcPr>
            <w:tcW w:w="7820" w:type="dxa"/>
            <w:tcBorders/>
            <w:shd w:fill="auto" w:val="clear"/>
            <w:vAlign w:val="center"/>
          </w:tcPr>
          <w:p>
            <w:pPr>
              <w:pStyle w:val="TableContents"/>
              <w:spacing w:lineRule="atLeast" w:line="200" w:before="0" w:after="0"/>
              <w:ind w:left="680" w:right="0" w:hanging="0"/>
              <w:jc w:val="left"/>
              <w:rPr/>
            </w:pPr>
            <w:hyperlink w:anchor="t1OTP">
              <w:r>
                <w:rPr>
                  <w:rStyle w:val="InternetLink"/>
                  <w:caps/>
                  <w:spacing w:val="4"/>
                </w:rPr>
                <w:t>TERMINATION OF THE PLAN.</w:t>
              </w:r>
            </w:hyperlink>
            <w:hyperlink w:anchor="t1OTP">
              <w:r>
                <w:rPr>
                  <w:rStyle w:val="InternetLink"/>
                </w:rPr>
                <w:t xml:space="preserve"> </w:t>
              </w:r>
            </w:hyperlink>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31800" cy="350520"/>
                      <wp:effectExtent l="0" t="0" r="0" b="0"/>
                      <wp:wrapSquare wrapText="largest"/>
                      <wp:docPr id="108" name="Frame105"/>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1OTP">
                                    <w:r>
                                      <w:rPr>
                                        <w:rStyle w:val="InternetLink"/>
                                        <w:spacing w:val="4"/>
                                      </w:rPr>
                                      <w:t>12.</w:t>
                                    </w:r>
                                  </w:hyperlink>
                                  <w:hyperlink w:anchor="t1O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1OTP">
                              <w:r>
                                <w:rPr>
                                  <w:rStyle w:val="InternetLink"/>
                                  <w:spacing w:val="4"/>
                                </w:rPr>
                                <w:t>12.</w:t>
                              </w:r>
                            </w:hyperlink>
                            <w:hyperlink w:anchor="t1OTP">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1OTP">
              <w:r>
                <w:rPr>
                  <w:rStyle w:val="InternetLink"/>
                </w:rPr>
                <w:t>​</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9" w:type="dxa"/>
            <w:tcBorders/>
            <w:shd w:fill="auto" w:val="clear"/>
            <w:vAlign w:val="center"/>
          </w:tcPr>
          <w:p>
            <w:pPr>
              <w:pStyle w:val="TableContents"/>
              <w:spacing w:before="0" w:after="0"/>
              <w:jc w:val="right"/>
              <w:rPr/>
            </w:pPr>
            <w:hyperlink w:anchor="t1OTP">
              <w:r>
                <w:rPr>
                  <w:rStyle w:val="InternetLink"/>
                  <w:spacing w:val="4"/>
                </w:rPr>
                <w:t>14</w:t>
              </w:r>
            </w:hyperlink>
            <w:hyperlink w:anchor="t1OTP">
              <w:r>
                <w:rPr>
                  <w:rStyle w:val="InternetLink"/>
                </w:rPr>
                <w:t>​</w:t>
              </w:r>
            </w:hyperlink>
            <w:r>
              <w:rPr/>
              <w:t xml:space="preserve"> </w:t>
            </w:r>
          </w:p>
        </w:tc>
        <w:tc>
          <w:tcPr>
            <w:tcW w:w="155" w:type="dxa"/>
            <w:tcBorders/>
            <w:shd w:fill="auto" w:val="clear"/>
            <w:vAlign w:val="center"/>
          </w:tcPr>
          <w:p>
            <w:pPr>
              <w:pStyle w:val="TableContents"/>
              <w:spacing w:before="0" w:after="283"/>
              <w:rPr/>
            </w:pPr>
            <w:r>
              <w:rPr/>
              <w:t>​</w:t>
            </w:r>
          </w:p>
        </w:tc>
      </w:tr>
      <w:tr>
        <w:trPr/>
        <w:tc>
          <w:tcPr>
            <w:tcW w:w="7820" w:type="dxa"/>
            <w:tcBorders/>
            <w:shd w:fill="CCEEFF" w:val="clear"/>
            <w:vAlign w:val="center"/>
          </w:tcPr>
          <w:p>
            <w:pPr>
              <w:pStyle w:val="TableContents"/>
              <w:spacing w:lineRule="atLeast" w:line="200" w:before="0" w:after="0"/>
              <w:ind w:left="680" w:right="0" w:hanging="0"/>
              <w:jc w:val="left"/>
              <w:rPr/>
            </w:pPr>
            <w:hyperlink w:anchor="t13D">
              <w:r>
                <w:rPr>
                  <w:rStyle w:val="InternetLink"/>
                  <w:caps/>
                  <w:spacing w:val="4"/>
                </w:rPr>
                <w:t>DEFINITIONS.</w:t>
              </w:r>
            </w:hyperlink>
            <w:hyperlink w:anchor="t13D">
              <w:r>
                <w:rPr>
                  <w:rStyle w:val="InternetLink"/>
                </w:rPr>
                <w:t xml:space="preserve"> </w:t>
              </w:r>
            </w:hyperlink>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31800" cy="350520"/>
                      <wp:effectExtent l="0" t="0" r="0" b="0"/>
                      <wp:wrapSquare wrapText="largest"/>
                      <wp:docPr id="109" name="Frame106"/>
                      <a:graphic xmlns:a="http://schemas.openxmlformats.org/drawingml/2006/main">
                        <a:graphicData uri="http://schemas.microsoft.com/office/word/2010/wordprocessingShape">
                          <wps:wsp>
                            <wps:cNvSpPr txBox="1"/>
                            <wps:spPr>
                              <a:xfrm>
                                <a:off x="0" y="0"/>
                                <a:ext cx="431800" cy="350520"/>
                              </a:xfrm>
                              <a:prstGeom prst="rect"/>
                            </wps:spPr>
                            <wps:txbx>
                              <w:txbxContent>
                                <w:p>
                                  <w:pPr>
                                    <w:pStyle w:val="TextBody"/>
                                    <w:spacing w:lineRule="atLeast" w:line="200" w:before="0" w:after="283"/>
                                    <w:jc w:val="left"/>
                                    <w:rPr/>
                                  </w:pPr>
                                  <w:hyperlink w:anchor="t13D">
                                    <w:r>
                                      <w:rPr>
                                        <w:rStyle w:val="InternetLink"/>
                                        <w:spacing w:val="4"/>
                                      </w:rPr>
                                      <w:t>13.</w:t>
                                    </w:r>
                                  </w:hyperlink>
                                  <w:hyperlink w:anchor="t13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hyperlink w:anchor="t13D">
                              <w:r>
                                <w:rPr>
                                  <w:rStyle w:val="InternetLink"/>
                                  <w:spacing w:val="4"/>
                                </w:rPr>
                                <w:t>13.</w:t>
                              </w:r>
                            </w:hyperlink>
                            <w:hyperlink w:anchor="t13D">
                              <w:r>
                                <w:rPr>
                                  <w:rStyle w:val="InternetLink"/>
                                </w:rPr>
                                <w:t xml:space="preserve"> </w:t>
                                <w:br/>
                              </w:r>
                            </w:hyperlink>
                          </w:p>
                        </w:txbxContent>
                      </v:textbox>
                      <w10:wrap type="square" side="right"/>
                    </v:rect>
                  </w:pict>
                </mc:Fallback>
              </mc:AlternateContent>
            </w:r>
          </w:p>
          <w:p>
            <w:pPr>
              <w:pStyle w:val="TableContents"/>
              <w:spacing w:before="0" w:after="0"/>
              <w:ind w:left="0" w:right="0" w:hanging="0"/>
              <w:rPr/>
            </w:pPr>
            <w:hyperlink w:anchor="t13D">
              <w:r>
                <w:rPr>
                  <w:rStyle w:val="InternetLink"/>
                </w:rPr>
                <w:t>​</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619" w:type="dxa"/>
            <w:tcBorders/>
            <w:shd w:fill="CCEEFF" w:val="clear"/>
            <w:vAlign w:val="center"/>
          </w:tcPr>
          <w:p>
            <w:pPr>
              <w:pStyle w:val="TableContents"/>
              <w:spacing w:before="0" w:after="0"/>
              <w:jc w:val="right"/>
              <w:rPr/>
            </w:pPr>
            <w:hyperlink w:anchor="t13D">
              <w:r>
                <w:rPr>
                  <w:rStyle w:val="InternetLink"/>
                  <w:spacing w:val="4"/>
                </w:rPr>
                <w:t>14</w:t>
              </w:r>
            </w:hyperlink>
            <w:hyperlink w:anchor="t13D">
              <w:r>
                <w:rPr>
                  <w:rStyle w:val="InternetLink"/>
                </w:rPr>
                <w:t>​</w:t>
              </w:r>
            </w:hyperlink>
            <w:r>
              <w:rPr/>
              <w:t xml:space="preserve"> </w:t>
            </w:r>
          </w:p>
        </w:tc>
        <w:tc>
          <w:tcPr>
            <w:tcW w:w="155"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1GE"/>
      <w:bookmarkEnd w:id="19"/>
      <w:r>
        <w:rPr>
          <w:rFonts w:ascii="calibri;arial;sans-serif" w:hAnsi="calibri;arial;sans-serif"/>
          <w:b w:val="false"/>
          <w:i w:val="false"/>
          <w:caps w:val="false"/>
          <w:smallCaps w:val="false"/>
          <w:color w:val="000000"/>
          <w:sz w:val="16"/>
        </w:rPr>
        <w:t>​</w:t>
      </w:r>
      <w:bookmarkStart w:id="20" w:name="t2STT"/>
      <w:bookmarkEnd w:id="2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color w:val="000000"/>
          <w:spacing w:val="4"/>
          <w:sz w:val="20"/>
        </w:rPr>
        <w:t>G</w:t>
      </w:r>
      <w:r>
        <w:rPr>
          <w:rFonts w:ascii="Times New Roman;Times;serif" w:hAnsi="Times New Roman;Times;serif"/>
          <w:b/>
          <w:i w:val="false"/>
          <w:caps/>
          <w:color w:val="000000"/>
          <w:spacing w:val="4"/>
          <w:sz w:val="14"/>
        </w:rPr>
        <w:t>eneral</w:t>
      </w:r>
      <w:r>
        <w:rPr>
          <w:rFonts w:ascii="Times New Roman;Times;serif" w:hAnsi="Times New Roman;Times;serif"/>
          <w:b/>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Successor to and Continuation of Prior Plans.</w:t>
      </w:r>
      <w:r>
        <w:rPr>
          <w:rFonts w:ascii="Times New Roman;Times;serif" w:hAnsi="Times New Roman;Times;serif"/>
          <w:b w:val="false"/>
          <w:i w:val="false"/>
          <w:caps w:val="false"/>
          <w:smallCaps w:val="false"/>
          <w:color w:val="000000"/>
          <w:spacing w:val="4"/>
          <w:sz w:val="20"/>
        </w:rPr>
        <w:t xml:space="preserve">   The Plan is the successor to and continuation of the Prior Plans. As of the Effective Date, (i) no additional awards may be granted under the Prior Plans; (ii) the Prior Plans’ Available Reserve plus any Returning Shares will become available for issuance pursuant to Awards granted under this Plan; and (iii) all outstanding awards granted under the Prior Plans will remain subject to the terms of the Prior Plans (except to the extent such outstanding awards result in Returning Shares that become available for issuance pursuant to Awards granted under this Plan). All Awards granted under this Plan will be subject to the terms of this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Plan Purpose.</w:t>
      </w:r>
      <w:r>
        <w:rPr>
          <w:rFonts w:ascii="Times New Roman;Times;serif" w:hAnsi="Times New Roman;Times;serif"/>
          <w:b w:val="false"/>
          <w:i w:val="false"/>
          <w:caps w:val="false"/>
          <w:smallCaps w:val="false"/>
          <w:color w:val="000000"/>
          <w:spacing w:val="4"/>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Available Awards.</w:t>
      </w:r>
      <w:r>
        <w:rPr>
          <w:rFonts w:ascii="Times New Roman;Times;serif" w:hAnsi="Times New Roman;Times;serif"/>
          <w:b w:val="false"/>
          <w:i w:val="false"/>
          <w:caps w:val="false"/>
          <w:smallCaps w:val="false"/>
          <w:color w:val="000000"/>
          <w:spacing w:val="4"/>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Adoption Date.</w:t>
      </w:r>
      <w:r>
        <w:rPr>
          <w:rFonts w:ascii="Times New Roman;Times;serif" w:hAnsi="Times New Roman;Times;serif"/>
          <w:b w:val="false"/>
          <w:i w:val="false"/>
          <w:caps w:val="false"/>
          <w:smallCaps w:val="false"/>
          <w:color w:val="000000"/>
          <w:spacing w:val="4"/>
          <w:sz w:val="20"/>
        </w:rPr>
        <w:t xml:space="preserve"> The Plan will come into existence on the Adoption Date. No Award may be 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val="false"/>
          <w:caps/>
          <w:color w:val="000000"/>
          <w:spacing w:val="4"/>
          <w:sz w:val="20"/>
        </w:rPr>
        <w:t>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ubject</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to</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lan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 Reserve.</w:t>
      </w:r>
      <w:r>
        <w:rPr>
          <w:rFonts w:ascii="Times New Roman;Times;serif" w:hAnsi="Times New Roman;Times;serif"/>
          <w:b w:val="false"/>
          <w:i w:val="false"/>
          <w:caps w:val="false"/>
          <w:smallCaps w:val="false"/>
          <w:color w:val="000000"/>
          <w:spacing w:val="4"/>
          <w:sz w:val="20"/>
        </w:rPr>
        <w:t xml:space="preserve"> Subject to adjustment in accordance with Section 2(d) and any adjustments as necessary to implement any Capitalization Adjustments, the aggregate number of shares of Common Stock that may be issued pursuant to Awards will not exceed the sum of (i) 3,260,000 new shares, plus (ii) the Prior Plans’ Available Reserve; plus, (iii) the number of Returning Shares, if any, as such shares become available from time to time.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Fungible Share Counting.</w:t>
      </w:r>
      <w:r>
        <w:rPr>
          <w:rFonts w:ascii="Times New Roman;Times;serif" w:hAnsi="Times New Roman;Times;serif"/>
          <w:b w:val="false"/>
          <w:i w:val="false"/>
          <w:caps w:val="false"/>
          <w:smallCaps w:val="false"/>
          <w:color w:val="000000"/>
          <w:spacing w:val="4"/>
          <w:sz w:val="20"/>
        </w:rPr>
        <w:t>   Subject to adjustment in accordance with Section 2(d), the number of shares of Common Stock available for issuance under the Plan will be reduced by: (i) one share for each share of Common Stock issued pursuant to an Option or SAR with respect to which the exercise or strike price is at least 100% of the Fair Market Value of the Common Stock subject to the Option or SAR on the grant date (each, an “</w:t>
      </w:r>
      <w:r>
        <w:rPr>
          <w:rFonts w:ascii="Times New Roman;Times;serif" w:hAnsi="Times New Roman;Times;serif"/>
          <w:b/>
          <w:i/>
          <w:caps w:val="false"/>
          <w:smallCaps w:val="false"/>
          <w:color w:val="000000"/>
          <w:spacing w:val="4"/>
          <w:sz w:val="20"/>
        </w:rPr>
        <w:t>Appreciation Award</w:t>
      </w:r>
      <w:r>
        <w:rPr>
          <w:rFonts w:ascii="Times New Roman;Times;serif" w:hAnsi="Times New Roman;Times;serif"/>
          <w:b w:val="false"/>
          <w:i w:val="false"/>
          <w:caps w:val="false"/>
          <w:smallCaps w:val="false"/>
          <w:color w:val="000000"/>
          <w:spacing w:val="4"/>
          <w:sz w:val="20"/>
        </w:rPr>
        <w:t>”); and (ii) 1.23 shares for each share of Common Stock issued pursuant to any Award (other than an Appreciation Award) (each, a “</w:t>
      </w:r>
      <w:r>
        <w:rPr>
          <w:rFonts w:ascii="Times New Roman;Times;serif" w:hAnsi="Times New Roman;Times;serif"/>
          <w:b/>
          <w:i/>
          <w:caps w:val="false"/>
          <w:smallCaps w:val="false"/>
          <w:color w:val="000000"/>
          <w:spacing w:val="4"/>
          <w:sz w:val="20"/>
        </w:rPr>
        <w:t>Full Value Award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Aggregate Incentive Stock Option Limit.</w:t>
      </w:r>
      <w:r>
        <w:rPr>
          <w:rFonts w:ascii="Times New Roman;Times;serif" w:hAnsi="Times New Roman;Times;serif"/>
          <w:b w:val="false"/>
          <w:i w:val="false"/>
          <w:caps w:val="false"/>
          <w:smallCaps w:val="false"/>
          <w:color w:val="000000"/>
          <w:spacing w:val="4"/>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13,453,608 shares.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 Reserve Operation.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 Applies to Common Stock Issued Pursuant to Awards.</w:t>
      </w:r>
      <w:r>
        <w:rPr>
          <w:rFonts w:ascii="Times New Roman;Times;serif" w:hAnsi="Times New Roman;Times;serif"/>
          <w:b w:val="false"/>
          <w:i w:val="false"/>
          <w:caps w:val="false"/>
          <w:smallCaps w:val="false"/>
          <w:color w:val="000000"/>
          <w:spacing w:val="4"/>
          <w:sz w:val="20"/>
        </w:rPr>
        <w:t xml:space="preserve">   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Actions that Do Not Constitute Issuance of Common Stock and Do Not Reduce Share Reserve.</w:t>
      </w:r>
      <w:r>
        <w:rPr>
          <w:rFonts w:ascii="Times New Roman;Times;serif" w:hAnsi="Times New Roman;Times;serif"/>
          <w:b w:val="false"/>
          <w:i w:val="false"/>
          <w:caps w:val="false"/>
          <w:smallCaps w:val="false"/>
          <w:color w:val="000000"/>
          <w:spacing w:val="4"/>
          <w:sz w:val="20"/>
        </w:rPr>
        <w:t>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 Participant receives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3AL"/>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rather than Common Stock), (3) the withholding of shares that would otherwise be issued by the Company to satisfy the exercise or strike price of an Appreciation Award; (4) the withholding of shares that would otherwise be issued by the Company to satisfy a tax withholding obligation in connection with an Appreciation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Reversion of Previously Issued Shares of Common Stock to Share Reserve.</w:t>
      </w:r>
      <w:r>
        <w:rPr>
          <w:rFonts w:ascii="Times New Roman;Times;serif" w:hAnsi="Times New Roman;Times;serif"/>
          <w:b w:val="false"/>
          <w:i w:val="false"/>
          <w:caps w:val="false"/>
          <w:smallCaps w:val="false"/>
          <w:color w:val="000000"/>
          <w:spacing w:val="4"/>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or strike price of an Appreciation Award; and (3) any shares that are reacquired by the Company to satisfy a tax withholding obligation in connection with an Appreciation Award. For each share subject to a Full Value Award that is added back to the Share Reserve pursuant to this subsection, the number of shares of Common Stock available for issuance under the Plan will increase by 1.23 shares.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Shares Not Available For Subsequent Issuance.</w:t>
      </w:r>
      <w:r>
        <w:rPr>
          <w:rFonts w:ascii="Times New Roman;Times;serif" w:hAnsi="Times New Roman;Times;serif"/>
          <w:b w:val="false"/>
          <w:i w:val="false"/>
          <w:caps w:val="false"/>
          <w:smallCaps w:val="false"/>
          <w:color w:val="000000"/>
          <w:spacing w:val="4"/>
          <w:sz w:val="20"/>
        </w:rPr>
        <w:t xml:space="preserve">   Any shares of Common Stock reacquired or withheld (or not issued) by the Company to satisfy the purchase price of a Full Value Award will no longer be available for issuance under the Plan, including any shares subject to a Full Value Award that are not delivered to a Participant because such Full Value Award is settled through a reduction of shares subject to such Full Value Award. In addition, any shares reacquired or withheld (or not issued) by the Company to satisfy a tax withholding obligation in connection with a Full Value Award, or any shares repurchased by the Company on the open market with the proceeds from the purchase price of a Full Value Award will no longer be available for issuance under the Plan.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val="false"/>
          <w:caps/>
          <w:color w:val="000000"/>
          <w:spacing w:val="4"/>
          <w:sz w:val="20"/>
        </w:rPr>
        <w:t>E</w:t>
      </w:r>
      <w:r>
        <w:rPr>
          <w:rFonts w:ascii="Times New Roman;Times;serif" w:hAnsi="Times New Roman;Times;serif"/>
          <w:b/>
          <w:i w:val="false"/>
          <w:caps/>
          <w:color w:val="000000"/>
          <w:spacing w:val="4"/>
          <w:sz w:val="14"/>
        </w:rPr>
        <w:t>ligibility</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L</w:t>
      </w:r>
      <w:r>
        <w:rPr>
          <w:rFonts w:ascii="Times New Roman;Times;serif" w:hAnsi="Times New Roman;Times;serif"/>
          <w:b/>
          <w:i w:val="false"/>
          <w:caps/>
          <w:color w:val="000000"/>
          <w:spacing w:val="4"/>
          <w:sz w:val="14"/>
        </w:rPr>
        <w:t>imitations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Eligible Award Recipients.</w:t>
      </w:r>
      <w:r>
        <w:rPr>
          <w:rFonts w:ascii="Times New Roman;Times;serif" w:hAnsi="Times New Roman;Times;serif"/>
          <w:b w:val="false"/>
          <w:i w:val="false"/>
          <w:caps w:val="false"/>
          <w:smallCaps w:val="false"/>
          <w:color w:val="000000"/>
          <w:spacing w:val="4"/>
          <w:sz w:val="20"/>
        </w:rPr>
        <w:t xml:space="preserve">   Subject to the terms of the Plan, Employees, Directors and Consultants are eligible to receive Awards.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Specific Award Limitations.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Incentive Stock Option Recipients.</w:t>
      </w:r>
      <w:r>
        <w:rPr>
          <w:rFonts w:ascii="Times New Roman;Times;serif" w:hAnsi="Times New Roman;Times;serif"/>
          <w:b w:val="false"/>
          <w:i w:val="false"/>
          <w:caps w:val="false"/>
          <w:smallCaps w:val="false"/>
          <w:color w:val="000000"/>
          <w:spacing w:val="4"/>
          <w:sz w:val="20"/>
        </w:rPr>
        <w:t xml:space="preserve">   Incentive Stock Options may be granted only to Employees of the Company or a “parent corporation” or “subsidiary corporation” thereof (as such terms are defined in Sections 424(e) and (f)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Incentive Stock Option $100,000 Limitation.</w:t>
      </w:r>
      <w:r>
        <w:rPr>
          <w:rFonts w:ascii="Times New Roman;Times;serif" w:hAnsi="Times New Roman;Times;serif"/>
          <w:b w:val="false"/>
          <w:i w:val="false"/>
          <w:caps w:val="false"/>
          <w:smallCaps w:val="false"/>
          <w:color w:val="000000"/>
          <w:spacing w:val="4"/>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Incentive Stock Options Granted to Ten Percent Stockholders.</w:t>
      </w:r>
      <w:r>
        <w:rPr>
          <w:rFonts w:ascii="Times New Roman;Times;serif" w:hAnsi="Times New Roman;Times;serif"/>
          <w:b w:val="false"/>
          <w:i w:val="false"/>
          <w:caps w:val="false"/>
          <w:smallCaps w:val="false"/>
          <w:color w:val="000000"/>
          <w:spacing w:val="4"/>
          <w:sz w:val="20"/>
        </w:rPr>
        <w:t xml:space="preserve">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Limitations on Nonstatutory Stock Options and SARs.</w:t>
      </w:r>
      <w:r>
        <w:rPr>
          <w:rFonts w:ascii="Times New Roman;Times;serif" w:hAnsi="Times New Roman;Times;serif"/>
          <w:b w:val="false"/>
          <w:i w:val="false"/>
          <w:caps w:val="false"/>
          <w:smallCaps w:val="false"/>
          <w:color w:val="000000"/>
          <w:spacing w:val="4"/>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Dividends and Dividend Equivalents.</w:t>
      </w:r>
      <w:r>
        <w:rPr>
          <w:rFonts w:ascii="Times New Roman;Times;serif" w:hAnsi="Times New Roman;Times;serif"/>
          <w:b w:val="false"/>
          <w:i w:val="false"/>
          <w:caps w:val="false"/>
          <w:smallCaps w:val="false"/>
          <w:color w:val="000000"/>
          <w:spacing w:val="4"/>
          <w:sz w:val="20"/>
        </w:rPr>
        <w:t xml:space="preserve">   Dividends or dividend equivalents may be paid or credited, as applicable, with respect to any shares of Common Stock subject to an Award, as determined by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4ASA"/>
      <w:bookmarkEnd w:id="2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and contained in the applicable Award Agreement;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Aggregate Incentive Stock Option Limit.</w:t>
      </w:r>
      <w:r>
        <w:rPr>
          <w:rFonts w:ascii="Times New Roman;Times;serif" w:hAnsi="Times New Roman;Times;serif"/>
          <w:b w:val="false"/>
          <w:i w:val="false"/>
          <w:caps w:val="false"/>
          <w:smallCaps w:val="false"/>
          <w:color w:val="000000"/>
          <w:spacing w:val="4"/>
          <w:sz w:val="20"/>
        </w:rPr>
        <w:t xml:space="preserve">   The aggregate maximum number of shares of Common Stock that may be issued pursuant to the exercise of Incentive Stock Options is the number of shares specified in Section 2(c).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Non-Employee Director Compensation Limit.</w:t>
      </w:r>
      <w:r>
        <w:rPr>
          <w:rFonts w:ascii="Times New Roman;Times;serif" w:hAnsi="Times New Roman;Times;serif"/>
          <w:b w:val="false"/>
          <w:i w:val="false"/>
          <w:caps w:val="false"/>
          <w:smallCaps w:val="false"/>
          <w:color w:val="000000"/>
          <w:spacing w:val="4"/>
          <w:sz w:val="20"/>
        </w:rPr>
        <w:t xml:space="preserve">   The aggregate value of all compensation granted or 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 </w:t>
      </w:r>
    </w:p>
    <w:p>
      <w:pPr>
        <w:pStyle w:val="TextBody"/>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val="false"/>
          <w:caps/>
          <w:color w:val="000000"/>
          <w:spacing w:val="4"/>
          <w:sz w:val="20"/>
        </w:rPr>
        <w:t>O</w:t>
      </w:r>
      <w:r>
        <w:rPr>
          <w:rFonts w:ascii="Times New Roman;Times;serif" w:hAnsi="Times New Roman;Times;serif"/>
          <w:b/>
          <w:i w:val="false"/>
          <w:caps/>
          <w:color w:val="000000"/>
          <w:spacing w:val="4"/>
          <w:sz w:val="14"/>
        </w:rPr>
        <w:t>ptions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ppreciation</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w:t>
      </w:r>
      <w:r>
        <w:rPr>
          <w:rFonts w:ascii="Times New Roman;Times;serif" w:hAnsi="Times New Roman;Times;serif"/>
          <w:b w:val="false"/>
          <w:i w:val="false"/>
          <w:caps w:val="false"/>
          <w:smallCaps w:val="false"/>
          <w:color w:val="000000"/>
          <w:spacing w:val="4"/>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or Strike Price.</w:t>
      </w:r>
      <w:r>
        <w:rPr>
          <w:rFonts w:ascii="Times New Roman;Times;serif" w:hAnsi="Times New Roman;Times;serif"/>
          <w:b w:val="false"/>
          <w:i w:val="false"/>
          <w:caps w:val="false"/>
          <w:smallCaps w:val="false"/>
          <w:color w:val="000000"/>
          <w:spacing w:val="4"/>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Procedure and Payment of Exercise Price for Options.</w:t>
      </w:r>
      <w:r>
        <w:rPr>
          <w:rFonts w:ascii="Times New Roman;Times;serif" w:hAnsi="Times New Roman;Times;serif"/>
          <w:b w:val="false"/>
          <w:i w:val="false"/>
          <w:caps w:val="false"/>
          <w:smallCaps w:val="false"/>
          <w:color w:val="000000"/>
          <w:spacing w:val="4"/>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by cash or check, bank draft or money order payable to the Company;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xml:space="preserve">      in any other form of consideration that may be acceptable to the Board and permissible under Applicable Law.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Exercise Procedure and Payment of Appreciation Distribution for SARs.</w:t>
      </w:r>
      <w:r>
        <w:rPr>
          <w:rFonts w:ascii="Times New Roman;Times;serif" w:hAnsi="Times New Roman;Times;serif"/>
          <w:b w:val="false"/>
          <w:i w:val="false"/>
          <w:caps w:val="false"/>
          <w:smallCaps w:val="false"/>
          <w:color w:val="000000"/>
          <w:spacing w:val="4"/>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Transferability.</w:t>
      </w:r>
      <w:r>
        <w:rPr>
          <w:rFonts w:ascii="Times New Roman;Times;serif" w:hAnsi="Times New Roman;Times;serif"/>
          <w:b w:val="false"/>
          <w:i w:val="false"/>
          <w:caps w:val="false"/>
          <w:smallCaps w:val="false"/>
          <w:color w:val="000000"/>
          <w:spacing w:val="4"/>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if an Option is an Incentive Stock Option, such Option may be deemed to be a Nonstatutory Stock Option as a result of such transfer: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Restrictions on Transfer.</w:t>
      </w:r>
      <w:r>
        <w:rPr>
          <w:rFonts w:ascii="Times New Roman;Times;serif" w:hAnsi="Times New Roman;Times;serif"/>
          <w:b w:val="false"/>
          <w:i w:val="false"/>
          <w:caps w:val="false"/>
          <w:smallCaps w:val="false"/>
          <w:color w:val="000000"/>
          <w:spacing w:val="4"/>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Domestic Relations Orders.</w:t>
      </w:r>
      <w:r>
        <w:rPr>
          <w:rFonts w:ascii="Times New Roman;Times;serif" w:hAnsi="Times New Roman;Times;serif"/>
          <w:b w:val="false"/>
          <w:i w:val="false"/>
          <w:caps w:val="false"/>
          <w:smallCaps w:val="false"/>
          <w:color w:val="000000"/>
          <w:spacing w:val="4"/>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Vesting.</w:t>
      </w:r>
      <w:r>
        <w:rPr>
          <w:rFonts w:ascii="Times New Roman;Times;serif" w:hAnsi="Times New Roman;Times;serif"/>
          <w:b w:val="false"/>
          <w:i w:val="false"/>
          <w:caps w:val="false"/>
          <w:smallCaps w:val="false"/>
          <w:color w:val="000000"/>
          <w:spacing w:val="4"/>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Termination of Continuous Service for Cause.</w:t>
      </w:r>
      <w:r>
        <w:rPr>
          <w:rFonts w:ascii="Times New Roman;Times;serif" w:hAnsi="Times New Roman;Times;serif"/>
          <w:b w:val="false"/>
          <w:i w:val="false"/>
          <w:caps w:val="false"/>
          <w:smallCaps w:val="false"/>
          <w:color w:val="000000"/>
          <w:spacing w:val="4"/>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Post-Termination Exercise Period Following Termination of Continuous Service for Reasons Other than Cause.</w:t>
      </w:r>
      <w:r>
        <w:rPr>
          <w:rFonts w:ascii="Times New Roman;Times;serif" w:hAnsi="Times New Roman;Times;serif"/>
          <w:b w:val="false"/>
          <w:i w:val="false"/>
          <w:caps w:val="false"/>
          <w:smallCaps w:val="false"/>
          <w:color w:val="000000"/>
          <w:spacing w:val="4"/>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three months following the date of such termination if such termination is a termination without Cause (other than any termination due to the Participant’s Disability or death);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12 months following the date of such termination if such termination is due to the Participant’s Disability;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18 months following the date of such termination if such termination is due to the Participant’s death;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18 months following the date of the Participant’s death if such death occurs following the date of such termination but during the period such Award is otherwise exercisable (as provided in (i) or (ii) above). </w:t>
      </w:r>
    </w:p>
    <w:p>
      <w:pPr>
        <w:pStyle w:val="TextBody"/>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Restrictions on Exercise; Extension of Exercisability.</w:t>
      </w:r>
      <w:r>
        <w:rPr>
          <w:rFonts w:ascii="Times New Roman;Times;serif" w:hAnsi="Times New Roman;Times;serif"/>
          <w:b w:val="false"/>
          <w:i w:val="false"/>
          <w:caps w:val="false"/>
          <w:smallCaps w:val="false"/>
          <w:color w:val="000000"/>
          <w:spacing w:val="4"/>
          <w:sz w:val="20"/>
        </w:rPr>
        <w:t xml:space="preserve">   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Non-Exempt Employees</w:t>
      </w:r>
      <w:r>
        <w:rPr>
          <w:rFonts w:ascii="Times New Roman;Times;serif" w:hAnsi="Times New Roman;Times;serif"/>
          <w:b w:val="false"/>
          <w:i w:val="false"/>
          <w:caps w:val="false"/>
          <w:smallCaps w:val="false"/>
          <w:color w:val="000000"/>
          <w:spacing w:val="4"/>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5OTO"/>
      <w:bookmarkEnd w:id="2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Whole Shares</w:t>
      </w:r>
      <w:r>
        <w:rPr>
          <w:rFonts w:ascii="Times New Roman;Times;serif" w:hAnsi="Times New Roman;Times;serif"/>
          <w:b w:val="false"/>
          <w:i w:val="false"/>
          <w:caps w:val="false"/>
          <w:smallCaps w:val="false"/>
          <w:color w:val="000000"/>
          <w:spacing w:val="4"/>
          <w:sz w:val="20"/>
        </w:rPr>
        <w:t xml:space="preserve">.   Options and SARs may be exercised only with respect to whole shares of Common Stock or their equivalents.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wards</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ther</w:t>
      </w:r>
      <w:r>
        <w:rPr>
          <w:rFonts w:ascii="Times New Roman;Times;serif" w:hAnsi="Times New Roman;Times;serif"/>
          <w:b/>
          <w:i w:val="false"/>
          <w:caps/>
          <w:color w:val="000000"/>
          <w:spacing w:val="4"/>
          <w:sz w:val="20"/>
        </w:rPr>
        <w:t xml:space="preserve"> T</w:t>
      </w:r>
      <w:r>
        <w:rPr>
          <w:rFonts w:ascii="Times New Roman;Times;serif" w:hAnsi="Times New Roman;Times;serif"/>
          <w:b/>
          <w:i w:val="false"/>
          <w:caps/>
          <w:color w:val="000000"/>
          <w:spacing w:val="4"/>
          <w:sz w:val="14"/>
        </w:rPr>
        <w:t>han</w:t>
      </w:r>
      <w:r>
        <w:rPr>
          <w:rFonts w:ascii="Times New Roman;Times;serif" w:hAnsi="Times New Roman;Times;serif"/>
          <w:b/>
          <w:i w:val="false"/>
          <w:caps/>
          <w:color w:val="000000"/>
          <w:spacing w:val="4"/>
          <w:sz w:val="20"/>
        </w:rPr>
        <w:t xml:space="preserve"> O</w:t>
      </w:r>
      <w:r>
        <w:rPr>
          <w:rFonts w:ascii="Times New Roman;Times;serif" w:hAnsi="Times New Roman;Times;serif"/>
          <w:b/>
          <w:i w:val="false"/>
          <w:caps/>
          <w:color w:val="000000"/>
          <w:spacing w:val="4"/>
          <w:sz w:val="14"/>
        </w:rPr>
        <w:t>ptions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xml:space="preserve"> A</w:t>
      </w:r>
      <w:r>
        <w:rPr>
          <w:rFonts w:ascii="Times New Roman;Times;serif" w:hAnsi="Times New Roman;Times;serif"/>
          <w:b/>
          <w:i w:val="false"/>
          <w:caps/>
          <w:color w:val="000000"/>
          <w:spacing w:val="4"/>
          <w:sz w:val="14"/>
        </w:rPr>
        <w:t>ppreciation</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Restricted Stock Awards and RSU Awards.</w:t>
      </w:r>
      <w:r>
        <w:rPr>
          <w:rFonts w:ascii="Times New Roman;Times;serif" w:hAnsi="Times New Roman;Times;serif"/>
          <w:b w:val="false"/>
          <w:i w:val="false"/>
          <w:caps w:val="false"/>
          <w:smallCaps w:val="false"/>
          <w:color w:val="000000"/>
          <w:spacing w:val="4"/>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Form of Award.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(1)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(2)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Consideration.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(1)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(2)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Vesting.</w:t>
      </w:r>
      <w:r>
        <w:rPr>
          <w:rFonts w:ascii="Times New Roman;Times;serif" w:hAnsi="Times New Roman;Times;serif"/>
          <w:b w:val="false"/>
          <w:i w:val="false"/>
          <w:caps w:val="false"/>
          <w:smallCaps w:val="false"/>
          <w:color w:val="000000"/>
          <w:spacing w:val="4"/>
          <w:sz w:val="20"/>
        </w:rPr>
        <w:t xml:space="preserve">   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Termination of Continuous Service.</w:t>
      </w:r>
      <w:r>
        <w:rPr>
          <w:rFonts w:ascii="Times New Roman;Times;serif" w:hAnsi="Times New Roman;Times;serif"/>
          <w:b w:val="false"/>
          <w:i w:val="false"/>
          <w:caps w:val="false"/>
          <w:smallCaps w:val="false"/>
          <w:color w:val="000000"/>
          <w:spacing w:val="4"/>
          <w:sz w:val="20"/>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6UCI"/>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Dividends and Dividend Equivalents.</w:t>
      </w:r>
      <w:r>
        <w:rPr>
          <w:rFonts w:ascii="Times New Roman;Times;serif" w:hAnsi="Times New Roman;Times;serif"/>
          <w:b w:val="false"/>
          <w:i w:val="false"/>
          <w:caps w:val="false"/>
          <w:smallCaps w:val="false"/>
          <w:color w:val="000000"/>
          <w:spacing w:val="4"/>
          <w:sz w:val="20"/>
        </w:rPr>
        <w:t xml:space="preserve">   Subject to Section 3(b)(v), dividends or dividend equivalents may be paid or credited, as applicable, with respect to any shares of Common Stock subject to a Restricted Stock Award or RSU Award, as determined by the Board and specified in the Award Agreement.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Settlement of RSU Awards</w:t>
      </w:r>
      <w:r>
        <w:rPr>
          <w:rFonts w:ascii="Times New Roman;Times;serif" w:hAnsi="Times New Roman;Times;serif"/>
          <w:b w:val="false"/>
          <w:i w:val="false"/>
          <w:caps w:val="false"/>
          <w:smallCaps w:val="false"/>
          <w:color w:val="000000"/>
          <w:spacing w:val="4"/>
          <w:sz w:val="20"/>
        </w:rPr>
        <w:t xml:space="preserve">.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Performance Awards</w:t>
      </w:r>
      <w:r>
        <w:rPr>
          <w:rFonts w:ascii="Times New Roman;Times;serif" w:hAnsi="Times New Roman;Times;serif"/>
          <w:b w:val="false"/>
          <w:i w:val="false"/>
          <w:caps w:val="false"/>
          <w:smallCaps w:val="false"/>
          <w:color w:val="000000"/>
          <w:spacing w:val="4"/>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Other Awards</w:t>
      </w:r>
      <w:r>
        <w:rPr>
          <w:rFonts w:ascii="Times New Roman;Times;serif" w:hAnsi="Times New Roman;Times;serif"/>
          <w:b w:val="false"/>
          <w:i w:val="false"/>
          <w:caps w:val="false"/>
          <w:smallCaps w:val="false"/>
          <w:color w:val="000000"/>
          <w:spacing w:val="4"/>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djustments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upon</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hanges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in</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ommon</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tock</w:t>
      </w:r>
      <w:r>
        <w:rPr>
          <w:rFonts w:ascii="Times New Roman;Times;serif" w:hAnsi="Times New Roman;Times;serif"/>
          <w:b/>
          <w:i w:val="false"/>
          <w:caps/>
          <w:color w:val="000000"/>
          <w:spacing w:val="4"/>
          <w:sz w:val="20"/>
        </w:rPr>
        <w:t>; O</w:t>
      </w:r>
      <w:r>
        <w:rPr>
          <w:rFonts w:ascii="Times New Roman;Times;serif" w:hAnsi="Times New Roman;Times;serif"/>
          <w:b/>
          <w:i w:val="false"/>
          <w:caps/>
          <w:color w:val="000000"/>
          <w:spacing w:val="4"/>
          <w:sz w:val="14"/>
        </w:rPr>
        <w:t>ther</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orporate</w:t>
      </w:r>
      <w:r>
        <w:rPr>
          <w:rFonts w:ascii="Times New Roman;Times;serif" w:hAnsi="Times New Roman;Times;serif"/>
          <w:b/>
          <w:i w:val="false"/>
          <w:caps/>
          <w:color w:val="000000"/>
          <w:spacing w:val="4"/>
          <w:sz w:val="20"/>
        </w:rPr>
        <w:t xml:space="preserve"> E</w:t>
      </w:r>
      <w:r>
        <w:rPr>
          <w:rFonts w:ascii="Times New Roman;Times;serif" w:hAnsi="Times New Roman;Times;serif"/>
          <w:b/>
          <w:i w:val="false"/>
          <w:caps/>
          <w:color w:val="000000"/>
          <w:spacing w:val="4"/>
          <w:sz w:val="14"/>
        </w:rPr>
        <w:t>vents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Capitalization Adjustments</w:t>
      </w:r>
      <w:r>
        <w:rPr>
          <w:rFonts w:ascii="Times New Roman;Times;serif" w:hAnsi="Times New Roman;Times;serif"/>
          <w:b w:val="false"/>
          <w:i w:val="false"/>
          <w:caps w:val="false"/>
          <w:smallCaps w:val="false"/>
          <w:color w:val="000000"/>
          <w:spacing w:val="4"/>
          <w:sz w:val="20"/>
        </w:rPr>
        <w:t xml:space="preserve">.   In the event of a Capitalization Adjustment, the Board shall appropriately and 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Dissolution or Liquidation</w:t>
      </w:r>
      <w:r>
        <w:rPr>
          <w:rFonts w:ascii="Times New Roman;Times;serif" w:hAnsi="Times New Roman;Times;serif"/>
          <w:b w:val="false"/>
          <w:i w:val="false"/>
          <w:caps w:val="false"/>
          <w:smallCaps w:val="false"/>
          <w:color w:val="000000"/>
          <w:spacing w:val="4"/>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Corporate Transaction.</w:t>
      </w:r>
      <w:r>
        <w:rPr>
          <w:rFonts w:ascii="Times New Roman;Times;serif" w:hAnsi="Times New Roman;Times;serif"/>
          <w:b w:val="false"/>
          <w:i w:val="false"/>
          <w:caps w:val="false"/>
          <w:smallCaps w:val="false"/>
          <w:color w:val="000000"/>
          <w:spacing w:val="4"/>
          <w:sz w:val="20"/>
        </w:rPr>
        <w:t xml:space="preserve">   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May Be Assumed.</w:t>
      </w:r>
      <w:r>
        <w:rPr>
          <w:rFonts w:ascii="Times New Roman;Times;serif" w:hAnsi="Times New Roman;Times;serif"/>
          <w:b w:val="false"/>
          <w:i w:val="false"/>
          <w:caps w:val="false"/>
          <w:smallCaps w:val="false"/>
          <w:color w:val="000000"/>
          <w:spacing w:val="4"/>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Held by Current Participants.</w:t>
      </w:r>
      <w:r>
        <w:rPr>
          <w:rFonts w:ascii="Times New Roman;Times;serif" w:hAnsi="Times New Roman;Times;serif"/>
          <w:b w:val="false"/>
          <w:i w:val="false"/>
          <w:caps w:val="false"/>
          <w:smallCaps w:val="false"/>
          <w:color w:val="000000"/>
          <w:spacing w:val="4"/>
          <w:sz w:val="20"/>
        </w:rPr>
        <w:t>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i/>
          <w:caps w:val="false"/>
          <w:smallCaps w:val="false"/>
          <w:color w:val="000000"/>
          <w:spacing w:val="4"/>
          <w:sz w:val="20"/>
        </w:rPr>
        <w:t>Current Participants</w:t>
      </w:r>
      <w:r>
        <w:rPr>
          <w:rFonts w:ascii="Times New Roman;Times;serif" w:hAnsi="Times New Roman;Times;serif"/>
          <w:b w:val="false"/>
          <w:i w:val="false"/>
          <w:caps w:val="false"/>
          <w:smallCaps w:val="false"/>
          <w:color w:val="000000"/>
          <w:spacing w:val="4"/>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Awards Held by Persons other than Current Participants.</w:t>
      </w:r>
      <w:r>
        <w:rPr>
          <w:rFonts w:ascii="Times New Roman;Times;serif" w:hAnsi="Times New Roman;Times;serif"/>
          <w:b w:val="false"/>
          <w:i w:val="false"/>
          <w:caps w:val="false"/>
          <w:smallCaps w:val="false"/>
          <w:color w:val="000000"/>
          <w:spacing w:val="4"/>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Payment for Awards in Lieu of Exercise.</w:t>
      </w:r>
      <w:r>
        <w:rPr>
          <w:rFonts w:ascii="Times New Roman;Times;serif" w:hAnsi="Times New Roman;Times;serif"/>
          <w:b w:val="false"/>
          <w:i w:val="false"/>
          <w:caps w:val="false"/>
          <w:smallCaps w:val="false"/>
          <w:color w:val="000000"/>
          <w:spacing w:val="4"/>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Appointment of Stockholder Representative.</w:t>
      </w:r>
      <w:r>
        <w:rPr>
          <w:rFonts w:ascii="Times New Roman;Times;serif" w:hAnsi="Times New Roman;Times;serif"/>
          <w:b w:val="false"/>
          <w:i w:val="false"/>
          <w:caps w:val="false"/>
          <w:smallCaps w:val="false"/>
          <w:color w:val="000000"/>
          <w:spacing w:val="4"/>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Restriction on Right to Undertake Transactions</w:t>
      </w:r>
      <w:r>
        <w:rPr>
          <w:rFonts w:ascii="Times New Roman;Times;serif" w:hAnsi="Times New Roman;Times;serif"/>
          <w:b w:val="false"/>
          <w:i w:val="false"/>
          <w:caps w:val="false"/>
          <w:smallCaps w:val="false"/>
          <w:color w:val="000000"/>
          <w:spacing w:val="4"/>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7AD"/>
      <w:bookmarkEnd w:id="2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val="false"/>
          <w:caps/>
          <w:color w:val="000000"/>
          <w:spacing w:val="4"/>
          <w:sz w:val="20"/>
        </w:rPr>
        <w:t>A</w:t>
      </w:r>
      <w:r>
        <w:rPr>
          <w:rFonts w:ascii="Times New Roman;Times;serif" w:hAnsi="Times New Roman;Times;serif"/>
          <w:b/>
          <w:i w:val="false"/>
          <w:caps/>
          <w:color w:val="000000"/>
          <w:spacing w:val="4"/>
          <w:sz w:val="14"/>
        </w:rPr>
        <w:t>dministration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Administration by Board.</w:t>
      </w:r>
      <w:r>
        <w:rPr>
          <w:rFonts w:ascii="Times New Roman;Times;serif" w:hAnsi="Times New Roman;Times;serif"/>
          <w:b w:val="false"/>
          <w:i w:val="false"/>
          <w:caps w:val="false"/>
          <w:smallCaps w:val="false"/>
          <w:color w:val="000000"/>
          <w:spacing w:val="4"/>
          <w:sz w:val="20"/>
        </w:rPr>
        <w:t xml:space="preserve">   The Board will administer the Plan unless and until the Board delegates administration of the Plan to a Committee or Committees, as provided in subsection (c) below.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Powers of Board.</w:t>
      </w:r>
      <w:r>
        <w:rPr>
          <w:rFonts w:ascii="Times New Roman;Times;serif" w:hAnsi="Times New Roman;Times;serif"/>
          <w:b w:val="false"/>
          <w:i w:val="false"/>
          <w:caps w:val="false"/>
          <w:smallCaps w:val="false"/>
          <w:color w:val="000000"/>
          <w:spacing w:val="4"/>
          <w:sz w:val="20"/>
        </w:rPr>
        <w:t xml:space="preserve">   The Board will have the power, subject to, and within the limitations of, the express provisions of the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To settle all controversies regarding the Plan and Awards granted under it.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w:t>
      </w:r>
      <w:r>
        <w:rPr>
          <w:rFonts w:ascii="Times New Roman;Times;serif" w:hAnsi="Times New Roman;Times;serif"/>
          <w:b w:val="false"/>
          <w:i w:val="false"/>
          <w:caps w:val="false"/>
          <w:smallCaps w:val="false"/>
          <w:color w:val="000000"/>
          <w:spacing w:val="4"/>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(vii)</w:t>
      </w:r>
      <w:r>
        <w:rPr>
          <w:rFonts w:ascii="Times New Roman;Times;serif" w:hAnsi="Times New Roman;Times;serif"/>
          <w:b w:val="false"/>
          <w:i w:val="false"/>
          <w:caps w:val="false"/>
          <w:smallCaps w:val="false"/>
          <w:color w:val="000000"/>
          <w:spacing w:val="4"/>
          <w:sz w:val="20"/>
        </w:rPr>
        <w:t>      To amend the Plan in any respect the Board deems necessary or advisable; provided, 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(viii)</w:t>
      </w:r>
      <w:r>
        <w:rPr>
          <w:rFonts w:ascii="Times New Roman;Times;serif" w:hAnsi="Times New Roman;Times;serif"/>
          <w:b w:val="false"/>
          <w:i w:val="false"/>
          <w:caps w:val="false"/>
          <w:smallCaps w:val="false"/>
          <w:color w:val="000000"/>
          <w:spacing w:val="4"/>
          <w:sz w:val="20"/>
        </w:rPr>
        <w:t xml:space="preserve">      To submit any amendment to the Plan for stockholder approval.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(ix)</w:t>
      </w:r>
      <w:r>
        <w:rPr>
          <w:rFonts w:ascii="Times New Roman;Times;serif" w:hAnsi="Times New Roman;Times;serif"/>
          <w:b w:val="false"/>
          <w:i w:val="false"/>
          <w:caps w:val="false"/>
          <w:smallCaps w:val="false"/>
          <w:color w:val="000000"/>
          <w:spacing w:val="4"/>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w:t>
      </w:r>
      <w:r>
        <w:rPr>
          <w:rFonts w:ascii="Times New Roman;Times;serif" w:hAnsi="Times New Roman;Times;serif"/>
          <w:b w:val="false"/>
          <w:i w:val="false"/>
          <w:caps w:val="false"/>
          <w:smallCaps w:val="false"/>
          <w:color w:val="000000"/>
          <w:spacing w:val="4"/>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(xi)</w:t>
      </w:r>
      <w:r>
        <w:rPr>
          <w:rFonts w:ascii="Times New Roman;Times;serif" w:hAnsi="Times New Roman;Times;serif"/>
          <w:b w:val="false"/>
          <w:i w:val="false"/>
          <w:caps w:val="false"/>
          <w:smallCaps w:val="false"/>
          <w:color w:val="000000"/>
          <w:spacing w:val="4"/>
          <w:sz w:val="20"/>
        </w:rPr>
        <w:t xml:space="preserve">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8TWI"/>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Delegation to Committee.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Rule 16b-3 Compliance.</w:t>
      </w:r>
      <w:r>
        <w:rPr>
          <w:rFonts w:ascii="Times New Roman;Times;serif" w:hAnsi="Times New Roman;Times;serif"/>
          <w:b w:val="false"/>
          <w:i w:val="false"/>
          <w:caps w:val="false"/>
          <w:smallCaps w:val="false"/>
          <w:color w:val="000000"/>
          <w:spacing w:val="4"/>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Effect of Board’s Decision.</w:t>
      </w:r>
      <w:r>
        <w:rPr>
          <w:rFonts w:ascii="Times New Roman;Times;serif" w:hAnsi="Times New Roman;Times;serif"/>
          <w:b w:val="false"/>
          <w:i w:val="false"/>
          <w:caps w:val="false"/>
          <w:smallCaps w:val="false"/>
          <w:color w:val="000000"/>
          <w:spacing w:val="4"/>
          <w:sz w:val="20"/>
        </w:rPr>
        <w:t xml:space="preserve">   All determinations, interpretations and constructions made by the Board or any Committee in good faith will not be subject to review by any person and will be final, binding and conclusive on all persons.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Cancellation and Re-Grant of Awards</w:t>
      </w:r>
      <w:r>
        <w:rPr>
          <w:rFonts w:ascii="Times New Roman;Times;serif" w:hAnsi="Times New Roman;Times;serif"/>
          <w:b w:val="false"/>
          <w:i w:val="false"/>
          <w:caps w:val="false"/>
          <w:smallCaps w:val="false"/>
          <w:color w:val="000000"/>
          <w:spacing w:val="4"/>
          <w:sz w:val="20"/>
        </w:rPr>
        <w:t xml:space="preserve">.   Neither the Board nor any Committee will have the 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Delegation to an Officer.</w:t>
      </w:r>
      <w:r>
        <w:rPr>
          <w:rFonts w:ascii="Times New Roman;Times;serif" w:hAnsi="Times New Roman;Times;serif"/>
          <w:b w:val="false"/>
          <w:i w:val="false"/>
          <w:caps w:val="false"/>
          <w:smallCaps w:val="false"/>
          <w:color w:val="000000"/>
          <w:spacing w:val="4"/>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ax</w:t>
      </w:r>
      <w:r>
        <w:rPr>
          <w:rFonts w:ascii="Times New Roman;Times;serif" w:hAnsi="Times New Roman;Times;serif"/>
          <w:b/>
          <w:i w:val="false"/>
          <w:caps/>
          <w:color w:val="000000"/>
          <w:spacing w:val="4"/>
          <w:sz w:val="20"/>
        </w:rPr>
        <w:t xml:space="preserve"> W</w:t>
      </w:r>
      <w:r>
        <w:rPr>
          <w:rFonts w:ascii="Times New Roman;Times;serif" w:hAnsi="Times New Roman;Times;serif"/>
          <w:b/>
          <w:i w:val="false"/>
          <w:caps/>
          <w:color w:val="000000"/>
          <w:spacing w:val="4"/>
          <w:sz w:val="14"/>
        </w:rPr>
        <w:t>ithholding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Withholding Authorization.</w:t>
      </w:r>
      <w:r>
        <w:rPr>
          <w:rFonts w:ascii="Times New Roman;Times;serif" w:hAnsi="Times New Roman;Times;serif"/>
          <w:b w:val="false"/>
          <w:i w:val="false"/>
          <w:caps w:val="false"/>
          <w:smallCaps w:val="false"/>
          <w:color w:val="000000"/>
          <w:spacing w:val="4"/>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Satisfaction of Withholding Obligation.</w:t>
      </w:r>
      <w:r>
        <w:rPr>
          <w:rFonts w:ascii="Times New Roman;Times;serif" w:hAnsi="Times New Roman;Times;serif"/>
          <w:b w:val="false"/>
          <w:i w:val="false"/>
          <w:caps w:val="false"/>
          <w:smallCaps w:val="false"/>
          <w:color w:val="000000"/>
          <w:spacing w:val="4"/>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9MI"/>
      <w:bookmarkEnd w:id="2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Obligation to Notify or Minimize Taxes; No Liability to Claims.</w:t>
      </w:r>
      <w:r>
        <w:rPr>
          <w:rFonts w:ascii="Times New Roman;Times;serif" w:hAnsi="Times New Roman;Times;serif"/>
          <w:b w:val="false"/>
          <w:i w:val="false"/>
          <w:caps w:val="false"/>
          <w:smallCaps w:val="false"/>
          <w:color w:val="000000"/>
          <w:spacing w:val="4"/>
          <w:sz w:val="20"/>
        </w:rPr>
        <w:t xml:space="preserve">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Withholding Indemnification.</w:t>
      </w:r>
      <w:r>
        <w:rPr>
          <w:rFonts w:ascii="Times New Roman;Times;serif" w:hAnsi="Times New Roman;Times;serif"/>
          <w:b w:val="false"/>
          <w:i w:val="false"/>
          <w:caps w:val="false"/>
          <w:smallCaps w:val="false"/>
          <w:color w:val="000000"/>
          <w:spacing w:val="4"/>
          <w:sz w:val="20"/>
        </w:rPr>
        <w:t xml:space="preserv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val="false"/>
          <w:caps/>
          <w:color w:val="000000"/>
          <w:spacing w:val="4"/>
          <w:sz w:val="20"/>
        </w:rPr>
        <w:t>M</w:t>
      </w:r>
      <w:r>
        <w:rPr>
          <w:rFonts w:ascii="Times New Roman;Times;serif" w:hAnsi="Times New Roman;Times;serif"/>
          <w:b/>
          <w:i w:val="false"/>
          <w:caps/>
          <w:color w:val="000000"/>
          <w:spacing w:val="4"/>
          <w:sz w:val="14"/>
        </w:rPr>
        <w:t>iscellaneous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Source of Shares.</w:t>
      </w:r>
      <w:r>
        <w:rPr>
          <w:rFonts w:ascii="Times New Roman;Times;serif" w:hAnsi="Times New Roman;Times;serif"/>
          <w:b w:val="false"/>
          <w:i w:val="false"/>
          <w:caps w:val="false"/>
          <w:smallCaps w:val="false"/>
          <w:color w:val="000000"/>
          <w:spacing w:val="4"/>
          <w:sz w:val="20"/>
        </w:rPr>
        <w:t xml:space="preserve">   The stock issuable under the Plan will be shares of authorized but unissued or reacquired Common Stock, including shares repurchased by the Company on the open market or otherwise.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Use of Proceeds from Sales of Common Stock.</w:t>
      </w:r>
      <w:r>
        <w:rPr>
          <w:rFonts w:ascii="Times New Roman;Times;serif" w:hAnsi="Times New Roman;Times;serif"/>
          <w:b w:val="false"/>
          <w:i w:val="false"/>
          <w:caps w:val="false"/>
          <w:smallCaps w:val="false"/>
          <w:color w:val="000000"/>
          <w:spacing w:val="4"/>
          <w:sz w:val="20"/>
        </w:rPr>
        <w:t xml:space="preserve">   Proceeds from the sale of shares of Common Stock pursuant to Awards will constitute general funds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Corporate Action Constituting Grant of Awards.</w:t>
      </w:r>
      <w:r>
        <w:rPr>
          <w:rFonts w:ascii="Times New Roman;Times;serif" w:hAnsi="Times New Roman;Times;serif"/>
          <w:b w:val="false"/>
          <w:i w:val="false"/>
          <w:caps w:val="false"/>
          <w:smallCaps w:val="false"/>
          <w:color w:val="000000"/>
          <w:spacing w:val="4"/>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Stockholder Rights.</w:t>
      </w:r>
      <w:r>
        <w:rPr>
          <w:rFonts w:ascii="Times New Roman;Times;serif" w:hAnsi="Times New Roman;Times;serif"/>
          <w:b w:val="false"/>
          <w:i w:val="false"/>
          <w:caps w:val="false"/>
          <w:smallCaps w:val="false"/>
          <w:color w:val="000000"/>
          <w:spacing w:val="4"/>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No Employment or Other Service Rights.</w:t>
      </w:r>
      <w:r>
        <w:rPr>
          <w:rFonts w:ascii="Times New Roman;Times;serif" w:hAnsi="Times New Roman;Times;serif"/>
          <w:b w:val="false"/>
          <w:i w:val="false"/>
          <w:caps w:val="false"/>
          <w:smallCaps w:val="false"/>
          <w:color w:val="000000"/>
          <w:spacing w:val="4"/>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Change in Time Commitment</w:t>
      </w:r>
      <w:r>
        <w:rPr>
          <w:rFonts w:ascii="Times New Roman;Times;serif" w:hAnsi="Times New Roman;Times;serif"/>
          <w:b w:val="false"/>
          <w:i w:val="false"/>
          <w:caps w:val="false"/>
          <w:smallCaps w:val="false"/>
          <w:color w:val="000000"/>
          <w:spacing w:val="4"/>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Execution of Additional Documents.</w:t>
      </w:r>
      <w:r>
        <w:rPr>
          <w:rFonts w:ascii="Times New Roman;Times;serif" w:hAnsi="Times New Roman;Times;serif"/>
          <w:b w:val="false"/>
          <w:i w:val="false"/>
          <w:caps w:val="false"/>
          <w:smallCaps w:val="false"/>
          <w:color w:val="000000"/>
          <w:spacing w:val="4"/>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Electronic Delivery and Participation</w:t>
      </w:r>
      <w:r>
        <w:rPr>
          <w:rFonts w:ascii="Times New Roman;Times;serif" w:hAnsi="Times New Roman;Times;serif"/>
          <w:b w:val="false"/>
          <w:i w:val="false"/>
          <w:caps w:val="false"/>
          <w:smallCaps w:val="false"/>
          <w:color w:val="000000"/>
          <w:spacing w:val="4"/>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Clawback/Recovery</w:t>
      </w:r>
      <w:r>
        <w:rPr>
          <w:rFonts w:ascii="Times New Roman;Times;serif" w:hAnsi="Times New Roman;Times;serif"/>
          <w:b w:val="false"/>
          <w:i w:val="false"/>
          <w:caps w:val="false"/>
          <w:smallCaps w:val="false"/>
          <w:color w:val="000000"/>
          <w:spacing w:val="4"/>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Securities Law Compliance.</w:t>
      </w:r>
      <w:r>
        <w:rPr>
          <w:rFonts w:ascii="Times New Roman;Times;serif" w:hAnsi="Times New Roman;Times;serif"/>
          <w:b w:val="false"/>
          <w:i w:val="false"/>
          <w:caps w:val="false"/>
          <w:smallCaps w:val="false"/>
          <w:color w:val="000000"/>
          <w:spacing w:val="4"/>
          <w:sz w:val="20"/>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Transfer or Assignment of Awards; Issued Shares.</w:t>
      </w:r>
      <w:r>
        <w:rPr>
          <w:rFonts w:ascii="Times New Roman;Times;serif" w:hAnsi="Times New Roman;Times;serif"/>
          <w:b w:val="false"/>
          <w:i w:val="false"/>
          <w:caps w:val="false"/>
          <w:smallCaps w:val="false"/>
          <w:color w:val="000000"/>
          <w:spacing w:val="4"/>
          <w:sz w:val="20"/>
        </w:rPr>
        <w:t xml:space="preserve">   Except as expressly provided in the Plan or the form of Award Agreement, Awards granted under the Plan may not be transferred or assigned by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1OTC"/>
      <w:bookmarkEnd w:id="28"/>
      <w:r>
        <w:rPr>
          <w:rFonts w:ascii="calibri;arial;sans-serif" w:hAnsi="calibri;arial;sans-serif"/>
          <w:b w:val="false"/>
          <w:i w:val="false"/>
          <w:caps w:val="false"/>
          <w:smallCaps w:val="false"/>
          <w:color w:val="000000"/>
          <w:sz w:val="16"/>
        </w:rPr>
        <w:t>​</w:t>
      </w:r>
      <w:bookmarkStart w:id="29" w:name="t11S"/>
      <w:bookmarkEnd w:id="2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Effect on Other Employee Benefit Plans.</w:t>
      </w:r>
      <w:r>
        <w:rPr>
          <w:rFonts w:ascii="Times New Roman;Times;serif" w:hAnsi="Times New Roman;Times;serif"/>
          <w:b w:val="false"/>
          <w:i w:val="false"/>
          <w:caps w:val="false"/>
          <w:smallCaps w:val="false"/>
          <w:color w:val="000000"/>
          <w:spacing w:val="4"/>
          <w:sz w:val="20"/>
        </w:rPr>
        <w:t xml:space="preserve">   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Deferrals.</w:t>
      </w:r>
      <w:r>
        <w:rPr>
          <w:rFonts w:ascii="Times New Roman;Times;serif" w:hAnsi="Times New Roman;Times;serif"/>
          <w:b w:val="false"/>
          <w:i w:val="false"/>
          <w:caps w:val="false"/>
          <w:smallCaps w:val="false"/>
          <w:color w:val="000000"/>
          <w:spacing w:val="4"/>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color w:val="000000"/>
          <w:spacing w:val="4"/>
          <w:sz w:val="20"/>
        </w:rPr>
        <w:t>C</w:t>
      </w:r>
      <w:r>
        <w:rPr>
          <w:rFonts w:ascii="Times New Roman;Times;serif" w:hAnsi="Times New Roman;Times;serif"/>
          <w:b/>
          <w:i w:val="false"/>
          <w:caps/>
          <w:color w:val="000000"/>
          <w:spacing w:val="4"/>
          <w:sz w:val="14"/>
        </w:rPr>
        <w:t>hoice</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L</w:t>
      </w:r>
      <w:r>
        <w:rPr>
          <w:rFonts w:ascii="Times New Roman;Times;serif" w:hAnsi="Times New Roman;Times;serif"/>
          <w:b/>
          <w:i w:val="false"/>
          <w:caps/>
          <w:color w:val="000000"/>
          <w:spacing w:val="4"/>
          <w:sz w:val="14"/>
        </w:rPr>
        <w:t>aw</w:t>
      </w:r>
      <w:r>
        <w:rPr>
          <w:rFonts w:ascii="Times New Roman;Times;serif" w:hAnsi="Times New Roman;Times;serif"/>
          <w:b/>
          <w:i w:val="false"/>
          <w:caps/>
          <w:color w:val="000000"/>
          <w:spacing w:val="4"/>
          <w:sz w:val="20"/>
        </w:rPr>
        <w:t>.</w:t>
      </w:r>
      <w:r>
        <w:rPr>
          <w:rFonts w:ascii="Times New Roman;Times;serif" w:hAnsi="Times New Roman;Times;serif"/>
          <w:b w:val="false"/>
          <w:i w:val="false"/>
          <w:caps w:val="false"/>
          <w:smallCaps w:val="false"/>
          <w:color w:val="000000"/>
          <w:spacing w:val="4"/>
          <w:sz w:val="20"/>
        </w:rPr>
        <w:t xml:space="preserve">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val="false"/>
          <w:caps/>
          <w:color w:val="000000"/>
          <w:spacing w:val="4"/>
          <w:sz w:val="20"/>
        </w:rPr>
        <w:t>C</w:t>
      </w:r>
      <w:r>
        <w:rPr>
          <w:rFonts w:ascii="Times New Roman;Times;serif" w:hAnsi="Times New Roman;Times;serif"/>
          <w:b/>
          <w:i w:val="false"/>
          <w:caps/>
          <w:color w:val="000000"/>
          <w:spacing w:val="4"/>
          <w:sz w:val="14"/>
        </w:rPr>
        <w:t>ovenants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C</w:t>
      </w:r>
      <w:r>
        <w:rPr>
          <w:rFonts w:ascii="Times New Roman;Times;serif" w:hAnsi="Times New Roman;Times;serif"/>
          <w:b/>
          <w:i w:val="false"/>
          <w:caps/>
          <w:color w:val="000000"/>
          <w:spacing w:val="4"/>
          <w:sz w:val="14"/>
        </w:rPr>
        <w:t>ompany</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Compliance with Law.</w:t>
      </w:r>
      <w:r>
        <w:rPr>
          <w:rFonts w:ascii="Times New Roman;Times;serif" w:hAnsi="Times New Roman;Times;serif"/>
          <w:b w:val="false"/>
          <w:i w:val="false"/>
          <w:caps w:val="false"/>
          <w:smallCaps w:val="false"/>
          <w:color w:val="000000"/>
          <w:spacing w:val="4"/>
          <w:sz w:val="20"/>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w:t>
      </w:r>
      <w:r>
        <w:rPr>
          <w:rFonts w:ascii="Times New Roman;Times;serif" w:hAnsi="Times New Roman;Times;serif"/>
          <w:b/>
          <w:i w:val="false"/>
          <w:caps/>
          <w:color w:val="000000"/>
          <w:spacing w:val="4"/>
          <w:sz w:val="20"/>
        </w:rPr>
        <w:t>S</w:t>
      </w:r>
      <w:r>
        <w:rPr>
          <w:rFonts w:ascii="Times New Roman;Times;serif" w:hAnsi="Times New Roman;Times;serif"/>
          <w:b/>
          <w:i w:val="false"/>
          <w:caps/>
          <w:color w:val="000000"/>
          <w:spacing w:val="4"/>
          <w:sz w:val="14"/>
        </w:rPr>
        <w:t>everability</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If all or any part of the Plan or any Award Agreement is declared by any court or governmental authority to be unlawful or invalid, such unlawfulness or invalidity shall not invalidate any portion of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1OTP"/>
      <w:bookmarkEnd w:id="30"/>
      <w:r>
        <w:rPr>
          <w:rFonts w:ascii="calibri;arial;sans-serif" w:hAnsi="calibri;arial;sans-serif"/>
          <w:b w:val="false"/>
          <w:i w:val="false"/>
          <w:caps w:val="false"/>
          <w:smallCaps w:val="false"/>
          <w:color w:val="000000"/>
          <w:sz w:val="16"/>
        </w:rPr>
        <w:t>​</w:t>
      </w:r>
      <w:bookmarkStart w:id="31" w:name="t13D"/>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w:t>
      </w:r>
      <w:r>
        <w:rPr>
          <w:rFonts w:ascii="Times New Roman;Times;serif" w:hAnsi="Times New Roman;Times;serif"/>
          <w:b/>
          <w:i w:val="false"/>
          <w:caps/>
          <w:color w:val="000000"/>
          <w:spacing w:val="4"/>
          <w:sz w:val="20"/>
        </w:rPr>
        <w:t>T</w:t>
      </w:r>
      <w:r>
        <w:rPr>
          <w:rFonts w:ascii="Times New Roman;Times;serif" w:hAnsi="Times New Roman;Times;serif"/>
          <w:b/>
          <w:i w:val="false"/>
          <w:caps/>
          <w:color w:val="000000"/>
          <w:spacing w:val="4"/>
          <w:sz w:val="14"/>
        </w:rPr>
        <w:t>ermination</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of</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the</w:t>
      </w:r>
      <w:r>
        <w:rPr>
          <w:rFonts w:ascii="Times New Roman;Times;serif" w:hAnsi="Times New Roman;Times;serif"/>
          <w:b/>
          <w:i w:val="false"/>
          <w:caps/>
          <w:color w:val="000000"/>
          <w:spacing w:val="4"/>
          <w:sz w:val="20"/>
        </w:rPr>
        <w:t xml:space="preserve"> P</w:t>
      </w:r>
      <w:r>
        <w:rPr>
          <w:rFonts w:ascii="Times New Roman;Times;serif" w:hAnsi="Times New Roman;Times;serif"/>
          <w:b/>
          <w:i w:val="false"/>
          <w:caps/>
          <w:color w:val="000000"/>
          <w:spacing w:val="4"/>
          <w:sz w:val="14"/>
        </w:rPr>
        <w:t>lan</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The Board may suspend or terminate the Plan at any time. No Incentive Stock Options may be granted after the tenth anniversary of the earlier of: (i) the Adoption Date, or (ii) the Effective Date. No Awards may be granted under the Plan while the Plan is suspended or after it is terminated. </w:t>
      </w:r>
    </w:p>
    <w:p>
      <w:pPr>
        <w:pStyle w:val="TextBody"/>
        <w:spacing w:lineRule="atLeast" w:line="240" w:before="16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w:t>
      </w:r>
      <w:r>
        <w:rPr>
          <w:rFonts w:ascii="Times New Roman;Times;serif" w:hAnsi="Times New Roman;Times;serif"/>
          <w:b/>
          <w:i w:val="false"/>
          <w:caps/>
          <w:color w:val="000000"/>
          <w:spacing w:val="4"/>
          <w:sz w:val="20"/>
        </w:rPr>
        <w:t>D</w:t>
      </w:r>
      <w:r>
        <w:rPr>
          <w:rFonts w:ascii="Times New Roman;Times;serif" w:hAnsi="Times New Roman;Times;serif"/>
          <w:b/>
          <w:i w:val="false"/>
          <w:caps/>
          <w:color w:val="000000"/>
          <w:spacing w:val="4"/>
          <w:sz w:val="14"/>
        </w:rPr>
        <w:t>efinitions</w:t>
      </w:r>
      <w:r>
        <w:rPr>
          <w:rFonts w:ascii="Times New Roman;Times;serif" w:hAnsi="Times New Roman;Times;serif"/>
          <w:b/>
          <w:i w:val="false"/>
          <w:caps/>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As used in the Plan, the following definitions apply to the capitalized terms indicated below: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Acquiring Entity</w:t>
      </w:r>
      <w:r>
        <w:rPr>
          <w:rFonts w:ascii="Times New Roman;Times;serif" w:hAnsi="Times New Roman;Times;serif"/>
          <w:b w:val="false"/>
          <w:i w:val="false"/>
          <w:caps w:val="false"/>
          <w:smallCaps w:val="false"/>
          <w:color w:val="000000"/>
          <w:spacing w:val="4"/>
          <w:sz w:val="20"/>
        </w:rPr>
        <w:t xml:space="preserve">” means the surviving or acquiring corporation (or its parent company) in connection with a Corporate Transaction.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Adoption Date</w:t>
      </w:r>
      <w:r>
        <w:rPr>
          <w:rFonts w:ascii="Times New Roman;Times;serif" w:hAnsi="Times New Roman;Times;serif"/>
          <w:b w:val="false"/>
          <w:i w:val="false"/>
          <w:caps w:val="false"/>
          <w:smallCaps w:val="false"/>
          <w:color w:val="000000"/>
          <w:spacing w:val="4"/>
          <w:sz w:val="20"/>
        </w:rPr>
        <w:t xml:space="preserve">” means the date the Plan is first approved by the Board or Compensation Committee.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Applicable Law</w:t>
      </w:r>
      <w:r>
        <w:rPr>
          <w:rFonts w:ascii="Times New Roman;Times;serif" w:hAnsi="Times New Roman;Times;serif"/>
          <w:b w:val="false"/>
          <w:i w:val="false"/>
          <w:caps w:val="false"/>
          <w:smallCaps w:val="false"/>
          <w:color w:val="000000"/>
          <w:spacing w:val="4"/>
          <w:sz w:val="20"/>
        </w:rPr>
        <w:t xml:space="preserve">”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Award</w:t>
      </w:r>
      <w:r>
        <w:rPr>
          <w:rFonts w:ascii="Times New Roman;Times;serif" w:hAnsi="Times New Roman;Times;serif"/>
          <w:b w:val="false"/>
          <w:i w:val="false"/>
          <w:caps w:val="false"/>
          <w:smallCaps w:val="false"/>
          <w:color w:val="000000"/>
          <w:spacing w:val="4"/>
          <w:sz w:val="20"/>
        </w:rPr>
        <w:t xml:space="preserve">” means any right to receive Common Stock, cash or other property granted under the Plan (including an Incentive Stock Option, a Nonstatutory Stock Option, a Restricted Stock Award, a RSU Award, a SAR, a Performance Award or any Other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Capitalization Adjustment</w:t>
      </w:r>
      <w:r>
        <w:rPr>
          <w:rFonts w:ascii="Times New Roman;Times;serif" w:hAnsi="Times New Roman;Times;serif"/>
          <w:b w:val="false"/>
          <w:i w:val="false"/>
          <w:caps w:val="false"/>
          <w:smallCaps w:val="false"/>
          <w:color w:val="000000"/>
          <w:spacing w:val="4"/>
          <w:sz w:val="20"/>
        </w:rPr>
        <w:t xml:space="preserve">”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Cause</w:t>
      </w:r>
      <w:r>
        <w:rPr>
          <w:rFonts w:ascii="Times New Roman;Times;serif" w:hAnsi="Times New Roman;Times;serif"/>
          <w:b w:val="false"/>
          <w:i w:val="false"/>
          <w:caps w:val="false"/>
          <w:smallCaps w:val="false"/>
          <w:color w:val="000000"/>
          <w:spacing w:val="4"/>
          <w:sz w:val="20"/>
        </w:rPr>
        <w:t xml:space="preserve">”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Change in Control</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val="false"/>
          <w:i/>
          <w:caps w:val="false"/>
          <w:smallCaps w:val="false"/>
          <w:color w:val="000000"/>
          <w:spacing w:val="4"/>
          <w:sz w:val="20"/>
        </w:rPr>
        <w:t>Subject Person</w:t>
      </w:r>
      <w:r>
        <w:rPr>
          <w:rFonts w:ascii="Times New Roman;Times;serif" w:hAnsi="Times New Roman;Times;serif"/>
          <w:b w:val="false"/>
          <w:i w:val="false"/>
          <w:caps w:val="false"/>
          <w:smallCaps w:val="false"/>
          <w:color w:val="000000"/>
          <w:spacing w:val="4"/>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the stockholders of the Company approve or the Board approves a plan of complete dissolution or liquidation of the Company, or a complete dissolution or liquidation of the Company shall otherwise occur, except for a liquidation into a parent corporation;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individuals who, on the date the Plan is adopted by the Board, are members of the Board (the “</w:t>
      </w:r>
      <w:r>
        <w:rPr>
          <w:rFonts w:ascii="Times New Roman;Times;serif" w:hAnsi="Times New Roman;Times;serif"/>
          <w:b/>
          <w:i/>
          <w:caps w:val="false"/>
          <w:smallCaps w:val="false"/>
          <w:color w:val="000000"/>
          <w:spacing w:val="4"/>
          <w:sz w:val="20"/>
        </w:rPr>
        <w:t>Incumbent Board</w:t>
      </w:r>
      <w:r>
        <w:rPr>
          <w:rFonts w:ascii="Times New Roman;Times;serif" w:hAnsi="Times New Roman;Times;serif"/>
          <w:b w:val="false"/>
          <w:i w:val="false"/>
          <w:caps w:val="false"/>
          <w:smallCaps w:val="false"/>
          <w:color w:val="000000"/>
          <w:spacing w:val="4"/>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including any applicable regulations and guidance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Committee</w:t>
      </w:r>
      <w:r>
        <w:rPr>
          <w:rFonts w:ascii="Times New Roman;Times;serif" w:hAnsi="Times New Roman;Times;serif"/>
          <w:b w:val="false"/>
          <w:i w:val="false"/>
          <w:caps w:val="false"/>
          <w:smallCaps w:val="false"/>
          <w:color w:val="000000"/>
          <w:spacing w:val="4"/>
          <w:sz w:val="20"/>
        </w:rPr>
        <w:t xml:space="preserve">” means the Compensation Committee and any other committee of Directors to whom authority has been delegated by the Board or Compensation Committee in accordance with the Plan.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w:t>
      </w:r>
      <w:r>
        <w:rPr>
          <w:rFonts w:ascii="Times New Roman;Times;serif" w:hAnsi="Times New Roman;Times;serif"/>
          <w:b/>
          <w:i w:val="false"/>
          <w:caps w:val="false"/>
          <w:smallCaps w:val="false"/>
          <w:color w:val="000000"/>
          <w:spacing w:val="4"/>
          <w:sz w:val="20"/>
        </w:rPr>
        <w:t>Marker Therapeutics, Inc.,</w:t>
      </w:r>
      <w:r>
        <w:rPr>
          <w:rFonts w:ascii="Times New Roman;Times;serif" w:hAnsi="Times New Roman;Times;serif"/>
          <w:b w:val="false"/>
          <w:i w:val="false"/>
          <w:caps w:val="false"/>
          <w:smallCaps w:val="false"/>
          <w:color w:val="000000"/>
          <w:spacing w:val="4"/>
          <w:sz w:val="20"/>
        </w:rPr>
        <w:t xml:space="preserve"> a Delaware corporation.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means the Compensation Committee of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Consultant</w:t>
      </w:r>
      <w:r>
        <w:rPr>
          <w:rFonts w:ascii="Times New Roman;Times;serif" w:hAnsi="Times New Roman;Times;serif"/>
          <w:b w:val="false"/>
          <w:i w:val="false"/>
          <w:caps w:val="false"/>
          <w:smallCaps w:val="false"/>
          <w:color w:val="000000"/>
          <w:spacing w:val="4"/>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(q)</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Continuous Service</w:t>
      </w:r>
      <w:r>
        <w:rPr>
          <w:rFonts w:ascii="Times New Roman;Times;serif" w:hAnsi="Times New Roman;Times;serif"/>
          <w:b w:val="false"/>
          <w:i w:val="false"/>
          <w:caps w:val="false"/>
          <w:smallCaps w:val="false"/>
          <w:color w:val="000000"/>
          <w:spacing w:val="4"/>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Corporate Transaction</w:t>
      </w:r>
      <w:r>
        <w:rPr>
          <w:rFonts w:ascii="Times New Roman;Times;serif" w:hAnsi="Times New Roman;Times;serif"/>
          <w:b w:val="false"/>
          <w:i w:val="false"/>
          <w:caps w:val="false"/>
          <w:smallCaps w:val="false"/>
          <w:color w:val="000000"/>
          <w:spacing w:val="4"/>
          <w:sz w:val="20"/>
        </w:rPr>
        <w:t xml:space="preserve">” means the consummation, in a single transaction or in a series of related transactions, of any one or more of the following events: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a sale or other disposition of all or substantially all, as determined by the Board, of the consolidated assets of the Company and its Subsidiaries;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a sale or other disposition of at least 50% of the outstanding securities of the Company;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a merger, consolidation or similar transaction following which the Company is not the surviving corporation;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(iv)</w:t>
      </w:r>
      <w:r>
        <w:rPr>
          <w:rFonts w:ascii="Times New Roman;Times;serif" w:hAnsi="Times New Roman;Times;serif"/>
          <w:b w:val="false"/>
          <w:i w:val="false"/>
          <w:caps w:val="false"/>
          <w:smallCaps w:val="false"/>
          <w:color w:val="000000"/>
          <w:spacing w:val="4"/>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means a member of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determine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caps w:val="false"/>
          <w:smallCaps w:val="false"/>
          <w:color w:val="000000"/>
          <w:spacing w:val="4"/>
          <w:sz w:val="20"/>
        </w:rPr>
        <w:t>or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caps w:val="false"/>
          <w:smallCaps w:val="false"/>
          <w:color w:val="000000"/>
          <w:spacing w:val="4"/>
          <w:sz w:val="20"/>
        </w:rPr>
        <w:t>determined</w:t>
      </w:r>
      <w:r>
        <w:rPr>
          <w:rFonts w:ascii="Times New Roman;Times;serif" w:hAnsi="Times New Roman;Times;serif"/>
          <w:b w:val="false"/>
          <w:i w:val="false"/>
          <w:caps w:val="false"/>
          <w:smallCaps w:val="false"/>
          <w:color w:val="000000"/>
          <w:spacing w:val="4"/>
          <w:sz w:val="20"/>
        </w:rPr>
        <w:t xml:space="preserve">” means as determined by the Board or the Committee (or its designee) in its sole discretion.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(u)</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Disability</w:t>
      </w:r>
      <w:r>
        <w:rPr>
          <w:rFonts w:ascii="Times New Roman;Times;serif" w:hAnsi="Times New Roman;Times;serif"/>
          <w:b w:val="false"/>
          <w:i w:val="false"/>
          <w:caps w:val="false"/>
          <w:smallCaps w:val="false"/>
          <w:color w:val="000000"/>
          <w:spacing w:val="4"/>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Effective Date</w:t>
      </w:r>
      <w:r>
        <w:rPr>
          <w:rFonts w:ascii="Times New Roman;Times;serif" w:hAnsi="Times New Roman;Times;serif"/>
          <w:b w:val="false"/>
          <w:i w:val="false"/>
          <w:caps w:val="false"/>
          <w:smallCaps w:val="false"/>
          <w:color w:val="000000"/>
          <w:spacing w:val="4"/>
          <w:sz w:val="20"/>
        </w:rPr>
        <w:t xml:space="preserve">” means the date of the annual meeting of stockholders of the Company held in 2020 provided this Plan is approved by the Company’s stockholders at such meeting.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(w)</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Employee</w:t>
      </w:r>
      <w:r>
        <w:rPr>
          <w:rFonts w:ascii="Times New Roman;Times;serif" w:hAnsi="Times New Roman;Times;serif"/>
          <w:b w:val="false"/>
          <w:i w:val="false"/>
          <w:caps w:val="false"/>
          <w:smallCaps w:val="false"/>
          <w:color w:val="000000"/>
          <w:spacing w:val="4"/>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Employer</w:t>
      </w:r>
      <w:r>
        <w:rPr>
          <w:rFonts w:ascii="Times New Roman;Times;serif" w:hAnsi="Times New Roman;Times;serif"/>
          <w:b w:val="false"/>
          <w:i w:val="false"/>
          <w:caps w:val="false"/>
          <w:smallCaps w:val="false"/>
          <w:color w:val="000000"/>
          <w:spacing w:val="4"/>
          <w:sz w:val="20"/>
        </w:rPr>
        <w:t xml:space="preserve">” means the Company or the Affiliate of the Company that employs the Participant.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Entity</w:t>
      </w:r>
      <w:r>
        <w:rPr>
          <w:rFonts w:ascii="Times New Roman;Times;serif" w:hAnsi="Times New Roman;Times;serif"/>
          <w:b w:val="false"/>
          <w:i w:val="false"/>
          <w:caps w:val="false"/>
          <w:smallCaps w:val="false"/>
          <w:color w:val="000000"/>
          <w:spacing w:val="4"/>
          <w:sz w:val="20"/>
        </w:rPr>
        <w:t xml:space="preserve">” means a corporation, partnership, limited liability company or other entity.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(z)</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and the rules and regulations promulgated thereunder.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Exchange Act Person</w:t>
      </w:r>
      <w:r>
        <w:rPr>
          <w:rFonts w:ascii="Times New Roman;Times;serif" w:hAnsi="Times New Roman;Times;serif"/>
          <w:b w:val="false"/>
          <w:i w:val="false"/>
          <w:caps w:val="false"/>
          <w:smallCaps w:val="false"/>
          <w:color w:val="000000"/>
          <w:spacing w:val="4"/>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Fair Market Value</w:t>
      </w:r>
      <w:r>
        <w:rPr>
          <w:rFonts w:ascii="Times New Roman;Times;serif" w:hAnsi="Times New Roman;Times;serif"/>
          <w:b w:val="false"/>
          <w:i w:val="false"/>
          <w:caps w:val="false"/>
          <w:smallCaps w:val="false"/>
          <w:color w:val="000000"/>
          <w:spacing w:val="4"/>
          <w:sz w:val="20"/>
        </w:rPr>
        <w:t xml:space="preserve">” means, as of any date, unless otherwise determined by the Board, the value of the Common Stock (as determined on a per share or aggregate basis, as applicable) determined as follows: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w:t>
      </w:r>
      <w:r>
        <w:rPr>
          <w:rFonts w:ascii="Times New Roman;Times;serif" w:hAnsi="Times New Roman;Times;serif"/>
          <w:b w:val="false"/>
          <w:i w:val="false"/>
          <w:caps w:val="false"/>
          <w:smallCaps w:val="false"/>
          <w:color w:val="000000"/>
          <w:spacing w:val="4"/>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Governmental Body</w:t>
      </w:r>
      <w:r>
        <w:rPr>
          <w:rFonts w:ascii="Times New Roman;Times;serif" w:hAnsi="Times New Roman;Times;serif"/>
          <w:b w:val="false"/>
          <w:i w:val="false"/>
          <w:caps w:val="false"/>
          <w:smallCaps w:val="false"/>
          <w:color w:val="000000"/>
          <w:spacing w:val="4"/>
          <w:sz w:val="20"/>
        </w:rPr>
        <w:t xml:space="preserve">” means any: (a) nation, state, commonwealth, province, territory, county, municipality, district or other jurisdiction of any nature; (b) federal, state, local, municipal, foreign or other government; (c) governmental or regulatory body, or quasi-governmental body of any nature (including 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Grant Notice</w:t>
      </w:r>
      <w:r>
        <w:rPr>
          <w:rFonts w:ascii="Times New Roman;Times;serif" w:hAnsi="Times New Roman;Times;serif"/>
          <w:b w:val="false"/>
          <w:i w:val="false"/>
          <w:caps w:val="false"/>
          <w:smallCaps w:val="false"/>
          <w:color w:val="000000"/>
          <w:spacing w:val="4"/>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Incentive Stock Option</w:t>
      </w:r>
      <w:r>
        <w:rPr>
          <w:rFonts w:ascii="Times New Roman;Times;serif" w:hAnsi="Times New Roman;Times;serif"/>
          <w:b w:val="false"/>
          <w:i w:val="false"/>
          <w:caps w:val="false"/>
          <w:smallCaps w:val="false"/>
          <w:color w:val="000000"/>
          <w:spacing w:val="4"/>
          <w:sz w:val="20"/>
        </w:rPr>
        <w:t xml:space="preserve">” means an option granted pursuant to Section 4 of the Plan that is intended to be, and qualifies as, an “incentive stock option” within the meaning of Section 422 of the Code.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Materially Impair</w:t>
      </w:r>
      <w:r>
        <w:rPr>
          <w:rFonts w:ascii="Times New Roman;Times;serif" w:hAnsi="Times New Roman;Times;serif"/>
          <w:b w:val="false"/>
          <w:i w:val="false"/>
          <w:caps w:val="false"/>
          <w:smallCaps w:val="false"/>
          <w:color w:val="000000"/>
          <w:spacing w:val="4"/>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Non-Employee Director</w:t>
      </w:r>
      <w:r>
        <w:rPr>
          <w:rFonts w:ascii="Times New Roman;Times;serif" w:hAnsi="Times New Roman;Times;serif"/>
          <w:b w:val="false"/>
          <w:i w:val="false"/>
          <w:caps w:val="false"/>
          <w:smallCaps w:val="false"/>
          <w:color w:val="000000"/>
          <w:spacing w:val="4"/>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color w:val="000000"/>
          <w:spacing w:val="4"/>
          <w:sz w:val="20"/>
        </w:rPr>
        <w:t>Regulation S-K</w:t>
      </w:r>
      <w:r>
        <w:rPr>
          <w:rFonts w:ascii="Times New Roman;Times;serif" w:hAnsi="Times New Roman;Times;serif"/>
          <w:b w:val="false"/>
          <w:i w:val="false"/>
          <w:caps w:val="false"/>
          <w:smallCaps w:val="false"/>
          <w:color w:val="000000"/>
          <w:spacing w:val="4"/>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Nonstatutory Stock Option</w:t>
      </w:r>
      <w:r>
        <w:rPr>
          <w:rFonts w:ascii="Times New Roman;Times;serif" w:hAnsi="Times New Roman;Times;serif"/>
          <w:b w:val="false"/>
          <w:i w:val="false"/>
          <w:caps w:val="false"/>
          <w:smallCaps w:val="false"/>
          <w:color w:val="000000"/>
          <w:spacing w:val="4"/>
          <w:sz w:val="20"/>
        </w:rPr>
        <w:t xml:space="preserve">” means any option granted pursuant to Section 4 of the Plan that does not qualify as an Incentive Stock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w:t>
      </w:r>
      <w:r>
        <w:rPr>
          <w:rFonts w:ascii="Times New Roman;Times;serif" w:hAnsi="Times New Roman;Times;serif"/>
          <w:b w:val="false"/>
          <w:i w:val="false"/>
          <w:caps w:val="false"/>
          <w:smallCaps w:val="false"/>
          <w:color w:val="000000"/>
          <w:spacing w:val="4"/>
          <w:sz w:val="20"/>
        </w:rPr>
        <w:t xml:space="preserve">” means an Incentive Stock Option or a Nonstatutory Stock Option to purchase shares of Common Stock granted pursuant to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 Agreement</w:t>
      </w:r>
      <w:r>
        <w:rPr>
          <w:rFonts w:ascii="Times New Roman;Times;serif" w:hAnsi="Times New Roman;Times;serif"/>
          <w:b w:val="false"/>
          <w:i w:val="false"/>
          <w:caps w:val="false"/>
          <w:smallCaps w:val="false"/>
          <w:color w:val="000000"/>
          <w:spacing w:val="4"/>
          <w:sz w:val="20"/>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Optionholder</w:t>
      </w:r>
      <w:r>
        <w:rPr>
          <w:rFonts w:ascii="Times New Roman;Times;serif" w:hAnsi="Times New Roman;Times;serif"/>
          <w:b w:val="false"/>
          <w:i w:val="false"/>
          <w:caps w:val="false"/>
          <w:smallCaps w:val="false"/>
          <w:color w:val="000000"/>
          <w:spacing w:val="4"/>
          <w:sz w:val="20"/>
        </w:rPr>
        <w:t xml:space="preserve">” means a person to whom an Option is granted pursuant to the Plan or, if applicable, such other person who holds an outstanding Option.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Other Award</w:t>
      </w:r>
      <w:r>
        <w:rPr>
          <w:rFonts w:ascii="Times New Roman;Times;serif" w:hAnsi="Times New Roman;Times;serif"/>
          <w:b w:val="false"/>
          <w:i w:val="false"/>
          <w:caps w:val="false"/>
          <w:smallCaps w:val="false"/>
          <w:color w:val="000000"/>
          <w:spacing w:val="4"/>
          <w:sz w:val="20"/>
        </w:rPr>
        <w:t xml:space="preserve">” means an award based in whole or in part by reference to the Common Stock which is granted pursuant to the terms and conditions of Section 5(c).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Other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an Other Award evidencing the terms and conditions of an Other Award grant. Each Other Award Agreement will be subject to the terms and conditions of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Ownership</w:t>
      </w:r>
      <w:r>
        <w:rPr>
          <w:rFonts w:ascii="Times New Roman;Times;serif" w:hAnsi="Times New Roman;Times;serif"/>
          <w:b w:val="false"/>
          <w:i w:val="false"/>
          <w:caps w:val="false"/>
          <w:smallCaps w:val="false"/>
          <w:color w:val="000000"/>
          <w:spacing w:val="4"/>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spacing w:lineRule="atLeast" w:line="22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Participant</w:t>
      </w:r>
      <w:r>
        <w:rPr>
          <w:rFonts w:ascii="Times New Roman;Times;serif" w:hAnsi="Times New Roman;Times;serif"/>
          <w:b w:val="false"/>
          <w:i w:val="false"/>
          <w:caps w:val="false"/>
          <w:smallCaps w:val="false"/>
          <w:color w:val="000000"/>
          <w:spacing w:val="4"/>
          <w:sz w:val="20"/>
        </w:rPr>
        <w:t xml:space="preserve">” means an Employee, Director or Consultant to whom an Award is granted pursuant to the Plan or, if applicable, such other person who holds an outstanding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(qq)</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Award</w:t>
      </w:r>
      <w:r>
        <w:rPr>
          <w:rFonts w:ascii="Times New Roman;Times;serif" w:hAnsi="Times New Roman;Times;serif"/>
          <w:b w:val="false"/>
          <w:i w:val="false"/>
          <w:caps w:val="false"/>
          <w:smallCaps w:val="false"/>
          <w:color w:val="000000"/>
          <w:spacing w:val="4"/>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Criteria</w:t>
      </w:r>
      <w:r>
        <w:rPr>
          <w:rFonts w:ascii="Times New Roman;Times;serif" w:hAnsi="Times New Roman;Times;serif"/>
          <w:b w:val="false"/>
          <w:i w:val="false"/>
          <w:caps w:val="false"/>
          <w:smallCaps w:val="false"/>
          <w:color w:val="000000"/>
          <w:spacing w:val="4"/>
          <w:sz w:val="20"/>
        </w:rPr>
        <w:t xml:space="preserve">” means the one or more criteria that the Board will select for purposes of establishing the Performance Goals for a Performance Period. The Performance Criteria that will be used to establish such Performance Goals may be based on any measure of performance selected by the Board.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(ss)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Goals</w:t>
      </w:r>
      <w:r>
        <w:rPr>
          <w:rFonts w:ascii="Times New Roman;Times;serif" w:hAnsi="Times New Roman;Times;serif"/>
          <w:b w:val="false"/>
          <w:i w:val="false"/>
          <w:caps w:val="false"/>
          <w:smallCaps w:val="false"/>
          <w:color w:val="000000"/>
          <w:spacing w:val="4"/>
          <w:sz w:val="20"/>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(tt)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Performance Period</w:t>
      </w:r>
      <w:r>
        <w:rPr>
          <w:rFonts w:ascii="Times New Roman;Times;serif" w:hAnsi="Times New Roman;Times;serif"/>
          <w:b w:val="false"/>
          <w:i w:val="false"/>
          <w:caps w:val="false"/>
          <w:smallCaps w:val="false"/>
          <w:color w:val="000000"/>
          <w:spacing w:val="4"/>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(uu)</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means this Marker Therapeutics, Inc. 2020 Equity Incentive Plan. </w:t>
      </w:r>
    </w:p>
    <w:p>
      <w:pPr>
        <w:pStyle w:val="TextBody"/>
        <w:spacing w:lineRule="atLeast" w:line="23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(vv)</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Plan Administrator</w:t>
      </w:r>
      <w:r>
        <w:rPr>
          <w:rFonts w:ascii="Times New Roman;Times;serif" w:hAnsi="Times New Roman;Times;serif"/>
          <w:b w:val="false"/>
          <w:i w:val="false"/>
          <w:caps w:val="false"/>
          <w:smallCaps w:val="false"/>
          <w:color w:val="000000"/>
          <w:spacing w:val="4"/>
          <w:sz w:val="20"/>
        </w:rPr>
        <w:t xml:space="preserve">” means the person, persons, and/or third-party administrator designated by the Company to administer the day to day operations of the Plan and the Company’s other equity incentive programs.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(ww)</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Post-Termination Exercise Period</w:t>
      </w:r>
      <w:r>
        <w:rPr>
          <w:rFonts w:ascii="Times New Roman;Times;serif" w:hAnsi="Times New Roman;Times;serif"/>
          <w:b w:val="false"/>
          <w:i w:val="false"/>
          <w:caps w:val="false"/>
          <w:smallCaps w:val="false"/>
          <w:color w:val="000000"/>
          <w:spacing w:val="4"/>
          <w:sz w:val="20"/>
        </w:rPr>
        <w:t xml:space="preserve">” means the period following termination of a Participant’s Continuous Service within which an Option or SAR is exercisable, as specified in Section 4(h).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(xx)</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Prior Plans’ Available Reserve</w:t>
      </w:r>
      <w:r>
        <w:rPr>
          <w:rFonts w:ascii="Times New Roman;Times;serif" w:hAnsi="Times New Roman;Times;serif"/>
          <w:b w:val="false"/>
          <w:i w:val="false"/>
          <w:caps w:val="false"/>
          <w:smallCaps w:val="false"/>
          <w:color w:val="000000"/>
          <w:spacing w:val="4"/>
          <w:sz w:val="20"/>
        </w:rPr>
        <w:t xml:space="preserve">” means the number of shares available for the grant of new awards under the Prior Plans as of immediately prior to the Effective Date.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(yy)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Prior Plans</w:t>
      </w:r>
      <w:r>
        <w:rPr>
          <w:rFonts w:ascii="Times New Roman;Times;serif" w:hAnsi="Times New Roman;Times;serif"/>
          <w:b w:val="false"/>
          <w:i w:val="false"/>
          <w:caps w:val="false"/>
          <w:smallCaps w:val="false"/>
          <w:color w:val="000000"/>
          <w:spacing w:val="4"/>
          <w:sz w:val="20"/>
        </w:rPr>
        <w:t xml:space="preserve">” mean the TapImmune Inc. 2014 Omnibus Stock Ownership Plan and the Tap Immune Inc. 2009 Stock Incentive Plan, each as amended.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(zz)</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Prospectus</w:t>
      </w:r>
      <w:r>
        <w:rPr>
          <w:rFonts w:ascii="Times New Roman;Times;serif" w:hAnsi="Times New Roman;Times;serif"/>
          <w:b w:val="false"/>
          <w:i w:val="false"/>
          <w:caps w:val="false"/>
          <w:smallCaps w:val="false"/>
          <w:color w:val="000000"/>
          <w:spacing w:val="4"/>
          <w:sz w:val="20"/>
        </w:rPr>
        <w:t xml:space="preserve">” means the document containing the Plan information specified in Section 10(a) of the Securities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(aaa)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Restricted Stock Award</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RSA</w:t>
      </w:r>
      <w:r>
        <w:rPr>
          <w:rFonts w:ascii="Times New Roman;Times;serif" w:hAnsi="Times New Roman;Times;serif"/>
          <w:b w:val="false"/>
          <w:i w:val="false"/>
          <w:caps w:val="false"/>
          <w:smallCaps w:val="false"/>
          <w:color w:val="000000"/>
          <w:spacing w:val="4"/>
          <w:sz w:val="20"/>
        </w:rPr>
        <w:t xml:space="preserve">”means an Award of shares of Common Stock which is granted pursuant to the terms and conditions of Section 5(a).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(bbb)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Restricted Stock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(ccc)</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Returning Shares</w:t>
      </w:r>
      <w:r>
        <w:rPr>
          <w:rFonts w:ascii="Times New Roman;Times;serif" w:hAnsi="Times New Roman;Times;serif"/>
          <w:b w:val="false"/>
          <w:i w:val="false"/>
          <w:caps w:val="false"/>
          <w:smallCaps w:val="false"/>
          <w:color w:val="000000"/>
          <w:spacing w:val="4"/>
          <w:sz w:val="20"/>
        </w:rPr>
        <w:t xml:space="preserve">” means shares subject to outstanding stock awards granted under the Prior Plans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(ddd)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RSU Award</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RSU</w:t>
      </w:r>
      <w:r>
        <w:rPr>
          <w:rFonts w:ascii="Times New Roman;Times;serif" w:hAnsi="Times New Roman;Times;serif"/>
          <w:b w:val="false"/>
          <w:i w:val="false"/>
          <w:caps w:val="false"/>
          <w:smallCaps w:val="false"/>
          <w:color w:val="000000"/>
          <w:spacing w:val="4"/>
          <w:sz w:val="20"/>
        </w:rPr>
        <w:t xml:space="preserve">” means an Award of restricted stock units representing the right to receive an issuance of shares of Common Stock which is granted pursuant to the terms and conditions of Section 5(a).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(eee)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RSU Award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(fff)</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Rule 16b-3</w:t>
      </w:r>
      <w:r>
        <w:rPr>
          <w:rFonts w:ascii="Times New Roman;Times;serif" w:hAnsi="Times New Roman;Times;serif"/>
          <w:b w:val="false"/>
          <w:i w:val="false"/>
          <w:caps w:val="false"/>
          <w:smallCaps w:val="false"/>
          <w:color w:val="000000"/>
          <w:spacing w:val="4"/>
          <w:sz w:val="20"/>
        </w:rPr>
        <w:t xml:space="preserve">” means Rule 16b-3 promulgated under the Exchange Act or any successor to Rule 16b-3, as in effect from time to time.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(ggg)</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Rule 405</w:t>
      </w:r>
      <w:r>
        <w:rPr>
          <w:rFonts w:ascii="Times New Roman;Times;serif" w:hAnsi="Times New Roman;Times;serif"/>
          <w:b w:val="false"/>
          <w:i w:val="false"/>
          <w:caps w:val="false"/>
          <w:smallCaps w:val="false"/>
          <w:color w:val="000000"/>
          <w:spacing w:val="4"/>
          <w:sz w:val="20"/>
        </w:rPr>
        <w:t xml:space="preserve">” means Rule 405 promulgated under the Securities Act.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(hhh)</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means Section 409A of the Code and the regulations and other guidance thereunder.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(iii)</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Section 409A Change in Control</w:t>
      </w:r>
      <w:r>
        <w:rPr>
          <w:rFonts w:ascii="Times New Roman;Times;serif" w:hAnsi="Times New Roman;Times;serif"/>
          <w:b w:val="false"/>
          <w:i w:val="false"/>
          <w:caps w:val="false"/>
          <w:smallCaps w:val="false"/>
          <w:color w:val="000000"/>
          <w:spacing w:val="4"/>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spacing w:lineRule="atLeast" w:line="240" w:before="160" w:after="283"/>
        <w:ind w:left="1793" w:right="0" w:hanging="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(jjj)</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(kkk)</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Share Reserve</w:t>
      </w:r>
      <w:r>
        <w:rPr>
          <w:rFonts w:ascii="Times New Roman;Times;serif" w:hAnsi="Times New Roman;Times;serif"/>
          <w:b w:val="false"/>
          <w:i w:val="false"/>
          <w:caps w:val="false"/>
          <w:smallCaps w:val="false"/>
          <w:color w:val="000000"/>
          <w:spacing w:val="4"/>
          <w:sz w:val="20"/>
        </w:rPr>
        <w:t xml:space="preserve">” means the number of shares available for issuance under the Plan as set forth in Section 2(a).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(lll)</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Stock Appreciation Right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SAR</w:t>
      </w:r>
      <w:r>
        <w:rPr>
          <w:rFonts w:ascii="Times New Roman;Times;serif" w:hAnsi="Times New Roman;Times;serif"/>
          <w:b w:val="false"/>
          <w:i w:val="false"/>
          <w:caps w:val="false"/>
          <w:smallCaps w:val="false"/>
          <w:color w:val="000000"/>
          <w:spacing w:val="4"/>
          <w:sz w:val="20"/>
        </w:rPr>
        <w:t xml:space="preserve">” means a right to receive the appreciation on Common Stock that is granted pursuant to the terms and conditions of Section 4.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760"/>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(mmm)</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SAR Agreement</w:t>
      </w:r>
      <w:r>
        <w:rPr>
          <w:rFonts w:ascii="Times New Roman;Times;serif" w:hAnsi="Times New Roman;Times;serif"/>
          <w:b w:val="false"/>
          <w:i w:val="false"/>
          <w:caps w:val="false"/>
          <w:smallCaps w:val="false"/>
          <w:color w:val="000000"/>
          <w:spacing w:val="4"/>
          <w:sz w:val="20"/>
        </w:rPr>
        <w:t xml:space="preserve">”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(nnn)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(ooo)</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Ten Percent Stockholder</w:t>
      </w:r>
      <w:r>
        <w:rPr>
          <w:rFonts w:ascii="Times New Roman;Times;serif" w:hAnsi="Times New Roman;Times;serif"/>
          <w:b w:val="false"/>
          <w:i w:val="false"/>
          <w:caps w:val="false"/>
          <w:smallCaps w:val="false"/>
          <w:color w:val="000000"/>
          <w:spacing w:val="4"/>
          <w:sz w:val="20"/>
        </w:rPr>
        <w:t xml:space="preserve">” means a person who Owns (or is deemed to Own pursuant to Section 424(d) of the Code) stock possessing more than 10% of the total combined voting power of all classes of stock of the Company or any Affiliate. </w:t>
      </w:r>
    </w:p>
    <w:p>
      <w:pPr>
        <w:pStyle w:val="TextBody"/>
        <w:spacing w:lineRule="atLeast" w:line="240" w:before="160" w:after="283"/>
        <w:ind w:left="1393" w:right="0" w:firstLine="400"/>
        <w:jc w:val="both"/>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(ppp)</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Trading Policy</w:t>
      </w:r>
      <w:r>
        <w:rPr>
          <w:rFonts w:ascii="Times New Roman;Times;serif" w:hAnsi="Times New Roman;Times;serif"/>
          <w:b w:val="false"/>
          <w:i w:val="false"/>
          <w:caps w:val="false"/>
          <w:smallCaps w:val="false"/>
          <w:color w:val="000000"/>
          <w:spacing w:val="4"/>
          <w:sz w:val="20"/>
        </w:rPr>
        <w:t>” means the Company’s policy permitting certain individuals to sell Company shares only during certain “window” periods and/or otherwise restricts the ability of certain individuals to transfer or encumber Company shares, as in effect from time to time.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ANNUAL MEETING OF STOCKHOLDERS OFMARKER THERAPEUTICS, INC.May 19, 2020NOTICE OF INTERNET AVAILABILITY OF PROXY MATERIALS:The Notice of Meeting, proxy statement and proxy cardare available at http://www.astproxyportal.com/ast/22890/Please sign, date and mailyour proxy card in theenvelope provided as soonas possible.Signature of Stockholder Date: Signature of Stockholder Date:Note: Please sign exactly as your name or names appear on this Proxy. When shares are held jointly, each holder should sign. When signing as executor, administrator, attorney, trustee or guardian, please give fulltitle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method.INSTRUCTIONS: To withhold authority to vote for any individual nominee(s), mark “FOR ALL EXCEPT”and fill in the circle next to each nominee you wish to withhold, as shown here:THE BOARD OF DIRECTORS RECOMMENDS A VOTE "FOR" THE ELECTION OF DIRECTORS AND "FOR" PROPOSALS 2, 3 AND 4.PLEASE SIGN, DATE AND RETURN PROMPTLY IN THE ENCLOSED ENVELOPE. PLEASE MARK YOUR VOTE IN BLUE OR BLACK INK AS SHOWN HERE xPlease detach along perforated line and mail in the envelope provided.20733030000000001000 8 051920GO GREENe-Consent makes it easy to go paperless. With e-Consent, you can quickly access your proxymaterial, statements and other eligible documents online, while reducing costs, clutter andpaper waste. Enroll today via www.astfinancial.com to enjoy online access.1. Election of Directors:O David EansorO Steven ElmsO Peter HoangO David Laskow-PooleyO Frederick WassermanO John WilsonO Juan Vera2. Approval, on an advisory basis, of the compensation of theCompany’s named executive officers.3. Ratification of the selection by the Audit Committee of the Board ofDirectors of Marcum LLP as the independent registered publicaccounting firm of the Company for its fiscal year ending December31, 2020.4. Approval of the Company’s 2020 Equity Incentive Plan.In their discretion, the proxies are authorized to vote upon such other business as mayproperly come before the Annual Meeting. This proxy when properly executed will be votedas directed herein by the undersigned stockholder. If no direction is made, this proxy willbe voted FOR ALL NOMINEES in Proposal 1 and FOR Proposals 2, 3 and 4.FOR AGAINST ABSTAINFOR ALL NOMINEESWITHHOLD AUTHORITYFOR ALL NOMINEESFOR ALL EXCEPT(See instructions below)NOMINEES:MARK “X” HERE IF YOU PLAN TO ATTEND THE MEETING.</w:t>
      </w:r>
      <w:r>
        <w:rPr>
          <w:rFonts w:ascii="Times New Roman;Times;serif" w:hAnsi="Times New Roman;Times;serif"/>
          <w:b w:val="false"/>
          <w:i w:val="false"/>
          <w:caps w:val="false"/>
          <w:smallCaps w:val="false"/>
          <w:color w:val="000000"/>
          <w:spacing w:val="0"/>
          <w:sz w:val="2"/>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1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014475MARKER THERAPEUTICS, INC.Proxy for Annual Meeting of Stockholders on May 19, 2020Solicited on Behalf of the Board of DirectorsThe undersigned hereby appoints Peter Hoang and Anthony Kim, and each of them,with full power of substitution and power to act alone, as proxies to vote all the shares ofcommon stock which the undersigned would be entitled to vote if personallypresent and acting at the Annual Meeting of Stockholders of Marker Therapeutics, Inc., tobe held virtually on Tuesday, May 19, 2020 at 8:00 a.m. Central Time, and at anyadjournments or postponements thereof, as follows:(Continued and to be signed on the reverse side)1.1</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44892</Words>
  <CharactersWithSpaces>284019</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