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22860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w:t>
      </w:r>
    </w:p>
    <w:p>
      <w:pPr>
        <w:spacing w:after="0" w:line="229" w:lineRule="exact"/>
        <w:rPr>
          <w:sz w:val="24"/>
          <w:szCs w:val="24"/>
          <w:color w:val="auto"/>
        </w:rPr>
      </w:pPr>
    </w:p>
    <w:p>
      <w:pPr>
        <w:ind w:left="5060"/>
        <w:spacing w:after="0"/>
        <w:rPr>
          <w:sz w:val="20"/>
          <w:szCs w:val="20"/>
          <w:color w:val="auto"/>
        </w:rPr>
      </w:pPr>
      <w:r>
        <w:rPr>
          <w:rFonts w:ascii="Arial" w:cs="Arial" w:eastAsia="Arial" w:hAnsi="Arial"/>
          <w:sz w:val="20"/>
          <w:szCs w:val="20"/>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August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225" w:right="419" w:bottom="1440" w:gutter="0" w:footer="0" w:header="0"/>
        </w:sectPr>
      </w:pPr>
    </w:p>
    <w:bookmarkStart w:id="1" w:name="page2"/>
    <w:bookmarkEnd w:id="1"/>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11 Pages</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8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rPr>
              <w:t>1</w:t>
            </w:r>
          </w:p>
        </w:tc>
        <w:tc>
          <w:tcPr>
            <w:tcW w:w="66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NAMES OF REPORTING PERSONS</w:t>
            </w:r>
          </w:p>
        </w:tc>
        <w:tc>
          <w:tcPr>
            <w:tcW w:w="18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2"/>
                <w:szCs w:val="22"/>
                <w:color w:val="auto"/>
              </w:rPr>
              <w:t>Empery Asset Master Ltd.</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00" w:type="dxa"/>
            <w:vAlign w:val="bottom"/>
            <w:tcBorders>
              <w:right w:val="single" w:sz="8" w:color="auto"/>
            </w:tcBorders>
          </w:tcPr>
          <w:p>
            <w:pPr>
              <w:ind w:left="180"/>
              <w:spacing w:after="0" w:line="197"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ind w:left="1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3</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SEC USE ONLY</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4</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Cayman Islands</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22"/>
                <w:szCs w:val="22"/>
                <w:b w:val="1"/>
                <w:bCs w:val="1"/>
                <w:color w:val="auto"/>
              </w:rPr>
              <w:t>5</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VOTING POWER</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5840" w:type="dxa"/>
            <w:vAlign w:val="bottom"/>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NUMBER OF</w:t>
            </w:r>
          </w:p>
        </w:tc>
        <w:tc>
          <w:tcPr>
            <w:tcW w:w="800" w:type="dxa"/>
            <w:vAlign w:val="bottom"/>
            <w:tcBorders>
              <w:right w:val="single" w:sz="8" w:color="auto"/>
            </w:tcBorders>
          </w:tcPr>
          <w:p>
            <w:pPr>
              <w:ind w:left="320"/>
              <w:spacing w:after="0" w:line="331" w:lineRule="exact"/>
              <w:rPr>
                <w:sz w:val="20"/>
                <w:szCs w:val="20"/>
                <w:color w:val="auto"/>
              </w:rPr>
            </w:pPr>
            <w:r>
              <w:rPr>
                <w:rFonts w:ascii="Arial" w:cs="Arial" w:eastAsia="Arial" w:hAnsi="Arial"/>
                <w:sz w:val="29"/>
                <w:szCs w:val="29"/>
                <w:b w:val="1"/>
                <w:bCs w:val="1"/>
                <w:color w:val="auto"/>
              </w:rPr>
              <w:t>6</w:t>
            </w:r>
          </w:p>
        </w:tc>
        <w:tc>
          <w:tcPr>
            <w:tcW w:w="584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SHARES</w:t>
            </w:r>
          </w:p>
        </w:tc>
        <w:tc>
          <w:tcPr>
            <w:tcW w:w="800" w:type="dxa"/>
            <w:vAlign w:val="bottom"/>
            <w:tcBorders>
              <w:right w:val="single" w:sz="8" w:color="auto"/>
            </w:tcBorders>
          </w:tcPr>
          <w:p>
            <w:pPr>
              <w:spacing w:after="0"/>
              <w:rPr>
                <w:sz w:val="21"/>
                <w:szCs w:val="21"/>
                <w:color w:val="auto"/>
              </w:rPr>
            </w:pPr>
          </w:p>
        </w:tc>
        <w:tc>
          <w:tcPr>
            <w:tcW w:w="5840" w:type="dxa"/>
            <w:vAlign w:val="bottom"/>
          </w:tcPr>
          <w:p>
            <w:pPr>
              <w:ind w:left="440"/>
              <w:spacing w:after="0"/>
              <w:rPr>
                <w:sz w:val="20"/>
                <w:szCs w:val="20"/>
                <w:color w:val="auto"/>
              </w:rPr>
            </w:pPr>
            <w:r>
              <w:rPr>
                <w:rFonts w:ascii="Arial" w:cs="Arial" w:eastAsia="Arial" w:hAnsi="Arial"/>
                <w:sz w:val="20"/>
                <w:szCs w:val="20"/>
                <w:color w:val="auto"/>
              </w:rPr>
              <w:t>1,568,214 shares of Common Stock</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800" w:type="dxa"/>
            <w:vAlign w:val="bottom"/>
            <w:tcBorders>
              <w:right w:val="single" w:sz="8" w:color="auto"/>
            </w:tcBorders>
          </w:tcPr>
          <w:p>
            <w:pPr>
              <w:spacing w:after="0"/>
              <w:rPr>
                <w:sz w:val="18"/>
                <w:szCs w:val="18"/>
                <w:color w:val="auto"/>
              </w:rPr>
            </w:pPr>
          </w:p>
        </w:tc>
        <w:tc>
          <w:tcPr>
            <w:tcW w:w="7640" w:type="dxa"/>
            <w:vAlign w:val="bottom"/>
            <w:tcBorders>
              <w:right w:val="single" w:sz="8" w:color="auto"/>
            </w:tcBorders>
            <w:gridSpan w:val="2"/>
          </w:tcPr>
          <w:p>
            <w:pPr>
              <w:ind w:left="440"/>
              <w:spacing w:after="0" w:line="212" w:lineRule="exact"/>
              <w:rPr>
                <w:sz w:val="20"/>
                <w:szCs w:val="20"/>
                <w:color w:val="auto"/>
              </w:rPr>
            </w:pPr>
            <w:r>
              <w:rPr>
                <w:rFonts w:ascii="Arial" w:cs="Arial" w:eastAsia="Arial" w:hAnsi="Arial"/>
                <w:sz w:val="20"/>
                <w:szCs w:val="20"/>
                <w:color w:val="auto"/>
                <w:w w:val="94"/>
              </w:rPr>
              <w:t>1,587,536 shares of Common Stock issuable upon exercise of Warrants (See Item 4)*</w:t>
            </w:r>
          </w:p>
        </w:tc>
        <w:tc>
          <w:tcPr>
            <w:tcW w:w="0" w:type="dxa"/>
            <w:vAlign w:val="bottom"/>
          </w:tcPr>
          <w:p>
            <w:pPr>
              <w:spacing w:after="0"/>
              <w:rPr>
                <w:sz w:val="1"/>
                <w:szCs w:val="1"/>
                <w:color w:val="auto"/>
              </w:rPr>
            </w:pPr>
          </w:p>
        </w:tc>
      </w:tr>
      <w:tr>
        <w:trPr>
          <w:trHeight w:val="54"/>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80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980" w:type="dxa"/>
            <w:vAlign w:val="bottom"/>
            <w:tcBorders>
              <w:left w:val="single" w:sz="8" w:color="auto"/>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ind w:left="320"/>
              <w:spacing w:after="0" w:line="321" w:lineRule="exact"/>
              <w:rPr>
                <w:sz w:val="20"/>
                <w:szCs w:val="20"/>
                <w:color w:val="auto"/>
              </w:rPr>
            </w:pPr>
            <w:r>
              <w:rPr>
                <w:rFonts w:ascii="Arial" w:cs="Arial" w:eastAsia="Arial" w:hAnsi="Arial"/>
                <w:sz w:val="29"/>
                <w:szCs w:val="29"/>
                <w:b w:val="1"/>
                <w:bCs w:val="1"/>
                <w:color w:val="auto"/>
              </w:rPr>
              <w:t>7</w:t>
            </w:r>
          </w:p>
        </w:tc>
        <w:tc>
          <w:tcPr>
            <w:tcW w:w="58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800" w:type="dxa"/>
            <w:vAlign w:val="bottom"/>
            <w:tcBorders>
              <w:right w:val="single" w:sz="8" w:color="auto"/>
            </w:tcBorders>
            <w:vMerge w:val="continue"/>
          </w:tcPr>
          <w:p>
            <w:pPr>
              <w:spacing w:after="0"/>
              <w:rPr>
                <w:sz w:val="17"/>
                <w:szCs w:val="17"/>
                <w:color w:val="auto"/>
              </w:rPr>
            </w:pPr>
          </w:p>
        </w:tc>
        <w:tc>
          <w:tcPr>
            <w:tcW w:w="584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800" w:type="dxa"/>
            <w:vAlign w:val="bottom"/>
            <w:tcBorders>
              <w:righ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800" w:type="dxa"/>
            <w:vAlign w:val="bottom"/>
            <w:tcBorders>
              <w:bottom w:val="single" w:sz="8" w:color="auto"/>
              <w:right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98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320"/>
              <w:spacing w:after="0" w:line="315" w:lineRule="exact"/>
              <w:rPr>
                <w:sz w:val="20"/>
                <w:szCs w:val="20"/>
                <w:color w:val="auto"/>
              </w:rPr>
            </w:pPr>
            <w:r>
              <w:rPr>
                <w:rFonts w:ascii="Arial" w:cs="Arial" w:eastAsia="Arial" w:hAnsi="Arial"/>
                <w:sz w:val="29"/>
                <w:szCs w:val="29"/>
                <w:b w:val="1"/>
                <w:bCs w:val="1"/>
                <w:color w:val="auto"/>
              </w:rPr>
              <w:t>8</w:t>
            </w:r>
          </w:p>
        </w:tc>
        <w:tc>
          <w:tcPr>
            <w:tcW w:w="58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5840" w:type="dxa"/>
            <w:vAlign w:val="bottom"/>
            <w:vMerge w:val="continue"/>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8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5840" w:type="dxa"/>
            <w:vAlign w:val="bottom"/>
          </w:tcPr>
          <w:p>
            <w:pPr>
              <w:ind w:left="440"/>
              <w:spacing w:after="0"/>
              <w:rPr>
                <w:sz w:val="20"/>
                <w:szCs w:val="20"/>
                <w:color w:val="auto"/>
              </w:rPr>
            </w:pPr>
            <w:r>
              <w:rPr>
                <w:rFonts w:ascii="Arial" w:cs="Arial" w:eastAsia="Arial" w:hAnsi="Arial"/>
                <w:sz w:val="20"/>
                <w:szCs w:val="20"/>
                <w:color w:val="auto"/>
              </w:rPr>
              <w:t>1,568,214 shares of Common Stock</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right w:val="single" w:sz="8" w:color="auto"/>
            </w:tcBorders>
            <w:gridSpan w:val="2"/>
          </w:tcPr>
          <w:p>
            <w:pPr>
              <w:ind w:left="440"/>
              <w:spacing w:after="0"/>
              <w:rPr>
                <w:sz w:val="20"/>
                <w:szCs w:val="20"/>
                <w:color w:val="auto"/>
              </w:rPr>
            </w:pPr>
            <w:r>
              <w:rPr>
                <w:rFonts w:ascii="Arial" w:cs="Arial" w:eastAsia="Arial" w:hAnsi="Arial"/>
                <w:sz w:val="20"/>
                <w:szCs w:val="20"/>
                <w:color w:val="auto"/>
                <w:w w:val="94"/>
              </w:rPr>
              <w:t>1,587,536 shares of Common Stock issuable upon exercise of Warrants (See Item 4)*</w:t>
            </w:r>
          </w:p>
        </w:tc>
        <w:tc>
          <w:tcPr>
            <w:tcW w:w="0" w:type="dxa"/>
            <w:vAlign w:val="bottom"/>
          </w:tcPr>
          <w:p>
            <w:pPr>
              <w:spacing w:after="0"/>
              <w:rPr>
                <w:sz w:val="1"/>
                <w:szCs w:val="1"/>
                <w:color w:val="auto"/>
              </w:rPr>
            </w:pPr>
          </w:p>
        </w:tc>
      </w:tr>
      <w:tr>
        <w:trPr>
          <w:trHeight w:val="314"/>
        </w:trPr>
        <w:tc>
          <w:tcPr>
            <w:tcW w:w="2980" w:type="dxa"/>
            <w:vAlign w:val="bottom"/>
            <w:tcBorders>
              <w:left w:val="single" w:sz="8" w:color="auto"/>
              <w:right w:val="single" w:sz="8" w:color="auto"/>
            </w:tcBorders>
          </w:tcPr>
          <w:p>
            <w:pPr>
              <w:jc w:val="center"/>
              <w:spacing w:after="0" w:line="315" w:lineRule="exact"/>
              <w:rPr>
                <w:sz w:val="20"/>
                <w:szCs w:val="20"/>
                <w:color w:val="auto"/>
              </w:rPr>
            </w:pPr>
            <w:r>
              <w:rPr>
                <w:rFonts w:ascii="Arial" w:cs="Arial" w:eastAsia="Arial" w:hAnsi="Arial"/>
                <w:sz w:val="29"/>
                <w:szCs w:val="29"/>
                <w:b w:val="1"/>
                <w:bCs w:val="1"/>
                <w:color w:val="auto"/>
                <w:w w:val="86"/>
              </w:rPr>
              <w:t>9</w:t>
            </w:r>
          </w:p>
        </w:tc>
        <w:tc>
          <w:tcPr>
            <w:tcW w:w="844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250"/>
        </w:trPr>
        <w:tc>
          <w:tcPr>
            <w:tcW w:w="2980" w:type="dxa"/>
            <w:vAlign w:val="bottom"/>
            <w:tcBorders>
              <w:left w:val="single" w:sz="8" w:color="auto"/>
              <w:right w:val="single" w:sz="8" w:color="auto"/>
            </w:tcBorders>
          </w:tcPr>
          <w:p>
            <w:pPr>
              <w:spacing w:after="0"/>
              <w:rPr>
                <w:sz w:val="21"/>
                <w:szCs w:val="21"/>
                <w:color w:val="auto"/>
              </w:rPr>
            </w:pPr>
          </w:p>
        </w:tc>
        <w:tc>
          <w:tcPr>
            <w:tcW w:w="6640" w:type="dxa"/>
            <w:vAlign w:val="bottom"/>
            <w:gridSpan w:val="2"/>
          </w:tcPr>
          <w:p>
            <w:pPr>
              <w:ind w:left="440"/>
              <w:spacing w:after="0"/>
              <w:rPr>
                <w:sz w:val="20"/>
                <w:szCs w:val="20"/>
                <w:color w:val="auto"/>
              </w:rPr>
            </w:pPr>
            <w:r>
              <w:rPr>
                <w:rFonts w:ascii="Arial" w:cs="Arial" w:eastAsia="Arial" w:hAnsi="Arial"/>
                <w:sz w:val="20"/>
                <w:szCs w:val="20"/>
                <w:color w:val="auto"/>
              </w:rPr>
              <w:t>1,568,214 shares of Common Stock</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gridSpan w:val="3"/>
          </w:tcPr>
          <w:p>
            <w:pPr>
              <w:ind w:left="440"/>
              <w:spacing w:after="0"/>
              <w:rPr>
                <w:sz w:val="20"/>
                <w:szCs w:val="20"/>
                <w:color w:val="auto"/>
              </w:rPr>
            </w:pPr>
            <w:r>
              <w:rPr>
                <w:rFonts w:ascii="Arial" w:cs="Arial" w:eastAsia="Arial" w:hAnsi="Arial"/>
                <w:sz w:val="20"/>
                <w:szCs w:val="20"/>
                <w:color w:val="auto"/>
              </w:rPr>
              <w:t>1,587,536 shares of Common Stock issuable upon exercise of Warrants (See Item 4)*</w:t>
            </w:r>
          </w:p>
        </w:tc>
        <w:tc>
          <w:tcPr>
            <w:tcW w:w="0" w:type="dxa"/>
            <w:vAlign w:val="bottom"/>
          </w:tcPr>
          <w:p>
            <w:pPr>
              <w:spacing w:after="0"/>
              <w:rPr>
                <w:sz w:val="1"/>
                <w:szCs w:val="1"/>
                <w:color w:val="auto"/>
              </w:rPr>
            </w:pPr>
          </w:p>
        </w:tc>
      </w:tr>
      <w:tr>
        <w:trPr>
          <w:trHeight w:val="39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10</w:t>
            </w:r>
          </w:p>
        </w:tc>
        <w:tc>
          <w:tcPr>
            <w:tcW w:w="6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w w:val="99"/>
              </w:rPr>
              <w:t>CHECK BOX IF THE AGGREGATE AMOUNT IN ROW (9) EXCLUDES CERTAIN SHARES</w:t>
            </w:r>
          </w:p>
        </w:tc>
        <w:tc>
          <w:tcPr>
            <w:tcW w:w="1800" w:type="dxa"/>
            <w:vAlign w:val="bottom"/>
            <w:tcBorders>
              <w:bottom w:val="single" w:sz="8" w:color="auto"/>
              <w:right w:val="single" w:sz="8" w:color="auto"/>
            </w:tcBorders>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11</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8.22% (See Item 4)*</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TYPE OF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980" w:type="dxa"/>
            <w:vAlign w:val="bottom"/>
            <w:tcBorders>
              <w:left w:val="single" w:sz="8" w:color="auto"/>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OO</w:t>
            </w:r>
          </w:p>
        </w:tc>
        <w:tc>
          <w:tcPr>
            <w:tcW w:w="584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firstLine="8"/>
        <w:spacing w:after="0" w:line="244" w:lineRule="auto"/>
        <w:tabs>
          <w:tab w:leader="none" w:pos="1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11 Pages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29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ind w:left="1900"/>
              <w:spacing w:after="0"/>
              <w:rPr>
                <w:sz w:val="20"/>
                <w:szCs w:val="20"/>
                <w:color w:val="auto"/>
              </w:rPr>
            </w:pPr>
            <w:r>
              <w:rPr>
                <w:rFonts w:ascii="Arial" w:cs="Arial" w:eastAsia="Arial" w:hAnsi="Arial"/>
                <w:sz w:val="20"/>
                <w:szCs w:val="20"/>
                <w:color w:val="auto"/>
              </w:rPr>
              <w:t>.</w:t>
            </w: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NAMES OF REPORTING PERSONS</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2"/>
                <w:szCs w:val="22"/>
                <w:color w:val="auto"/>
              </w:rPr>
              <w:t>Empery Asset Management, LP</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00" w:type="dxa"/>
            <w:vAlign w:val="bottom"/>
            <w:tcBorders>
              <w:right w:val="single" w:sz="8" w:color="auto"/>
            </w:tcBorders>
          </w:tcPr>
          <w:p>
            <w:pPr>
              <w:ind w:left="180"/>
              <w:spacing w:after="0" w:line="197"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ind w:left="1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3</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SEC USE ONLY</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4</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Delaware</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5840" w:type="dxa"/>
            <w:vAlign w:val="bottom"/>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6</w:t>
            </w:r>
          </w:p>
        </w:tc>
        <w:tc>
          <w:tcPr>
            <w:tcW w:w="584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980" w:type="dxa"/>
            <w:vAlign w:val="bottom"/>
            <w:tcBorders>
              <w:left w:val="single" w:sz="8" w:color="auto"/>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5840" w:type="dxa"/>
            <w:vAlign w:val="bottom"/>
            <w:vMerge w:val="restart"/>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SHARES</w:t>
            </w:r>
          </w:p>
        </w:tc>
        <w:tc>
          <w:tcPr>
            <w:tcW w:w="800" w:type="dxa"/>
            <w:vAlign w:val="bottom"/>
            <w:tcBorders>
              <w:right w:val="single" w:sz="8" w:color="auto"/>
            </w:tcBorders>
          </w:tcPr>
          <w:p>
            <w:pPr>
              <w:spacing w:after="0"/>
              <w:rPr>
                <w:sz w:val="17"/>
                <w:szCs w:val="17"/>
                <w:color w:val="auto"/>
              </w:rPr>
            </w:pPr>
          </w:p>
        </w:tc>
        <w:tc>
          <w:tcPr>
            <w:tcW w:w="584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800" w:type="dxa"/>
            <w:vAlign w:val="bottom"/>
            <w:tcBorders>
              <w:right w:val="single" w:sz="8" w:color="auto"/>
            </w:tcBorders>
          </w:tcPr>
          <w:p>
            <w:pPr>
              <w:spacing w:after="0"/>
              <w:rPr>
                <w:sz w:val="19"/>
                <w:szCs w:val="19"/>
                <w:color w:val="auto"/>
              </w:rPr>
            </w:pPr>
          </w:p>
        </w:tc>
        <w:tc>
          <w:tcPr>
            <w:tcW w:w="7640" w:type="dxa"/>
            <w:vAlign w:val="bottom"/>
            <w:tcBorders>
              <w:right w:val="single" w:sz="8" w:color="auto"/>
            </w:tcBorders>
            <w:gridSpan w:val="2"/>
          </w:tcPr>
          <w:p>
            <w:pPr>
              <w:ind w:left="420"/>
              <w:spacing w:after="0" w:line="226" w:lineRule="exact"/>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54"/>
        </w:trPr>
        <w:tc>
          <w:tcPr>
            <w:tcW w:w="2980" w:type="dxa"/>
            <w:vAlign w:val="bottom"/>
            <w:tcBorders>
              <w:left w:val="single" w:sz="8" w:color="auto"/>
              <w:right w:val="single" w:sz="8" w:color="auto"/>
            </w:tcBorders>
            <w:vMerge w:val="restart"/>
          </w:tcPr>
          <w:p>
            <w:pPr>
              <w:jc w:val="center"/>
              <w:spacing w:after="0" w:line="179" w:lineRule="exact"/>
              <w:rPr>
                <w:sz w:val="20"/>
                <w:szCs w:val="20"/>
                <w:color w:val="auto"/>
              </w:rPr>
            </w:pPr>
            <w:r>
              <w:rPr>
                <w:rFonts w:ascii="Arial" w:cs="Arial" w:eastAsia="Arial" w:hAnsi="Arial"/>
                <w:sz w:val="16"/>
                <w:szCs w:val="16"/>
                <w:color w:val="auto"/>
                <w:w w:val="98"/>
              </w:rPr>
              <w:t>OWNED BY</w:t>
            </w:r>
          </w:p>
        </w:tc>
        <w:tc>
          <w:tcPr>
            <w:tcW w:w="80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98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320"/>
              <w:spacing w:after="0" w:line="308" w:lineRule="exact"/>
              <w:rPr>
                <w:sz w:val="20"/>
                <w:szCs w:val="20"/>
                <w:color w:val="auto"/>
              </w:rPr>
            </w:pPr>
            <w:r>
              <w:rPr>
                <w:rFonts w:ascii="Arial" w:cs="Arial" w:eastAsia="Arial" w:hAnsi="Arial"/>
                <w:sz w:val="29"/>
                <w:szCs w:val="29"/>
                <w:b w:val="1"/>
                <w:bCs w:val="1"/>
                <w:color w:val="auto"/>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80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98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584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800" w:type="dxa"/>
            <w:vAlign w:val="bottom"/>
            <w:tcBorders>
              <w:righ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800" w:type="dxa"/>
            <w:vAlign w:val="bottom"/>
            <w:tcBorders>
              <w:bottom w:val="single" w:sz="8" w:color="auto"/>
              <w:right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8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320"/>
              <w:spacing w:after="0" w:line="197" w:lineRule="exact"/>
              <w:rPr>
                <w:sz w:val="20"/>
                <w:szCs w:val="20"/>
                <w:color w:val="auto"/>
              </w:rPr>
            </w:pPr>
            <w:r>
              <w:rPr>
                <w:rFonts w:ascii="Arial" w:cs="Arial" w:eastAsia="Arial" w:hAnsi="Arial"/>
                <w:sz w:val="22"/>
                <w:szCs w:val="22"/>
                <w:b w:val="1"/>
                <w:bCs w:val="1"/>
                <w:color w:val="auto"/>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98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5840" w:type="dxa"/>
            <w:vAlign w:val="bottom"/>
            <w:vMerge w:val="continue"/>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5840" w:type="dxa"/>
            <w:vAlign w:val="bottom"/>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5840" w:type="dxa"/>
            <w:vAlign w:val="bottom"/>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9</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6640" w:type="dxa"/>
            <w:vAlign w:val="bottom"/>
            <w:gridSpan w:val="2"/>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39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10</w:t>
            </w:r>
          </w:p>
        </w:tc>
        <w:tc>
          <w:tcPr>
            <w:tcW w:w="6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w w:val="99"/>
              </w:rPr>
              <w:t>CHECK BOX IF THE AGGREGATE AMOUNT IN ROW (9) EXCLUDES CERTAIN SHARES</w:t>
            </w:r>
          </w:p>
        </w:tc>
        <w:tc>
          <w:tcPr>
            <w:tcW w:w="1800" w:type="dxa"/>
            <w:vAlign w:val="bottom"/>
            <w:tcBorders>
              <w:bottom w:val="single" w:sz="8" w:color="auto"/>
              <w:right w:val="single" w:sz="8" w:color="auto"/>
            </w:tcBorders>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11</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9.77% (See Item 4)*</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TYPE OF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PN</w:t>
            </w: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firstLine="8"/>
        <w:spacing w:after="0" w:line="244" w:lineRule="auto"/>
        <w:tabs>
          <w:tab w:leader="none" w:pos="1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3" w:name="page4"/>
    <w:bookmarkEnd w:id="3"/>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11 Pages</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8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rPr>
              <w:t>1</w:t>
            </w:r>
          </w:p>
        </w:tc>
        <w:tc>
          <w:tcPr>
            <w:tcW w:w="66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NAMES OF REPORTING PERSONS</w:t>
            </w:r>
          </w:p>
        </w:tc>
        <w:tc>
          <w:tcPr>
            <w:tcW w:w="18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Ryan M. Lane</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00" w:type="dxa"/>
            <w:vAlign w:val="bottom"/>
            <w:tcBorders>
              <w:right w:val="single" w:sz="8" w:color="auto"/>
            </w:tcBorders>
          </w:tcPr>
          <w:p>
            <w:pPr>
              <w:ind w:left="180"/>
              <w:spacing w:after="0" w:line="197"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ind w:left="1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3</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SEC USE ONLY</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4</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United States</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5840" w:type="dxa"/>
            <w:vAlign w:val="bottom"/>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6</w:t>
            </w:r>
          </w:p>
        </w:tc>
        <w:tc>
          <w:tcPr>
            <w:tcW w:w="584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980" w:type="dxa"/>
            <w:vAlign w:val="bottom"/>
            <w:tcBorders>
              <w:left w:val="single" w:sz="8" w:color="auto"/>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5840" w:type="dxa"/>
            <w:vAlign w:val="bottom"/>
            <w:vMerge w:val="restart"/>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SHARES</w:t>
            </w:r>
          </w:p>
        </w:tc>
        <w:tc>
          <w:tcPr>
            <w:tcW w:w="800" w:type="dxa"/>
            <w:vAlign w:val="bottom"/>
            <w:tcBorders>
              <w:right w:val="single" w:sz="8" w:color="auto"/>
            </w:tcBorders>
          </w:tcPr>
          <w:p>
            <w:pPr>
              <w:spacing w:after="0"/>
              <w:rPr>
                <w:sz w:val="17"/>
                <w:szCs w:val="17"/>
                <w:color w:val="auto"/>
              </w:rPr>
            </w:pPr>
          </w:p>
        </w:tc>
        <w:tc>
          <w:tcPr>
            <w:tcW w:w="584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800" w:type="dxa"/>
            <w:vAlign w:val="bottom"/>
            <w:tcBorders>
              <w:right w:val="single" w:sz="8" w:color="auto"/>
            </w:tcBorders>
          </w:tcPr>
          <w:p>
            <w:pPr>
              <w:spacing w:after="0"/>
              <w:rPr>
                <w:sz w:val="19"/>
                <w:szCs w:val="19"/>
                <w:color w:val="auto"/>
              </w:rPr>
            </w:pPr>
          </w:p>
        </w:tc>
        <w:tc>
          <w:tcPr>
            <w:tcW w:w="7640" w:type="dxa"/>
            <w:vAlign w:val="bottom"/>
            <w:tcBorders>
              <w:right w:val="single" w:sz="8" w:color="auto"/>
            </w:tcBorders>
            <w:gridSpan w:val="2"/>
          </w:tcPr>
          <w:p>
            <w:pPr>
              <w:ind w:left="420"/>
              <w:spacing w:after="0" w:line="226" w:lineRule="exact"/>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54"/>
        </w:trPr>
        <w:tc>
          <w:tcPr>
            <w:tcW w:w="2980" w:type="dxa"/>
            <w:vAlign w:val="bottom"/>
            <w:tcBorders>
              <w:left w:val="single" w:sz="8" w:color="auto"/>
              <w:right w:val="single" w:sz="8" w:color="auto"/>
            </w:tcBorders>
            <w:vMerge w:val="restart"/>
          </w:tcPr>
          <w:p>
            <w:pPr>
              <w:jc w:val="center"/>
              <w:spacing w:after="0" w:line="179" w:lineRule="exact"/>
              <w:rPr>
                <w:sz w:val="20"/>
                <w:szCs w:val="20"/>
                <w:color w:val="auto"/>
              </w:rPr>
            </w:pPr>
            <w:r>
              <w:rPr>
                <w:rFonts w:ascii="Arial" w:cs="Arial" w:eastAsia="Arial" w:hAnsi="Arial"/>
                <w:sz w:val="16"/>
                <w:szCs w:val="16"/>
                <w:color w:val="auto"/>
                <w:w w:val="98"/>
              </w:rPr>
              <w:t>OWNED BY</w:t>
            </w:r>
          </w:p>
        </w:tc>
        <w:tc>
          <w:tcPr>
            <w:tcW w:w="80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98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320"/>
              <w:spacing w:after="0" w:line="308" w:lineRule="exact"/>
              <w:rPr>
                <w:sz w:val="20"/>
                <w:szCs w:val="20"/>
                <w:color w:val="auto"/>
              </w:rPr>
            </w:pPr>
            <w:r>
              <w:rPr>
                <w:rFonts w:ascii="Arial" w:cs="Arial" w:eastAsia="Arial" w:hAnsi="Arial"/>
                <w:sz w:val="29"/>
                <w:szCs w:val="29"/>
                <w:b w:val="1"/>
                <w:bCs w:val="1"/>
                <w:color w:val="auto"/>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80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98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584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800" w:type="dxa"/>
            <w:vAlign w:val="bottom"/>
            <w:tcBorders>
              <w:righ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800" w:type="dxa"/>
            <w:vAlign w:val="bottom"/>
            <w:tcBorders>
              <w:bottom w:val="single" w:sz="8" w:color="auto"/>
              <w:right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8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320"/>
              <w:spacing w:after="0" w:line="197" w:lineRule="exact"/>
              <w:rPr>
                <w:sz w:val="20"/>
                <w:szCs w:val="20"/>
                <w:color w:val="auto"/>
              </w:rPr>
            </w:pPr>
            <w:r>
              <w:rPr>
                <w:rFonts w:ascii="Arial" w:cs="Arial" w:eastAsia="Arial" w:hAnsi="Arial"/>
                <w:sz w:val="22"/>
                <w:szCs w:val="22"/>
                <w:b w:val="1"/>
                <w:bCs w:val="1"/>
                <w:color w:val="auto"/>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98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5840" w:type="dxa"/>
            <w:vAlign w:val="bottom"/>
            <w:vMerge w:val="continue"/>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5840" w:type="dxa"/>
            <w:vAlign w:val="bottom"/>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5840" w:type="dxa"/>
            <w:vAlign w:val="bottom"/>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9</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6640" w:type="dxa"/>
            <w:vAlign w:val="bottom"/>
            <w:gridSpan w:val="2"/>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39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10</w:t>
            </w:r>
          </w:p>
        </w:tc>
        <w:tc>
          <w:tcPr>
            <w:tcW w:w="6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w w:val="99"/>
              </w:rPr>
              <w:t>CHECK BOX IF THE AGGREGATE AMOUNT IN ROW (9) EXCLUDES CERTAIN SHARES</w:t>
            </w:r>
          </w:p>
        </w:tc>
        <w:tc>
          <w:tcPr>
            <w:tcW w:w="1800" w:type="dxa"/>
            <w:vAlign w:val="bottom"/>
            <w:tcBorders>
              <w:bottom w:val="single" w:sz="8" w:color="auto"/>
              <w:right w:val="single" w:sz="8" w:color="auto"/>
            </w:tcBorders>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11</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9.77% (See Item 4)*</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TYPE OF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980" w:type="dxa"/>
            <w:vAlign w:val="bottom"/>
            <w:tcBorders>
              <w:left w:val="single" w:sz="8" w:color="auto"/>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w:t>
            </w:r>
          </w:p>
        </w:tc>
        <w:tc>
          <w:tcPr>
            <w:tcW w:w="584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firstLine="8"/>
        <w:spacing w:after="0" w:line="244" w:lineRule="auto"/>
        <w:tabs>
          <w:tab w:leader="none" w:pos="1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11 Pages</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80" w:type="dxa"/>
            <w:vAlign w:val="bottom"/>
            <w:tcBorders>
              <w:top w:val="single" w:sz="8" w:color="auto"/>
              <w:left w:val="single" w:sz="8" w:color="auto"/>
              <w:right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rPr>
              <w:t>1</w:t>
            </w:r>
          </w:p>
        </w:tc>
        <w:tc>
          <w:tcPr>
            <w:tcW w:w="66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color w:val="auto"/>
              </w:rPr>
              <w:t>NAMES OF REPORTING PERSONS</w:t>
            </w:r>
          </w:p>
        </w:tc>
        <w:tc>
          <w:tcPr>
            <w:tcW w:w="18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Martin D. Hoe</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800" w:type="dxa"/>
            <w:vAlign w:val="bottom"/>
            <w:tcBorders>
              <w:right w:val="single" w:sz="8" w:color="auto"/>
            </w:tcBorders>
          </w:tcPr>
          <w:p>
            <w:pPr>
              <w:ind w:left="180"/>
              <w:spacing w:after="0" w:line="197"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ind w:left="1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3</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SEC USE ONLY</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4</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CITIZENSHIP OR PLACE OF ORGANIZATION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United States</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tcPr>
          <w:p>
            <w:pPr>
              <w:spacing w:after="0"/>
              <w:rPr>
                <w:sz w:val="21"/>
                <w:szCs w:val="21"/>
                <w:color w:val="auto"/>
              </w:rPr>
            </w:pP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5840" w:type="dxa"/>
            <w:vAlign w:val="bottom"/>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Borders>
              <w:left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800" w:type="dxa"/>
            <w:vAlign w:val="bottom"/>
            <w:tcBorders>
              <w:right w:val="single" w:sz="8" w:color="auto"/>
            </w:tcBorders>
            <w:vMerge w:val="restart"/>
          </w:tcPr>
          <w:p>
            <w:pPr>
              <w:ind w:left="320"/>
              <w:spacing w:after="0"/>
              <w:rPr>
                <w:sz w:val="20"/>
                <w:szCs w:val="20"/>
                <w:color w:val="auto"/>
              </w:rPr>
            </w:pPr>
            <w:r>
              <w:rPr>
                <w:rFonts w:ascii="Arial" w:cs="Arial" w:eastAsia="Arial" w:hAnsi="Arial"/>
                <w:sz w:val="29"/>
                <w:szCs w:val="29"/>
                <w:b w:val="1"/>
                <w:bCs w:val="1"/>
                <w:color w:val="auto"/>
              </w:rPr>
              <w:t>6</w:t>
            </w:r>
          </w:p>
        </w:tc>
        <w:tc>
          <w:tcPr>
            <w:tcW w:w="584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980" w:type="dxa"/>
            <w:vAlign w:val="bottom"/>
            <w:tcBorders>
              <w:left w:val="single" w:sz="8" w:color="auto"/>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5840" w:type="dxa"/>
            <w:vAlign w:val="bottom"/>
            <w:vMerge w:val="restart"/>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SHARES</w:t>
            </w:r>
          </w:p>
        </w:tc>
        <w:tc>
          <w:tcPr>
            <w:tcW w:w="800" w:type="dxa"/>
            <w:vAlign w:val="bottom"/>
            <w:tcBorders>
              <w:right w:val="single" w:sz="8" w:color="auto"/>
            </w:tcBorders>
          </w:tcPr>
          <w:p>
            <w:pPr>
              <w:spacing w:after="0"/>
              <w:rPr>
                <w:sz w:val="17"/>
                <w:szCs w:val="17"/>
                <w:color w:val="auto"/>
              </w:rPr>
            </w:pPr>
          </w:p>
        </w:tc>
        <w:tc>
          <w:tcPr>
            <w:tcW w:w="5840" w:type="dxa"/>
            <w:vAlign w:val="bottom"/>
            <w:vMerge w:val="continue"/>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800" w:type="dxa"/>
            <w:vAlign w:val="bottom"/>
            <w:tcBorders>
              <w:right w:val="single" w:sz="8" w:color="auto"/>
            </w:tcBorders>
          </w:tcPr>
          <w:p>
            <w:pPr>
              <w:spacing w:after="0"/>
              <w:rPr>
                <w:sz w:val="19"/>
                <w:szCs w:val="19"/>
                <w:color w:val="auto"/>
              </w:rPr>
            </w:pPr>
          </w:p>
        </w:tc>
        <w:tc>
          <w:tcPr>
            <w:tcW w:w="7640" w:type="dxa"/>
            <w:vAlign w:val="bottom"/>
            <w:tcBorders>
              <w:right w:val="single" w:sz="8" w:color="auto"/>
            </w:tcBorders>
            <w:gridSpan w:val="2"/>
          </w:tcPr>
          <w:p>
            <w:pPr>
              <w:ind w:left="420"/>
              <w:spacing w:after="0" w:line="226" w:lineRule="exact"/>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54"/>
        </w:trPr>
        <w:tc>
          <w:tcPr>
            <w:tcW w:w="2980" w:type="dxa"/>
            <w:vAlign w:val="bottom"/>
            <w:tcBorders>
              <w:left w:val="single" w:sz="8" w:color="auto"/>
              <w:right w:val="single" w:sz="8" w:color="auto"/>
            </w:tcBorders>
            <w:vMerge w:val="restart"/>
          </w:tcPr>
          <w:p>
            <w:pPr>
              <w:jc w:val="center"/>
              <w:spacing w:after="0" w:line="179" w:lineRule="exact"/>
              <w:rPr>
                <w:sz w:val="20"/>
                <w:szCs w:val="20"/>
                <w:color w:val="auto"/>
              </w:rPr>
            </w:pPr>
            <w:r>
              <w:rPr>
                <w:rFonts w:ascii="Arial" w:cs="Arial" w:eastAsia="Arial" w:hAnsi="Arial"/>
                <w:sz w:val="16"/>
                <w:szCs w:val="16"/>
                <w:color w:val="auto"/>
                <w:w w:val="98"/>
              </w:rPr>
              <w:t>OWNED BY</w:t>
            </w:r>
          </w:p>
        </w:tc>
        <w:tc>
          <w:tcPr>
            <w:tcW w:w="800" w:type="dxa"/>
            <w:vAlign w:val="bottom"/>
            <w:tcBorders>
              <w:bottom w:val="single" w:sz="8" w:color="auto"/>
              <w:right w:val="single" w:sz="8" w:color="auto"/>
            </w:tcBorders>
          </w:tcPr>
          <w:p>
            <w:pPr>
              <w:spacing w:after="0"/>
              <w:rPr>
                <w:sz w:val="4"/>
                <w:szCs w:val="4"/>
                <w:color w:val="auto"/>
              </w:rPr>
            </w:pPr>
          </w:p>
        </w:tc>
        <w:tc>
          <w:tcPr>
            <w:tcW w:w="584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98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ind w:left="320"/>
              <w:spacing w:after="0" w:line="308" w:lineRule="exact"/>
              <w:rPr>
                <w:sz w:val="20"/>
                <w:szCs w:val="20"/>
                <w:color w:val="auto"/>
              </w:rPr>
            </w:pPr>
            <w:r>
              <w:rPr>
                <w:rFonts w:ascii="Arial" w:cs="Arial" w:eastAsia="Arial" w:hAnsi="Arial"/>
                <w:sz w:val="29"/>
                <w:szCs w:val="29"/>
                <w:b w:val="1"/>
                <w:bCs w:val="1"/>
                <w:color w:val="auto"/>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8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EACH</w:t>
            </w:r>
          </w:p>
        </w:tc>
        <w:tc>
          <w:tcPr>
            <w:tcW w:w="80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98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584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800" w:type="dxa"/>
            <w:vAlign w:val="bottom"/>
            <w:tcBorders>
              <w:right w:val="single" w:sz="8" w:color="auto"/>
            </w:tcBorders>
          </w:tcPr>
          <w:p>
            <w:pPr>
              <w:spacing w:after="0"/>
              <w:rPr>
                <w:sz w:val="17"/>
                <w:szCs w:val="17"/>
                <w:color w:val="auto"/>
              </w:rPr>
            </w:pPr>
          </w:p>
        </w:tc>
        <w:tc>
          <w:tcPr>
            <w:tcW w:w="584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800" w:type="dxa"/>
            <w:vAlign w:val="bottom"/>
            <w:tcBorders>
              <w:bottom w:val="single" w:sz="8" w:color="auto"/>
              <w:right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80" w:type="dxa"/>
            <w:vAlign w:val="bottom"/>
            <w:tcBorders>
              <w:left w:val="single" w:sz="8" w:color="auto"/>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320"/>
              <w:spacing w:after="0" w:line="197" w:lineRule="exact"/>
              <w:rPr>
                <w:sz w:val="20"/>
                <w:szCs w:val="20"/>
                <w:color w:val="auto"/>
              </w:rPr>
            </w:pPr>
            <w:r>
              <w:rPr>
                <w:rFonts w:ascii="Arial" w:cs="Arial" w:eastAsia="Arial" w:hAnsi="Arial"/>
                <w:sz w:val="22"/>
                <w:szCs w:val="22"/>
                <w:b w:val="1"/>
                <w:bCs w:val="1"/>
                <w:color w:val="auto"/>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98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5840" w:type="dxa"/>
            <w:vAlign w:val="bottom"/>
            <w:vMerge w:val="continue"/>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5840" w:type="dxa"/>
            <w:vAlign w:val="bottom"/>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5840" w:type="dxa"/>
            <w:vAlign w:val="bottom"/>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20"/>
                <w:szCs w:val="20"/>
                <w:color w:val="auto"/>
                <w:w w:val="94"/>
              </w:rPr>
              <w:t>1,886,792 shares of Common Stock issuable upon exercise of Warrants (See Item 4)*</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9</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980" w:type="dxa"/>
            <w:vAlign w:val="bottom"/>
            <w:tcBorders>
              <w:left w:val="single" w:sz="8" w:color="auto"/>
              <w:right w:val="single" w:sz="8" w:color="auto"/>
            </w:tcBorders>
          </w:tcPr>
          <w:p>
            <w:pPr>
              <w:spacing w:after="0"/>
              <w:rPr>
                <w:sz w:val="24"/>
                <w:szCs w:val="24"/>
                <w:color w:val="auto"/>
              </w:rPr>
            </w:pPr>
          </w:p>
        </w:tc>
        <w:tc>
          <w:tcPr>
            <w:tcW w:w="6640" w:type="dxa"/>
            <w:vAlign w:val="bottom"/>
            <w:gridSpan w:val="2"/>
          </w:tcPr>
          <w:p>
            <w:pPr>
              <w:ind w:left="440"/>
              <w:spacing w:after="0"/>
              <w:rPr>
                <w:sz w:val="20"/>
                <w:szCs w:val="20"/>
                <w:color w:val="auto"/>
              </w:rPr>
            </w:pPr>
            <w:r>
              <w:rPr>
                <w:rFonts w:ascii="Arial" w:cs="Arial" w:eastAsia="Arial" w:hAnsi="Arial"/>
                <w:sz w:val="20"/>
                <w:szCs w:val="20"/>
                <w:color w:val="auto"/>
              </w:rPr>
              <w:t>1,863,827 shares of Common Stock</w:t>
            </w:r>
          </w:p>
        </w:tc>
        <w:tc>
          <w:tcPr>
            <w:tcW w:w="1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399"/>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9"/>
                <w:szCs w:val="29"/>
                <w:b w:val="1"/>
                <w:bCs w:val="1"/>
                <w:color w:val="auto"/>
                <w:w w:val="92"/>
              </w:rPr>
              <w:t>10</w:t>
            </w:r>
          </w:p>
        </w:tc>
        <w:tc>
          <w:tcPr>
            <w:tcW w:w="66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w w:val="99"/>
              </w:rPr>
              <w:t>CHECK BOX IF THE AGGREGATE AMOUNT IN ROW (9) EXCLUDES CERTAIN SHARES</w:t>
            </w:r>
          </w:p>
        </w:tc>
        <w:tc>
          <w:tcPr>
            <w:tcW w:w="1800" w:type="dxa"/>
            <w:vAlign w:val="bottom"/>
            <w:tcBorders>
              <w:bottom w:val="single" w:sz="8" w:color="auto"/>
              <w:right w:val="single" w:sz="8" w:color="auto"/>
            </w:tcBorders>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11</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spacing w:after="0"/>
              <w:rPr>
                <w:sz w:val="24"/>
                <w:szCs w:val="24"/>
                <w:color w:val="auto"/>
              </w:rPr>
            </w:pPr>
          </w:p>
        </w:tc>
        <w:tc>
          <w:tcPr>
            <w:tcW w:w="6640" w:type="dxa"/>
            <w:vAlign w:val="bottom"/>
            <w:tcBorders>
              <w:bottom w:val="single" w:sz="8" w:color="auto"/>
            </w:tcBorders>
            <w:gridSpan w:val="2"/>
          </w:tcPr>
          <w:p>
            <w:pPr>
              <w:ind w:left="420"/>
              <w:spacing w:after="0"/>
              <w:rPr>
                <w:sz w:val="20"/>
                <w:szCs w:val="20"/>
                <w:color w:val="auto"/>
              </w:rPr>
            </w:pPr>
            <w:r>
              <w:rPr>
                <w:rFonts w:ascii="Arial" w:cs="Arial" w:eastAsia="Arial" w:hAnsi="Arial"/>
                <w:sz w:val="20"/>
                <w:szCs w:val="20"/>
                <w:color w:val="auto"/>
              </w:rPr>
              <w:t>9.77% (See Item 4)*</w:t>
            </w:r>
          </w:p>
        </w:tc>
        <w:tc>
          <w:tcPr>
            <w:tcW w:w="1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22"/>
                <w:szCs w:val="22"/>
                <w:b w:val="1"/>
                <w:bCs w:val="1"/>
                <w:color w:val="auto"/>
              </w:rPr>
              <w:t>12</w:t>
            </w:r>
          </w:p>
        </w:tc>
        <w:tc>
          <w:tcPr>
            <w:tcW w:w="6640" w:type="dxa"/>
            <w:vAlign w:val="bottom"/>
            <w:gridSpan w:val="2"/>
            <w:vMerge w:val="restart"/>
          </w:tcPr>
          <w:p>
            <w:pPr>
              <w:ind w:left="100"/>
              <w:spacing w:after="0"/>
              <w:rPr>
                <w:sz w:val="20"/>
                <w:szCs w:val="20"/>
                <w:color w:val="auto"/>
              </w:rPr>
            </w:pPr>
            <w:r>
              <w:rPr>
                <w:rFonts w:ascii="Arial" w:cs="Arial" w:eastAsia="Arial" w:hAnsi="Arial"/>
                <w:sz w:val="16"/>
                <w:szCs w:val="16"/>
                <w:color w:val="auto"/>
              </w:rPr>
              <w:t>TYPE OF REPORTING PERSON</w:t>
            </w:r>
          </w:p>
        </w:tc>
        <w:tc>
          <w:tcPr>
            <w:tcW w:w="1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980" w:type="dxa"/>
            <w:vAlign w:val="bottom"/>
            <w:tcBorders>
              <w:left w:val="single" w:sz="8" w:color="auto"/>
              <w:right w:val="single" w:sz="8" w:color="auto"/>
            </w:tcBorders>
          </w:tcPr>
          <w:p>
            <w:pPr>
              <w:spacing w:after="0"/>
              <w:rPr>
                <w:sz w:val="4"/>
                <w:szCs w:val="4"/>
                <w:color w:val="auto"/>
              </w:rPr>
            </w:pPr>
          </w:p>
        </w:tc>
        <w:tc>
          <w:tcPr>
            <w:tcW w:w="6640" w:type="dxa"/>
            <w:vAlign w:val="bottom"/>
            <w:gridSpan w:val="2"/>
            <w:vMerge w:val="continue"/>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980" w:type="dxa"/>
            <w:vAlign w:val="bottom"/>
            <w:tcBorders>
              <w:left w:val="single" w:sz="8" w:color="auto"/>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w:t>
            </w:r>
          </w:p>
        </w:tc>
        <w:tc>
          <w:tcPr>
            <w:tcW w:w="5840" w:type="dxa"/>
            <w:vAlign w:val="bottom"/>
            <w:tcBorders>
              <w:bottom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firstLine="8"/>
        <w:spacing w:after="0" w:line="244" w:lineRule="auto"/>
        <w:tabs>
          <w:tab w:leader="none" w:pos="1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11 Pages</w:t>
      </w:r>
    </w:p>
    <w:p>
      <w:pPr>
        <w:spacing w:after="0" w:line="200" w:lineRule="exact"/>
        <w:rPr>
          <w:sz w:val="20"/>
          <w:szCs w:val="20"/>
          <w:color w:val="auto"/>
        </w:rPr>
      </w:pPr>
    </w:p>
    <w:p>
      <w:pPr>
        <w:spacing w:after="0" w:line="250"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The name of the issuer is Tapimmune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20" w:right="480"/>
        <w:spacing w:after="0" w:line="260" w:lineRule="auto"/>
        <w:rPr>
          <w:sz w:val="20"/>
          <w:szCs w:val="20"/>
          <w:color w:val="auto"/>
        </w:rPr>
      </w:pPr>
      <w:r>
        <w:rPr>
          <w:rFonts w:ascii="Arial" w:cs="Arial" w:eastAsia="Arial" w:hAnsi="Arial"/>
          <w:sz w:val="20"/>
          <w:szCs w:val="20"/>
          <w:color w:val="auto"/>
        </w:rPr>
        <w:t>The Company's principal executive offices are located at 1551 Eastlake Avenue East, Suite 100, Seattle, Washington 98102.</w:t>
      </w:r>
    </w:p>
    <w:p>
      <w:pPr>
        <w:spacing w:after="0" w:line="184"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00" w:lineRule="exact"/>
        <w:rPr>
          <w:sz w:val="20"/>
          <w:szCs w:val="20"/>
          <w:color w:val="auto"/>
        </w:rPr>
      </w:pPr>
    </w:p>
    <w:p>
      <w:pPr>
        <w:spacing w:after="0" w:line="265" w:lineRule="exact"/>
        <w:rPr>
          <w:sz w:val="20"/>
          <w:szCs w:val="20"/>
          <w:color w:val="auto"/>
        </w:rPr>
      </w:pPr>
    </w:p>
    <w:p>
      <w:pPr>
        <w:ind w:left="1820" w:right="420"/>
        <w:spacing w:after="0" w:line="316" w:lineRule="auto"/>
        <w:rPr>
          <w:sz w:val="20"/>
          <w:szCs w:val="20"/>
          <w:color w:val="auto"/>
        </w:rPr>
      </w:pPr>
      <w:r>
        <w:rPr>
          <w:rFonts w:ascii="Arial" w:cs="Arial" w:eastAsia="Arial" w:hAnsi="Arial"/>
          <w:sz w:val="18"/>
          <w:szCs w:val="18"/>
          <w:color w:val="auto"/>
        </w:rPr>
        <w:t>This statement is filed by the entities and persons listed below, who are collectively referred to herein as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with respect to the shares of Common Stock (as defined in Item 2(d) below) of the Company:</w:t>
      </w:r>
    </w:p>
    <w:p>
      <w:pPr>
        <w:spacing w:after="0" w:line="144"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Empery Fund</w:t>
      </w:r>
    </w:p>
    <w:p>
      <w:pPr>
        <w:spacing w:after="0" w:line="229" w:lineRule="exact"/>
        <w:rPr>
          <w:sz w:val="20"/>
          <w:szCs w:val="20"/>
          <w:color w:val="auto"/>
        </w:rPr>
      </w:pPr>
    </w:p>
    <w:p>
      <w:pPr>
        <w:ind w:left="1820" w:right="140" w:firstLine="7"/>
        <w:spacing w:after="0" w:line="250" w:lineRule="auto"/>
        <w:tabs>
          <w:tab w:leader="none" w:pos="2056" w:val="left"/>
        </w:tabs>
        <w:numPr>
          <w:ilvl w:val="0"/>
          <w:numId w:val="6"/>
        </w:numPr>
        <w:rPr>
          <w:rFonts w:ascii="Arial" w:cs="Arial" w:eastAsia="Arial" w:hAnsi="Arial"/>
          <w:sz w:val="20"/>
          <w:szCs w:val="20"/>
          <w:color w:val="auto"/>
        </w:rPr>
      </w:pPr>
      <w:r>
        <w:rPr>
          <w:rFonts w:ascii="Arial" w:cs="Arial" w:eastAsia="Arial" w:hAnsi="Arial"/>
          <w:sz w:val="20"/>
          <w:szCs w:val="20"/>
          <w:color w:val="auto"/>
        </w:rPr>
        <w:t>Empery Asset Master Ltd., to which the Investment Manager (as defined below) serves as investment manager, with respect to the shares of Common Stock held by, and underlying the Reported Warrants (as defined in Item 4 below) held by, it (the “</w:t>
      </w:r>
      <w:r>
        <w:rPr>
          <w:rFonts w:ascii="Arial" w:cs="Arial" w:eastAsia="Arial" w:hAnsi="Arial"/>
          <w:sz w:val="20"/>
          <w:szCs w:val="20"/>
          <w:u w:val="single" w:color="auto"/>
          <w:color w:val="auto"/>
        </w:rPr>
        <w:t>EAM Fund</w:t>
      </w:r>
      <w:r>
        <w:rPr>
          <w:rFonts w:ascii="Arial" w:cs="Arial" w:eastAsia="Arial" w:hAnsi="Arial"/>
          <w:sz w:val="20"/>
          <w:szCs w:val="20"/>
          <w:color w:val="auto"/>
        </w:rPr>
        <w:t>”).</w:t>
      </w:r>
    </w:p>
    <w:p>
      <w:pPr>
        <w:spacing w:after="0" w:line="200"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Investment Manager</w:t>
      </w:r>
    </w:p>
    <w:p>
      <w:pPr>
        <w:spacing w:after="0" w:line="229" w:lineRule="exact"/>
        <w:rPr>
          <w:sz w:val="20"/>
          <w:szCs w:val="20"/>
          <w:color w:val="auto"/>
        </w:rPr>
      </w:pPr>
    </w:p>
    <w:p>
      <w:pPr>
        <w:ind w:left="1820" w:right="240" w:firstLine="7"/>
        <w:spacing w:after="0" w:line="250" w:lineRule="auto"/>
        <w:tabs>
          <w:tab w:leader="none" w:pos="2111" w:val="left"/>
        </w:tabs>
        <w:numPr>
          <w:ilvl w:val="0"/>
          <w:numId w:val="7"/>
        </w:numPr>
        <w:rPr>
          <w:rFonts w:ascii="Arial" w:cs="Arial" w:eastAsia="Arial" w:hAnsi="Arial"/>
          <w:sz w:val="20"/>
          <w:szCs w:val="20"/>
          <w:color w:val="auto"/>
        </w:rPr>
      </w:pPr>
      <w:r>
        <w:rPr>
          <w:rFonts w:ascii="Arial" w:cs="Arial" w:eastAsia="Arial" w:hAnsi="Arial"/>
          <w:sz w:val="20"/>
          <w:szCs w:val="20"/>
          <w:color w:val="auto"/>
        </w:rPr>
        <w:t>Empery Asset Management, LP (the "</w:t>
      </w:r>
      <w:r>
        <w:rPr>
          <w:rFonts w:ascii="Arial" w:cs="Arial" w:eastAsia="Arial" w:hAnsi="Arial"/>
          <w:sz w:val="20"/>
          <w:szCs w:val="20"/>
          <w:u w:val="single" w:color="auto"/>
          <w:color w:val="auto"/>
        </w:rPr>
        <w:t>Investment Manager</w:t>
      </w:r>
      <w:r>
        <w:rPr>
          <w:rFonts w:ascii="Arial" w:cs="Arial" w:eastAsia="Arial" w:hAnsi="Arial"/>
          <w:sz w:val="20"/>
          <w:szCs w:val="20"/>
          <w:color w:val="auto"/>
        </w:rPr>
        <w:t>"), with respect to the shares of Common Stock held by, and underlying the Reported Warrants held by, the EAM Fund and certain other funds to which the Investment Manager serves as investment manager (collectively the "</w:t>
      </w:r>
      <w:r>
        <w:rPr>
          <w:rFonts w:ascii="Arial" w:cs="Arial" w:eastAsia="Arial" w:hAnsi="Arial"/>
          <w:sz w:val="20"/>
          <w:szCs w:val="20"/>
          <w:u w:val="single" w:color="auto"/>
          <w:color w:val="auto"/>
        </w:rPr>
        <w:t>Empery Funds</w:t>
      </w:r>
      <w:r>
        <w:rPr>
          <w:rFonts w:ascii="Arial" w:cs="Arial" w:eastAsia="Arial" w:hAnsi="Arial"/>
          <w:sz w:val="20"/>
          <w:szCs w:val="20"/>
          <w:color w:val="auto"/>
        </w:rPr>
        <w:t>")</w:t>
      </w:r>
    </w:p>
    <w:p>
      <w:pPr>
        <w:spacing w:after="0" w:line="200" w:lineRule="exact"/>
        <w:rPr>
          <w:sz w:val="20"/>
          <w:szCs w:val="20"/>
          <w:color w:val="auto"/>
        </w:rPr>
      </w:pPr>
    </w:p>
    <w:p>
      <w:pPr>
        <w:ind w:left="1820"/>
        <w:spacing w:after="0"/>
        <w:rPr>
          <w:sz w:val="20"/>
          <w:szCs w:val="20"/>
          <w:color w:val="auto"/>
        </w:rPr>
      </w:pPr>
      <w:r>
        <w:rPr>
          <w:rFonts w:ascii="Arial" w:cs="Arial" w:eastAsia="Arial" w:hAnsi="Arial"/>
          <w:sz w:val="20"/>
          <w:szCs w:val="20"/>
          <w:u w:val="single" w:color="auto"/>
          <w:color w:val="auto"/>
        </w:rPr>
        <w:t>Reporting Individuals</w:t>
      </w:r>
    </w:p>
    <w:p>
      <w:pPr>
        <w:spacing w:after="0" w:line="229" w:lineRule="exact"/>
        <w:rPr>
          <w:sz w:val="20"/>
          <w:szCs w:val="20"/>
          <w:color w:val="auto"/>
        </w:rPr>
      </w:pPr>
    </w:p>
    <w:p>
      <w:pPr>
        <w:ind w:left="1820" w:right="140" w:firstLine="7"/>
        <w:spacing w:after="0" w:line="260" w:lineRule="auto"/>
        <w:tabs>
          <w:tab w:leader="none" w:pos="2166" w:val="left"/>
        </w:tabs>
        <w:numPr>
          <w:ilvl w:val="0"/>
          <w:numId w:val="8"/>
        </w:numPr>
        <w:rPr>
          <w:rFonts w:ascii="Arial" w:cs="Arial" w:eastAsia="Arial" w:hAnsi="Arial"/>
          <w:sz w:val="20"/>
          <w:szCs w:val="20"/>
          <w:color w:val="auto"/>
        </w:rPr>
      </w:pPr>
      <w:r>
        <w:rPr>
          <w:rFonts w:ascii="Arial" w:cs="Arial" w:eastAsia="Arial" w:hAnsi="Arial"/>
          <w:sz w:val="20"/>
          <w:szCs w:val="20"/>
          <w:color w:val="auto"/>
        </w:rPr>
        <w:t>Mr. Ryan M. Lane ("</w:t>
      </w:r>
      <w:r>
        <w:rPr>
          <w:rFonts w:ascii="Arial" w:cs="Arial" w:eastAsia="Arial" w:hAnsi="Arial"/>
          <w:sz w:val="20"/>
          <w:szCs w:val="20"/>
          <w:u w:val="single" w:color="auto"/>
          <w:color w:val="auto"/>
        </w:rPr>
        <w:t>Mr. Lane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rFonts w:ascii="Arial" w:cs="Arial" w:eastAsia="Arial" w:hAnsi="Arial"/>
          <w:sz w:val="20"/>
          <w:szCs w:val="20"/>
          <w:color w:val="auto"/>
        </w:rPr>
      </w:pPr>
    </w:p>
    <w:p>
      <w:pPr>
        <w:ind w:left="1820" w:right="180" w:firstLine="7"/>
        <w:spacing w:after="0" w:line="260" w:lineRule="auto"/>
        <w:tabs>
          <w:tab w:leader="none" w:pos="2155" w:val="left"/>
        </w:tabs>
        <w:numPr>
          <w:ilvl w:val="0"/>
          <w:numId w:val="8"/>
        </w:numPr>
        <w:rPr>
          <w:rFonts w:ascii="Arial" w:cs="Arial" w:eastAsia="Arial" w:hAnsi="Arial"/>
          <w:sz w:val="20"/>
          <w:szCs w:val="20"/>
          <w:color w:val="auto"/>
        </w:rPr>
      </w:pPr>
      <w:r>
        <w:rPr>
          <w:rFonts w:ascii="Arial" w:cs="Arial" w:eastAsia="Arial" w:hAnsi="Arial"/>
          <w:sz w:val="20"/>
          <w:szCs w:val="20"/>
          <w:color w:val="auto"/>
        </w:rPr>
        <w:t>Mr. Martin D. Hoe ("</w:t>
      </w:r>
      <w:r>
        <w:rPr>
          <w:rFonts w:ascii="Arial" w:cs="Arial" w:eastAsia="Arial" w:hAnsi="Arial"/>
          <w:sz w:val="20"/>
          <w:szCs w:val="20"/>
          <w:u w:val="single" w:color="auto"/>
          <w:color w:val="auto"/>
        </w:rPr>
        <w:t>Mr. Hoe</w:t>
      </w:r>
      <w:r>
        <w:rPr>
          <w:rFonts w:ascii="Arial" w:cs="Arial" w:eastAsia="Arial" w:hAnsi="Arial"/>
          <w:sz w:val="20"/>
          <w:szCs w:val="20"/>
          <w:color w:val="auto"/>
        </w:rPr>
        <w:t>"), with respect to the shares of Common Stock held by, and underlying the Reported Warrants held by, the Empery Funds.</w:t>
      </w:r>
    </w:p>
    <w:p>
      <w:pPr>
        <w:spacing w:after="0" w:line="190" w:lineRule="exact"/>
        <w:rPr>
          <w:sz w:val="20"/>
          <w:szCs w:val="20"/>
          <w:color w:val="auto"/>
        </w:rPr>
      </w:pPr>
    </w:p>
    <w:p>
      <w:pPr>
        <w:jc w:val="both"/>
        <w:ind w:left="1820" w:right="740"/>
        <w:spacing w:after="0" w:line="250" w:lineRule="auto"/>
        <w:rPr>
          <w:sz w:val="20"/>
          <w:szCs w:val="20"/>
          <w:color w:val="auto"/>
        </w:rPr>
      </w:pPr>
      <w:r>
        <w:rPr>
          <w:rFonts w:ascii="Arial" w:cs="Arial" w:eastAsia="Arial" w:hAnsi="Arial"/>
          <w:sz w:val="20"/>
          <w:szCs w:val="20"/>
          <w:color w:val="auto"/>
        </w:rPr>
        <w:t>The Investment Manager serves as the investment manager to each of the Empery Funds. Each of the Reporting Individuals is a Managing Member of Empery AM GP, LLC (the "</w:t>
      </w:r>
      <w:r>
        <w:rPr>
          <w:rFonts w:ascii="Arial" w:cs="Arial" w:eastAsia="Arial" w:hAnsi="Arial"/>
          <w:sz w:val="20"/>
          <w:szCs w:val="20"/>
          <w:u w:val="single" w:color="auto"/>
          <w:color w:val="auto"/>
        </w:rPr>
        <w:t>General Partner</w:t>
      </w:r>
      <w:r>
        <w:rPr>
          <w:rFonts w:ascii="Arial" w:cs="Arial" w:eastAsia="Arial" w:hAnsi="Arial"/>
          <w:sz w:val="20"/>
          <w:szCs w:val="20"/>
          <w:color w:val="auto"/>
        </w:rPr>
        <w:t>"), the general partner of the Investment Manager.</w:t>
      </w:r>
    </w:p>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11 Pages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34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10080" w:type="dxa"/>
            <w:vAlign w:val="bottom"/>
            <w:gridSpan w:val="3"/>
          </w:tcPr>
          <w:p>
            <w:pPr>
              <w:ind w:left="38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59"/>
        </w:trPr>
        <w:tc>
          <w:tcPr>
            <w:tcW w:w="1340" w:type="dxa"/>
            <w:vAlign w:val="bottom"/>
          </w:tcPr>
          <w:p>
            <w:pPr>
              <w:spacing w:after="0"/>
              <w:rPr>
                <w:sz w:val="24"/>
                <w:szCs w:val="24"/>
                <w:color w:val="auto"/>
              </w:rPr>
            </w:pPr>
          </w:p>
        </w:tc>
        <w:tc>
          <w:tcPr>
            <w:tcW w:w="10080" w:type="dxa"/>
            <w:vAlign w:val="bottom"/>
            <w:gridSpan w:val="3"/>
          </w:tcPr>
          <w:p>
            <w:pPr>
              <w:ind w:left="480"/>
              <w:spacing w:after="0"/>
              <w:rPr>
                <w:sz w:val="20"/>
                <w:szCs w:val="20"/>
                <w:color w:val="auto"/>
              </w:rPr>
            </w:pPr>
            <w:r>
              <w:rPr>
                <w:rFonts w:ascii="Arial" w:cs="Arial" w:eastAsia="Arial" w:hAnsi="Arial"/>
                <w:sz w:val="20"/>
                <w:szCs w:val="20"/>
                <w:color w:val="auto"/>
              </w:rPr>
              <w:t>The address of the business office of each of the Reporting Persons is:</w:t>
            </w:r>
          </w:p>
        </w:tc>
      </w:tr>
      <w:tr>
        <w:trPr>
          <w:trHeight w:val="438"/>
        </w:trPr>
        <w:tc>
          <w:tcPr>
            <w:tcW w:w="1340" w:type="dxa"/>
            <w:vAlign w:val="bottom"/>
          </w:tcPr>
          <w:p>
            <w:pPr>
              <w:spacing w:after="0"/>
              <w:rPr>
                <w:sz w:val="24"/>
                <w:szCs w:val="24"/>
                <w:color w:val="auto"/>
              </w:rPr>
            </w:pPr>
          </w:p>
        </w:tc>
        <w:tc>
          <w:tcPr>
            <w:tcW w:w="10080" w:type="dxa"/>
            <w:vAlign w:val="bottom"/>
            <w:gridSpan w:val="3"/>
          </w:tcPr>
          <w:p>
            <w:pPr>
              <w:ind w:left="480"/>
              <w:spacing w:after="0"/>
              <w:rPr>
                <w:sz w:val="20"/>
                <w:szCs w:val="20"/>
                <w:color w:val="auto"/>
              </w:rPr>
            </w:pPr>
            <w:r>
              <w:rPr>
                <w:rFonts w:ascii="Arial" w:cs="Arial" w:eastAsia="Arial" w:hAnsi="Arial"/>
                <w:sz w:val="20"/>
                <w:szCs w:val="20"/>
                <w:color w:val="auto"/>
              </w:rPr>
              <w:t>1 Rockefeller Plaza, Suite 1205</w:t>
            </w:r>
          </w:p>
        </w:tc>
      </w:tr>
      <w:tr>
        <w:trPr>
          <w:trHeight w:val="250"/>
        </w:trPr>
        <w:tc>
          <w:tcPr>
            <w:tcW w:w="1340" w:type="dxa"/>
            <w:vAlign w:val="bottom"/>
          </w:tcPr>
          <w:p>
            <w:pPr>
              <w:spacing w:after="0"/>
              <w:rPr>
                <w:sz w:val="21"/>
                <w:szCs w:val="21"/>
                <w:color w:val="auto"/>
              </w:rPr>
            </w:pPr>
          </w:p>
        </w:tc>
        <w:tc>
          <w:tcPr>
            <w:tcW w:w="10080" w:type="dxa"/>
            <w:vAlign w:val="bottom"/>
            <w:gridSpan w:val="3"/>
          </w:tcPr>
          <w:p>
            <w:pPr>
              <w:ind w:left="480"/>
              <w:spacing w:after="0"/>
              <w:rPr>
                <w:sz w:val="20"/>
                <w:szCs w:val="20"/>
                <w:color w:val="auto"/>
              </w:rPr>
            </w:pPr>
            <w:r>
              <w:rPr>
                <w:rFonts w:ascii="Arial" w:cs="Arial" w:eastAsia="Arial" w:hAnsi="Arial"/>
                <w:sz w:val="20"/>
                <w:szCs w:val="20"/>
                <w:color w:val="auto"/>
              </w:rPr>
              <w:t>New York, New York 10020</w:t>
            </w:r>
          </w:p>
        </w:tc>
      </w:tr>
      <w:tr>
        <w:trPr>
          <w:trHeight w:val="459"/>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0080" w:type="dxa"/>
            <w:vAlign w:val="bottom"/>
            <w:gridSpan w:val="3"/>
          </w:tcPr>
          <w:p>
            <w:pPr>
              <w:ind w:left="620"/>
              <w:spacing w:after="0"/>
              <w:rPr>
                <w:sz w:val="20"/>
                <w:szCs w:val="20"/>
                <w:color w:val="auto"/>
              </w:rPr>
            </w:pPr>
            <w:r>
              <w:rPr>
                <w:rFonts w:ascii="Arial" w:cs="Arial" w:eastAsia="Arial" w:hAnsi="Arial"/>
                <w:sz w:val="20"/>
                <w:szCs w:val="20"/>
                <w:b w:val="1"/>
                <w:bCs w:val="1"/>
                <w:color w:val="auto"/>
              </w:rPr>
              <w:t>CITIZENSHIP:</w:t>
            </w:r>
          </w:p>
        </w:tc>
      </w:tr>
      <w:tr>
        <w:trPr>
          <w:trHeight w:val="438"/>
        </w:trPr>
        <w:tc>
          <w:tcPr>
            <w:tcW w:w="1340" w:type="dxa"/>
            <w:vAlign w:val="bottom"/>
          </w:tcPr>
          <w:p>
            <w:pPr>
              <w:spacing w:after="0"/>
              <w:rPr>
                <w:sz w:val="24"/>
                <w:szCs w:val="24"/>
                <w:color w:val="auto"/>
              </w:rPr>
            </w:pPr>
          </w:p>
        </w:tc>
        <w:tc>
          <w:tcPr>
            <w:tcW w:w="10080" w:type="dxa"/>
            <w:vAlign w:val="bottom"/>
            <w:gridSpan w:val="3"/>
          </w:tcPr>
          <w:p>
            <w:pPr>
              <w:ind w:left="480"/>
              <w:spacing w:after="0"/>
              <w:rPr>
                <w:sz w:val="20"/>
                <w:szCs w:val="20"/>
                <w:color w:val="auto"/>
              </w:rPr>
            </w:pPr>
            <w:r>
              <w:rPr>
                <w:rFonts w:ascii="Arial" w:cs="Arial" w:eastAsia="Arial" w:hAnsi="Arial"/>
                <w:sz w:val="20"/>
                <w:szCs w:val="20"/>
                <w:color w:val="auto"/>
                <w:w w:val="95"/>
              </w:rPr>
              <w:t>Citizenship is set forth in Row 4 of the cover page for each Reporting Person hereto and is incorporated herein by</w:t>
            </w:r>
          </w:p>
        </w:tc>
      </w:tr>
      <w:tr>
        <w:trPr>
          <w:trHeight w:val="250"/>
        </w:trPr>
        <w:tc>
          <w:tcPr>
            <w:tcW w:w="1340" w:type="dxa"/>
            <w:vAlign w:val="bottom"/>
          </w:tcPr>
          <w:p>
            <w:pPr>
              <w:spacing w:after="0"/>
              <w:rPr>
                <w:sz w:val="21"/>
                <w:szCs w:val="21"/>
                <w:color w:val="auto"/>
              </w:rPr>
            </w:pPr>
          </w:p>
        </w:tc>
        <w:tc>
          <w:tcPr>
            <w:tcW w:w="10080" w:type="dxa"/>
            <w:vAlign w:val="bottom"/>
            <w:gridSpan w:val="3"/>
          </w:tcPr>
          <w:p>
            <w:pPr>
              <w:ind w:left="480"/>
              <w:spacing w:after="0"/>
              <w:rPr>
                <w:sz w:val="20"/>
                <w:szCs w:val="20"/>
                <w:color w:val="auto"/>
              </w:rPr>
            </w:pPr>
            <w:r>
              <w:rPr>
                <w:rFonts w:ascii="Arial" w:cs="Arial" w:eastAsia="Arial" w:hAnsi="Arial"/>
                <w:sz w:val="20"/>
                <w:szCs w:val="20"/>
                <w:color w:val="auto"/>
              </w:rPr>
              <w:t>reference for each such Reporting Person.</w:t>
            </w:r>
          </w:p>
        </w:tc>
      </w:tr>
      <w:tr>
        <w:trPr>
          <w:trHeight w:val="459"/>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10080" w:type="dxa"/>
            <w:vAlign w:val="bottom"/>
            <w:gridSpan w:val="3"/>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340" w:type="dxa"/>
            <w:vAlign w:val="bottom"/>
          </w:tcPr>
          <w:p>
            <w:pPr>
              <w:spacing w:after="0"/>
              <w:rPr>
                <w:sz w:val="24"/>
                <w:szCs w:val="24"/>
                <w:color w:val="auto"/>
              </w:rPr>
            </w:pPr>
          </w:p>
        </w:tc>
        <w:tc>
          <w:tcPr>
            <w:tcW w:w="10080" w:type="dxa"/>
            <w:vAlign w:val="bottom"/>
            <w:gridSpan w:val="3"/>
          </w:tcPr>
          <w:p>
            <w:pPr>
              <w:ind w:left="380"/>
              <w:spacing w:after="0"/>
              <w:rPr>
                <w:sz w:val="20"/>
                <w:szCs w:val="20"/>
                <w:color w:val="auto"/>
              </w:rPr>
            </w:pPr>
            <w:r>
              <w:rPr>
                <w:rFonts w:ascii="Arial" w:cs="Arial" w:eastAsia="Arial" w:hAnsi="Arial"/>
                <w:sz w:val="20"/>
                <w:szCs w:val="20"/>
                <w:color w:val="auto"/>
              </w:rPr>
              <w:t>Common Stock, $0.001 par value (the "Common Stock")</w:t>
            </w:r>
          </w:p>
        </w:tc>
      </w:tr>
      <w:tr>
        <w:trPr>
          <w:trHeight w:val="484"/>
        </w:trPr>
        <w:tc>
          <w:tcPr>
            <w:tcW w:w="13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540" w:type="dxa"/>
            <w:vAlign w:val="bottom"/>
          </w:tcPr>
          <w:p>
            <w:pPr>
              <w:ind w:left="380"/>
              <w:spacing w:after="0"/>
              <w:rPr>
                <w:sz w:val="20"/>
                <w:szCs w:val="20"/>
                <w:color w:val="auto"/>
              </w:rPr>
            </w:pPr>
            <w:r>
              <w:rPr>
                <w:rFonts w:ascii="Arial" w:cs="Arial" w:eastAsia="Arial" w:hAnsi="Arial"/>
                <w:sz w:val="20"/>
                <w:szCs w:val="20"/>
                <w:b w:val="1"/>
                <w:bCs w:val="1"/>
                <w:color w:val="auto"/>
              </w:rPr>
              <w:t>CUSIP NUMBER:</w:t>
            </w:r>
          </w:p>
        </w:tc>
        <w:tc>
          <w:tcPr>
            <w:tcW w:w="122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r>
      <w:tr>
        <w:trPr>
          <w:trHeight w:val="459"/>
        </w:trPr>
        <w:tc>
          <w:tcPr>
            <w:tcW w:w="1340" w:type="dxa"/>
            <w:vAlign w:val="bottom"/>
          </w:tcPr>
          <w:p>
            <w:pPr>
              <w:spacing w:after="0"/>
              <w:rPr>
                <w:sz w:val="24"/>
                <w:szCs w:val="24"/>
                <w:color w:val="auto"/>
              </w:rPr>
            </w:pPr>
          </w:p>
        </w:tc>
        <w:tc>
          <w:tcPr>
            <w:tcW w:w="3540" w:type="dxa"/>
            <w:vAlign w:val="bottom"/>
          </w:tcPr>
          <w:p>
            <w:pPr>
              <w:ind w:left="380"/>
              <w:spacing w:after="0"/>
              <w:rPr>
                <w:sz w:val="20"/>
                <w:szCs w:val="20"/>
                <w:color w:val="auto"/>
              </w:rPr>
            </w:pPr>
            <w:r>
              <w:rPr>
                <w:rFonts w:ascii="Arial" w:cs="Arial" w:eastAsia="Arial" w:hAnsi="Arial"/>
                <w:sz w:val="20"/>
                <w:szCs w:val="20"/>
                <w:color w:val="auto"/>
              </w:rPr>
              <w:t>876033309</w:t>
            </w:r>
          </w:p>
        </w:tc>
        <w:tc>
          <w:tcPr>
            <w:tcW w:w="12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080" w:type="dxa"/>
            <w:vAlign w:val="bottom"/>
            <w:gridSpan w:val="3"/>
          </w:tcPr>
          <w:p>
            <w:pPr>
              <w:ind w:left="380"/>
              <w:spacing w:after="0"/>
              <w:rPr>
                <w:sz w:val="20"/>
                <w:szCs w:val="20"/>
                <w:color w:val="auto"/>
              </w:rPr>
            </w:pPr>
            <w:r>
              <w:rPr>
                <w:rFonts w:ascii="Arial" w:cs="Arial" w:eastAsia="Arial" w:hAnsi="Arial"/>
                <w:sz w:val="20"/>
                <w:szCs w:val="20"/>
                <w:b w:val="1"/>
                <w:bCs w:val="1"/>
                <w:color w:val="auto"/>
              </w:rPr>
              <w:t>IF THIS STATEMENT IS FILED PURSUANT TO RULES 13d-1(b) OR 13d-2(b) OR (c), CHECK WHETHER</w:t>
            </w:r>
          </w:p>
        </w:tc>
      </w:tr>
      <w:tr>
        <w:trPr>
          <w:trHeight w:val="256"/>
        </w:trPr>
        <w:tc>
          <w:tcPr>
            <w:tcW w:w="1340" w:type="dxa"/>
            <w:vAlign w:val="bottom"/>
          </w:tcPr>
          <w:p>
            <w:pPr>
              <w:spacing w:after="0"/>
              <w:rPr>
                <w:sz w:val="22"/>
                <w:szCs w:val="22"/>
                <w:color w:val="auto"/>
              </w:rPr>
            </w:pPr>
          </w:p>
        </w:tc>
        <w:tc>
          <w:tcPr>
            <w:tcW w:w="10080" w:type="dxa"/>
            <w:vAlign w:val="bottom"/>
            <w:gridSpan w:val="3"/>
          </w:tcPr>
          <w:p>
            <w:pPr>
              <w:ind w:left="380"/>
              <w:spacing w:after="0"/>
              <w:rPr>
                <w:sz w:val="20"/>
                <w:szCs w:val="20"/>
                <w:color w:val="auto"/>
              </w:rPr>
            </w:pPr>
            <w:r>
              <w:rPr>
                <w:rFonts w:ascii="Arial" w:cs="Arial" w:eastAsia="Arial" w:hAnsi="Arial"/>
                <w:sz w:val="20"/>
                <w:szCs w:val="20"/>
                <w:b w:val="1"/>
                <w:bCs w:val="1"/>
                <w:color w:val="auto"/>
              </w:rPr>
              <w:t>THE PERSON FILING IS A:</w:t>
            </w:r>
          </w:p>
        </w:tc>
      </w:tr>
    </w:tbl>
    <w:p>
      <w:pPr>
        <w:spacing w:after="0" w:line="185" w:lineRule="exact"/>
        <w:rPr>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registered under Section 203 of the Investment Advisers Act of 1940,</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29" w:lineRule="exact"/>
        <w:rPr>
          <w:rFonts w:ascii="Arial" w:cs="Arial" w:eastAsia="Arial" w:hAnsi="Arial"/>
          <w:sz w:val="20"/>
          <w:szCs w:val="20"/>
          <w:color w:val="auto"/>
        </w:rPr>
      </w:pPr>
    </w:p>
    <w:p>
      <w:pPr>
        <w:ind w:left="3080" w:right="320" w:hanging="1260"/>
        <w:spacing w:after="0" w:line="252" w:lineRule="exact"/>
        <w:tabs>
          <w:tab w:leader="none" w:pos="2612"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of 1940,</w:t>
      </w:r>
    </w:p>
    <w:p>
      <w:pPr>
        <w:spacing w:after="0" w:line="173"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00" w:hanging="780"/>
        <w:spacing w:after="0" w:line="230" w:lineRule="exact"/>
        <w:tabs>
          <w:tab w:leader="none" w:pos="260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ectPr>
          <w:pgSz w:w="11900" w:h="16838" w:orient="portrait"/>
          <w:cols w:equalWidth="0" w:num="1">
            <w:col w:w="11420"/>
          </w:cols>
          <w:pgMar w:left="240" w:top="229" w:right="239" w:bottom="1440" w:gutter="0" w:footer="0" w:header="0"/>
        </w:sectPr>
      </w:pPr>
    </w:p>
    <w:bookmarkStart w:id="7" w:name="page8"/>
    <w:bookmarkEnd w:id="7"/>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1820" w:right="2580"/>
        <w:spacing w:after="0" w:line="316"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institution:_______________________________________________</w:t>
      </w:r>
    </w:p>
    <w:p>
      <w:pPr>
        <w:spacing w:after="0" w:line="138"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20" w:right="120"/>
        <w:spacing w:after="0" w:line="276" w:lineRule="auto"/>
        <w:rPr>
          <w:sz w:val="20"/>
          <w:szCs w:val="20"/>
          <w:color w:val="auto"/>
        </w:rPr>
      </w:pPr>
      <w:r>
        <w:rPr>
          <w:rFonts w:ascii="Arial" w:cs="Arial" w:eastAsia="Arial" w:hAnsi="Arial"/>
          <w:sz w:val="18"/>
          <w:szCs w:val="18"/>
          <w:color w:val="auto"/>
        </w:rPr>
        <w:t>The information as of the filing date required by Items 4(a) – (c) is set forth in Rows 5 – 11 of the cover page for each Reporting Person hereto and is incorporated herein by reference for each such Reporting Person. The percentage set forth in Row 11 of the cover page for each Reporting Person is based on 19,083,190 shares of Common Stock issued and outstanding as of August 15, 2014, as represented in the Company's Quarterly Report on Form 10-Q for the quarterly period ended June 30, 2014, filed with the Securities and Exchange Commission on August 18, 2014 and assumes the exercise of the reported warrants (the "</w:t>
      </w:r>
      <w:r>
        <w:rPr>
          <w:rFonts w:ascii="Arial" w:cs="Arial" w:eastAsia="Arial" w:hAnsi="Arial"/>
          <w:sz w:val="18"/>
          <w:szCs w:val="18"/>
          <w:u w:val="single" w:color="auto"/>
          <w:color w:val="auto"/>
        </w:rPr>
        <w:t>Reported Warrants</w:t>
      </w:r>
      <w:r>
        <w:rPr>
          <w:rFonts w:ascii="Arial" w:cs="Arial" w:eastAsia="Arial" w:hAnsi="Arial"/>
          <w:sz w:val="18"/>
          <w:szCs w:val="18"/>
          <w:color w:val="auto"/>
        </w:rPr>
        <w:t>") subject to the Blocker (as defined below).</w:t>
      </w:r>
    </w:p>
    <w:p>
      <w:pPr>
        <w:spacing w:after="0" w:line="179" w:lineRule="exact"/>
        <w:rPr>
          <w:sz w:val="20"/>
          <w:szCs w:val="20"/>
          <w:color w:val="auto"/>
        </w:rPr>
      </w:pPr>
    </w:p>
    <w:p>
      <w:pPr>
        <w:ind w:left="1720" w:right="160"/>
        <w:spacing w:after="0" w:line="244" w:lineRule="auto"/>
        <w:rPr>
          <w:sz w:val="20"/>
          <w:szCs w:val="20"/>
          <w:color w:val="auto"/>
        </w:rPr>
      </w:pPr>
      <w:r>
        <w:rPr>
          <w:rFonts w:ascii="Arial" w:cs="Arial" w:eastAsia="Arial" w:hAnsi="Arial"/>
          <w:sz w:val="20"/>
          <w:szCs w:val="20"/>
          <w:color w:val="auto"/>
        </w:rPr>
        <w:t>Pursuant to the terms of the reported warrants (the "</w:t>
      </w:r>
      <w:r>
        <w:rPr>
          <w:rFonts w:ascii="Arial" w:cs="Arial" w:eastAsia="Arial" w:hAnsi="Arial"/>
          <w:sz w:val="20"/>
          <w:szCs w:val="20"/>
          <w:u w:val="single" w:color="auto"/>
          <w:color w:val="auto"/>
        </w:rPr>
        <w:t>Reported Warrants</w:t>
      </w:r>
      <w:r>
        <w:rPr>
          <w:rFonts w:ascii="Arial" w:cs="Arial" w:eastAsia="Arial" w:hAnsi="Arial"/>
          <w:sz w:val="20"/>
          <w:szCs w:val="20"/>
          <w:color w:val="auto"/>
        </w:rPr>
        <w:t>"), the Reporting Persons cannot exercise any of the Reported Warrants if the Reporting Persons would beneficially own, after any such exercise, more than 4.99% of the outstanding shares of Common Stock (the "</w:t>
      </w:r>
      <w:r>
        <w:rPr>
          <w:rFonts w:ascii="Arial" w:cs="Arial" w:eastAsia="Arial" w:hAnsi="Arial"/>
          <w:sz w:val="20"/>
          <w:szCs w:val="20"/>
          <w:u w:val="single" w:color="auto"/>
          <w:color w:val="auto"/>
        </w:rPr>
        <w:t>Blocker</w:t>
      </w:r>
      <w:r>
        <w:rPr>
          <w:rFonts w:ascii="Arial" w:cs="Arial" w:eastAsia="Arial" w:hAnsi="Arial"/>
          <w:sz w:val="20"/>
          <w:szCs w:val="20"/>
          <w:color w:val="auto"/>
        </w:rPr>
        <w:t>"), and the percentage set forth in Row 11 of the cover page for each Reporting Person gives effect to the Blocker. Consequently, at this time, the Reporting Persons are not able to exercise all of the Reported Warrants due to the Blocker.</w:t>
      </w:r>
    </w:p>
    <w:p>
      <w:pPr>
        <w:spacing w:after="0" w:line="208" w:lineRule="exact"/>
        <w:rPr>
          <w:sz w:val="20"/>
          <w:szCs w:val="20"/>
          <w:color w:val="auto"/>
        </w:rPr>
      </w:pPr>
    </w:p>
    <w:p>
      <w:pPr>
        <w:ind w:left="1720" w:right="180"/>
        <w:spacing w:after="0" w:line="273" w:lineRule="auto"/>
        <w:rPr>
          <w:sz w:val="20"/>
          <w:szCs w:val="20"/>
          <w:color w:val="auto"/>
        </w:rPr>
      </w:pPr>
      <w:r>
        <w:rPr>
          <w:rFonts w:ascii="Arial" w:cs="Arial" w:eastAsia="Arial" w:hAnsi="Arial"/>
          <w:sz w:val="18"/>
          <w:szCs w:val="18"/>
          <w:color w:val="auto"/>
        </w:rPr>
        <w:t>The Investment Manager, which serves as the investment manager to the Empery Funds, may be deemed to be the beneficial owner of all shares of Common Stock held by, and underlying the Reported Warrants (subject to the Blocker)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 held by, the Managed Account and the Empery Fund.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720" w:hanging="1617"/>
        <w:spacing w:after="0" w:line="251" w:lineRule="auto"/>
        <w:tabs>
          <w:tab w:leader="none" w:pos="1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9" w:right="239" w:bottom="1440" w:gutter="0" w:footer="0" w:header="0"/>
          <w:type w:val="continuous"/>
        </w:sectPr>
      </w:pPr>
    </w:p>
    <w:bookmarkStart w:id="8" w:name="page9"/>
    <w:bookmarkEnd w:id="8"/>
    <w:p>
      <w:pPr>
        <w:spacing w:after="0"/>
        <w:tabs>
          <w:tab w:leader="none" w:pos="5540" w:val="left"/>
          <w:tab w:leader="none" w:pos="1000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20" w:right="200"/>
        <w:spacing w:after="0" w:line="246" w:lineRule="auto"/>
        <w:rPr>
          <w:sz w:val="20"/>
          <w:szCs w:val="20"/>
          <w:color w:val="auto"/>
        </w:rPr>
      </w:pPr>
      <w:r>
        <w:rPr>
          <w:rFonts w:ascii="Arial" w:cs="Arial" w:eastAsia="Arial" w:hAnsi="Arial"/>
          <w:sz w:val="20"/>
          <w:szCs w:val="20"/>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9" w:right="239" w:bottom="1440" w:gutter="0" w:footer="0" w:header="0"/>
          <w:type w:val="continuous"/>
        </w:sectPr>
      </w:pPr>
    </w:p>
    <w:bookmarkStart w:id="9" w:name="page10"/>
    <w:bookmarkEnd w:id="9"/>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11 Pages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August 25, 2014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EMPERY ASSET MASTER LTD.</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EMPERY ASSET MANAGEMENT, LP,</w:t>
      </w:r>
    </w:p>
    <w:p>
      <w:pPr>
        <w:ind w:left="5540"/>
        <w:spacing w:after="0"/>
        <w:rPr>
          <w:sz w:val="20"/>
          <w:szCs w:val="20"/>
          <w:color w:val="auto"/>
        </w:rPr>
      </w:pPr>
      <w:r>
        <w:rPr>
          <w:rFonts w:ascii="Arial" w:cs="Arial" w:eastAsia="Arial" w:hAnsi="Arial"/>
          <w:sz w:val="20"/>
          <w:szCs w:val="20"/>
          <w:color w:val="auto"/>
        </w:rPr>
        <w:t>its Authorized Agent</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EMPERY AM GP, LLC, its General Partner</w:t>
      </w: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Name: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-143510</wp:posOffset>
            </wp:positionV>
            <wp:extent cx="3764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 EMPERY AM GP, LLC, its General Partner</w:t>
      </w:r>
    </w:p>
    <w:p>
      <w:pPr>
        <w:spacing w:after="0" w:line="213"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20"/>
          <w:szCs w:val="20"/>
          <w:color w:val="auto"/>
        </w:rPr>
        <w:t>By:</w:t>
        <w:tab/>
        <w:t>/s/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Name: Ryan M. Lane</w:t>
      </w:r>
    </w:p>
    <w:p>
      <w:pPr>
        <w:spacing w:after="0" w:line="8" w:lineRule="exact"/>
        <w:rPr>
          <w:sz w:val="20"/>
          <w:szCs w:val="20"/>
          <w:color w:val="auto"/>
        </w:rPr>
      </w:pPr>
    </w:p>
    <w:p>
      <w:pPr>
        <w:ind w:left="550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10160</wp:posOffset>
            </wp:positionV>
            <wp:extent cx="3764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Ryan M. Lane</w:t>
      </w:r>
    </w:p>
    <w:p>
      <w:pPr>
        <w:spacing w:after="0" w:line="22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 Martin D. 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10160</wp:posOffset>
            </wp:positionV>
            <wp:extent cx="3764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Martin D. Hoe</w:t>
      </w:r>
    </w:p>
    <w:p>
      <w:pPr>
        <w:sectPr>
          <w:pgSz w:w="11900" w:h="16838" w:orient="portrait"/>
          <w:cols w:equalWidth="0" w:num="1">
            <w:col w:w="11420"/>
          </w:cols>
          <w:pgMar w:left="240" w:top="229" w:right="239" w:bottom="1440" w:gutter="0" w:footer="0" w:header="0"/>
        </w:sectPr>
      </w:pPr>
    </w:p>
    <w:bookmarkStart w:id="10" w:name="page11"/>
    <w:bookmarkEnd w:id="10"/>
    <w:p>
      <w:pPr>
        <w:spacing w:after="0"/>
        <w:tabs>
          <w:tab w:leader="none" w:pos="5540" w:val="left"/>
          <w:tab w:leader="none" w:pos="992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11 Pages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DATED: August 25, 2014</w:t>
      </w: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EMPERY ASSET MASTER LTD.</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EMPERY ASSET MANAGEMENT, LP,</w:t>
      </w:r>
    </w:p>
    <w:p>
      <w:pPr>
        <w:ind w:left="5540"/>
        <w:spacing w:after="0"/>
        <w:rPr>
          <w:sz w:val="20"/>
          <w:szCs w:val="20"/>
          <w:color w:val="auto"/>
        </w:rPr>
      </w:pPr>
      <w:r>
        <w:rPr>
          <w:rFonts w:ascii="Arial" w:cs="Arial" w:eastAsia="Arial" w:hAnsi="Arial"/>
          <w:sz w:val="20"/>
          <w:szCs w:val="20"/>
          <w:color w:val="auto"/>
        </w:rPr>
        <w:t>its Authorized Agent</w:t>
      </w:r>
    </w:p>
    <w:p>
      <w:pPr>
        <w:spacing w:after="0" w:line="213"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By: EMPERY AM GP, LLC, its General Partner</w:t>
      </w: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Name: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-143510</wp:posOffset>
            </wp:positionV>
            <wp:extent cx="3764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By: EMPERY AM GP, LLC, its General Partner</w:t>
      </w:r>
    </w:p>
    <w:p>
      <w:pPr>
        <w:spacing w:after="0" w:line="213"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20"/>
          <w:szCs w:val="20"/>
          <w:color w:val="auto"/>
        </w:rPr>
        <w:t>By:</w:t>
        <w:tab/>
        <w:t>/s/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Name: Ryan M. Lane</w:t>
      </w:r>
    </w:p>
    <w:p>
      <w:pPr>
        <w:spacing w:after="0" w:line="8" w:lineRule="exact"/>
        <w:rPr>
          <w:sz w:val="20"/>
          <w:szCs w:val="20"/>
          <w:color w:val="auto"/>
        </w:rPr>
      </w:pPr>
    </w:p>
    <w:p>
      <w:pPr>
        <w:ind w:left="5500"/>
        <w:spacing w:after="0"/>
        <w:tabs>
          <w:tab w:leader="none" w:pos="6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 Ryan M.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10160</wp:posOffset>
            </wp:positionV>
            <wp:extent cx="376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Ryan M. Lane</w:t>
      </w:r>
    </w:p>
    <w:p>
      <w:pPr>
        <w:spacing w:after="0" w:line="22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 Martin D. 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10160</wp:posOffset>
            </wp:positionV>
            <wp:extent cx="37649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2020-01-28T12:40:28Z</dcterms:created>
  <dcterms:modified xsi:type="dcterms:W3CDTF">2020-01-28T12:40:28Z</dcterms:modified>
</cp:coreProperties>
</file>